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CC" w:rsidRPr="00BE3F5D" w:rsidRDefault="00FE17CC" w:rsidP="00FE17CC">
      <w:pPr>
        <w:pStyle w:val="Titel"/>
        <w:jc w:val="center"/>
        <w:rPr>
          <w:lang w:val="en-GB"/>
        </w:rPr>
      </w:pPr>
      <w:bookmarkStart w:id="0" w:name="_top"/>
      <w:bookmarkEnd w:id="0"/>
      <w:r w:rsidRPr="00BE3F5D">
        <w:rPr>
          <w:lang w:val="en-GB"/>
        </w:rPr>
        <w:t>A</w:t>
      </w:r>
      <w:r w:rsidR="00901B80">
        <w:rPr>
          <w:lang w:val="en-GB"/>
        </w:rPr>
        <w:t xml:space="preserve"> Nationwide randomis</w:t>
      </w:r>
      <w:r w:rsidRPr="00BE3F5D">
        <w:rPr>
          <w:lang w:val="en-GB"/>
        </w:rPr>
        <w:t xml:space="preserve">ed controlled trial </w:t>
      </w:r>
      <w:r w:rsidR="00F71D34">
        <w:rPr>
          <w:lang w:val="en-GB"/>
        </w:rPr>
        <w:t>evaluating</w:t>
      </w:r>
      <w:r w:rsidRPr="00BE3F5D">
        <w:rPr>
          <w:lang w:val="en-GB"/>
        </w:rPr>
        <w:t xml:space="preserve"> the effect of unannounced periodic hospital surveys</w:t>
      </w:r>
    </w:p>
    <w:p w:rsidR="008C18B4" w:rsidRDefault="008C18B4" w:rsidP="00E729E2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E729E2" w:rsidRPr="00C21A1C" w:rsidRDefault="00E729E2" w:rsidP="00E729E2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21A1C">
        <w:rPr>
          <w:rFonts w:ascii="Times New Roman" w:hAnsi="Times New Roman" w:cs="Times New Roman"/>
          <w:color w:val="FF0000"/>
          <w:sz w:val="24"/>
          <w:szCs w:val="24"/>
          <w:lang w:val="en-US"/>
        </w:rPr>
        <w:t>Katherina Beltoft Simonsen</w:t>
      </w:r>
      <w:r w:rsidRPr="00C21A1C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1</w:t>
      </w:r>
      <w:r w:rsidRPr="00C21A1C">
        <w:rPr>
          <w:rFonts w:ascii="Times New Roman" w:hAnsi="Times New Roman" w:cs="Times New Roman"/>
          <w:color w:val="FF0000"/>
          <w:sz w:val="24"/>
          <w:szCs w:val="24"/>
          <w:lang w:val="en-US"/>
        </w:rPr>
        <w:t>, Anne Vingaard Olesen</w:t>
      </w:r>
      <w:r w:rsidRPr="00C21A1C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1</w:t>
      </w:r>
      <w:r w:rsidRPr="00C21A1C">
        <w:rPr>
          <w:rFonts w:ascii="Times New Roman" w:hAnsi="Times New Roman" w:cs="Times New Roman"/>
          <w:color w:val="FF0000"/>
          <w:sz w:val="24"/>
          <w:szCs w:val="24"/>
          <w:lang w:val="en-US"/>
        </w:rPr>
        <w:t>, Gitte Sand Rasmussen</w:t>
      </w:r>
      <w:r w:rsidR="00E145A0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2</w:t>
      </w:r>
      <w:r w:rsidRPr="00C21A1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and Lars Holger Ehlers</w:t>
      </w:r>
      <w:r w:rsidRPr="00C21A1C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1</w:t>
      </w:r>
    </w:p>
    <w:p w:rsidR="00E729E2" w:rsidRPr="00BE3F5D" w:rsidRDefault="00E729E2" w:rsidP="00E729E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E3F5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BE3F5D">
        <w:rPr>
          <w:rFonts w:ascii="Times New Roman" w:hAnsi="Times New Roman" w:cs="Times New Roman"/>
          <w:sz w:val="24"/>
          <w:szCs w:val="24"/>
          <w:lang w:val="en-GB"/>
        </w:rPr>
        <w:t xml:space="preserve">Danish </w:t>
      </w:r>
      <w:proofErr w:type="spellStart"/>
      <w:r w:rsidRPr="00BE3F5D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BE3F5D">
        <w:rPr>
          <w:rFonts w:ascii="Times New Roman" w:hAnsi="Times New Roman" w:cs="Times New Roman"/>
          <w:sz w:val="24"/>
          <w:szCs w:val="24"/>
          <w:lang w:val="en-GB"/>
        </w:rPr>
        <w:t xml:space="preserve"> for Healthcare Improvements, Faculty of Social Sciences and Faculty of Health Science</w:t>
      </w:r>
      <w:r w:rsidR="00E145A0">
        <w:rPr>
          <w:rFonts w:ascii="Times New Roman" w:hAnsi="Times New Roman" w:cs="Times New Roman"/>
          <w:sz w:val="24"/>
          <w:szCs w:val="24"/>
          <w:lang w:val="en-GB"/>
        </w:rPr>
        <w:t xml:space="preserve">s, Aalborg University, Denmark </w:t>
      </w:r>
      <w:r w:rsidRPr="00BE3F5D">
        <w:rPr>
          <w:rStyle w:val="Strk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and </w:t>
      </w:r>
      <w:r w:rsidR="00E145A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C21A1C">
        <w:rPr>
          <w:rFonts w:ascii="Times New Roman" w:hAnsi="Times New Roman" w:cs="Times New Roman"/>
          <w:sz w:val="24"/>
          <w:szCs w:val="24"/>
          <w:lang w:val="en-GB"/>
        </w:rPr>
        <w:t>The Danish I</w:t>
      </w:r>
      <w:r w:rsidRPr="00BE3F5D">
        <w:rPr>
          <w:rFonts w:ascii="Times New Roman" w:hAnsi="Times New Roman" w:cs="Times New Roman"/>
          <w:sz w:val="24"/>
          <w:szCs w:val="24"/>
          <w:lang w:val="en-GB"/>
        </w:rPr>
        <w:t>nstitute for Quality and Accreditation in Health Care, Aarhus, Denmark</w:t>
      </w:r>
      <w:r w:rsidRPr="00BE3F5D">
        <w:rPr>
          <w:rStyle w:val="Strk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.</w:t>
      </w:r>
      <w:bookmarkStart w:id="1" w:name="_GoBack"/>
      <w:bookmarkEnd w:id="1"/>
    </w:p>
    <w:p w:rsidR="00E729E2" w:rsidRPr="00C21A1C" w:rsidRDefault="00E729E2" w:rsidP="00E729E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E3F5D">
        <w:rPr>
          <w:rFonts w:ascii="Times New Roman" w:hAnsi="Times New Roman" w:cs="Times New Roman"/>
          <w:sz w:val="24"/>
          <w:szCs w:val="24"/>
          <w:lang w:val="en-GB"/>
        </w:rPr>
        <w:t xml:space="preserve">Email addresses: Katherina Beltoft Simonsen </w:t>
      </w:r>
      <w:hyperlink r:id="rId8" w:history="1">
        <w:r w:rsidR="00123A1B" w:rsidRPr="00C8044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kbs@id.aau.dk</w:t>
        </w:r>
      </w:hyperlink>
      <w:r w:rsidRPr="00BE3F5D">
        <w:rPr>
          <w:rFonts w:ascii="Times New Roman" w:hAnsi="Times New Roman" w:cs="Times New Roman"/>
          <w:sz w:val="24"/>
          <w:szCs w:val="24"/>
          <w:lang w:val="en-GB"/>
        </w:rPr>
        <w:t xml:space="preserve">, Anne Vingaard Olesen </w:t>
      </w:r>
      <w:hyperlink r:id="rId9" w:history="1">
        <w:r w:rsidR="00123A1B" w:rsidRPr="00C8044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avo@id.aau.dk</w:t>
        </w:r>
      </w:hyperlink>
      <w:r w:rsidR="00123A1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E3F5D">
        <w:rPr>
          <w:rFonts w:ascii="Times New Roman" w:hAnsi="Times New Roman" w:cs="Times New Roman"/>
          <w:sz w:val="24"/>
          <w:szCs w:val="24"/>
          <w:lang w:val="en-GB"/>
        </w:rPr>
        <w:t xml:space="preserve">Gitte Sand Rasmussen </w:t>
      </w:r>
      <w:hyperlink r:id="rId10" w:history="1">
        <w:r w:rsidRPr="00BE3F5D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gr@ikas.dk</w:t>
        </w:r>
      </w:hyperlink>
      <w:r w:rsidR="00123A1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E3F5D">
        <w:rPr>
          <w:rFonts w:ascii="Times New Roman" w:hAnsi="Times New Roman" w:cs="Times New Roman"/>
          <w:sz w:val="24"/>
          <w:szCs w:val="24"/>
          <w:lang w:val="en-GB"/>
        </w:rPr>
        <w:t xml:space="preserve">and Lars </w:t>
      </w:r>
      <w:r w:rsidRPr="00C21A1C">
        <w:rPr>
          <w:rFonts w:ascii="Times New Roman" w:hAnsi="Times New Roman" w:cs="Times New Roman"/>
          <w:sz w:val="24"/>
          <w:szCs w:val="24"/>
          <w:lang w:val="en-GB"/>
        </w:rPr>
        <w:t>Holger Ehlers</w:t>
      </w:r>
      <w:r w:rsidR="00C21A1C" w:rsidRPr="00C21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1" w:history="1">
        <w:r w:rsidR="00123A1B" w:rsidRPr="00C8044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lehlers@id.aau.dk</w:t>
        </w:r>
      </w:hyperlink>
      <w:r w:rsidRPr="00C21A1C">
        <w:rPr>
          <w:rFonts w:ascii="Times New Roman" w:hAnsi="Times New Roman" w:cs="Times New Roman"/>
          <w:sz w:val="24"/>
          <w:szCs w:val="24"/>
          <w:lang w:val="en-GB"/>
        </w:rPr>
        <w:t xml:space="preserve">.   </w:t>
      </w:r>
    </w:p>
    <w:p w:rsidR="00E729E2" w:rsidRPr="00BE3F5D" w:rsidRDefault="00E729E2" w:rsidP="00FE17C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729E2" w:rsidRPr="00BE3F5D" w:rsidRDefault="00E729E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3F5D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9A32B5" w:rsidRPr="00A26C24" w:rsidRDefault="00FE17CC" w:rsidP="003E0DC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6C2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Objectives</w:t>
      </w:r>
      <w:r w:rsidR="00E729E2" w:rsidRPr="00A26C2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729E2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To evaluate the effect of </w:t>
      </w:r>
      <w:r w:rsidR="00F87475">
        <w:rPr>
          <w:rFonts w:ascii="Times New Roman" w:hAnsi="Times New Roman" w:cs="Times New Roman"/>
          <w:sz w:val="24"/>
          <w:szCs w:val="24"/>
          <w:lang w:val="en-GB"/>
        </w:rPr>
        <w:t xml:space="preserve">announced versus </w:t>
      </w:r>
      <w:r w:rsidR="00E729E2" w:rsidRPr="00A26C24">
        <w:rPr>
          <w:rFonts w:ascii="Times New Roman" w:hAnsi="Times New Roman" w:cs="Times New Roman"/>
          <w:sz w:val="24"/>
          <w:szCs w:val="24"/>
          <w:lang w:val="en-GB"/>
        </w:rPr>
        <w:t>unannounced periodic hospital surveys</w:t>
      </w:r>
      <w:r w:rsidR="00E729E2" w:rsidRPr="00A26C24">
        <w:rPr>
          <w:rStyle w:val="Kommentarhenvisning"/>
          <w:rFonts w:ascii="Times New Roman" w:hAnsi="Times New Roman" w:cs="Times New Roman"/>
          <w:sz w:val="24"/>
          <w:szCs w:val="24"/>
          <w:lang w:val="en-GB"/>
        </w:rPr>
        <w:t xml:space="preserve"> based </w:t>
      </w:r>
      <w:r w:rsidR="00E729E2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on an abbreviated set of the national accreditation standards and performance indicators from </w:t>
      </w:r>
      <w:r w:rsidR="00A4109C" w:rsidRPr="00A26C24">
        <w:rPr>
          <w:rFonts w:ascii="Times New Roman" w:hAnsi="Times New Roman" w:cs="Times New Roman"/>
          <w:sz w:val="24"/>
          <w:szCs w:val="24"/>
          <w:lang w:val="en-GB"/>
        </w:rPr>
        <w:t>The Danish Health Care Quality Programme version 2 (</w:t>
      </w:r>
      <w:r w:rsidR="00E729E2" w:rsidRPr="00A26C24">
        <w:rPr>
          <w:rFonts w:ascii="Times New Roman" w:hAnsi="Times New Roman" w:cs="Times New Roman"/>
          <w:sz w:val="24"/>
          <w:szCs w:val="24"/>
          <w:lang w:val="en-GB"/>
        </w:rPr>
        <w:t>DDKM version 2</w:t>
      </w:r>
      <w:r w:rsidR="00A4109C" w:rsidRPr="00A26C2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729E2" w:rsidRPr="00A26C2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03217" w:rsidRDefault="00FE17CC" w:rsidP="0040178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6C24">
        <w:rPr>
          <w:rFonts w:ascii="Times New Roman" w:hAnsi="Times New Roman" w:cs="Times New Roman"/>
          <w:b/>
          <w:sz w:val="24"/>
          <w:szCs w:val="24"/>
          <w:lang w:val="en-GB"/>
        </w:rPr>
        <w:t>Methods:</w:t>
      </w:r>
      <w:r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023A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5C2C3E">
        <w:rPr>
          <w:rFonts w:ascii="Times New Roman" w:hAnsi="Times New Roman" w:cs="Times New Roman"/>
          <w:sz w:val="24"/>
          <w:szCs w:val="24"/>
          <w:lang w:val="en-GB"/>
        </w:rPr>
        <w:t>cluster-</w:t>
      </w:r>
      <w:r w:rsidR="00137A8C" w:rsidRPr="00A26C24">
        <w:rPr>
          <w:rFonts w:ascii="Times New Roman" w:hAnsi="Times New Roman" w:cs="Times New Roman"/>
          <w:sz w:val="24"/>
          <w:szCs w:val="24"/>
          <w:lang w:val="en-GB"/>
        </w:rPr>
        <w:t>randomised</w:t>
      </w:r>
      <w:r w:rsidR="00D325A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37A8C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controlled trial (RCT)</w:t>
      </w:r>
      <w:r w:rsidR="00803217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9B023A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the first sub-project of the nationwide research project “Unannounced surveys in public hospitals” designed by the Danish Institute for Quality and Accreditation in Healthcare (IKAS) and the Danish </w:t>
      </w:r>
      <w:proofErr w:type="spellStart"/>
      <w:r w:rsidR="009B023A" w:rsidRPr="00A26C24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="009B023A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for Healthcare Improvements (DCHI).</w:t>
      </w:r>
      <w:r w:rsidR="006433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EB5438" w:rsidRPr="0083619F" w:rsidRDefault="00401783" w:rsidP="0040178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Twenty-three hospitals (77%) (3 university hospitals, 5 psychiatric hospitals, and 15 general hospitals) agreed to participate </w:t>
      </w:r>
      <w:r w:rsidR="00062A08">
        <w:rPr>
          <w:rFonts w:ascii="Times New Roman" w:hAnsi="Times New Roman" w:cs="Times New Roman"/>
          <w:sz w:val="24"/>
          <w:szCs w:val="24"/>
          <w:lang w:val="en-GB"/>
        </w:rPr>
        <w:t xml:space="preserve">in this trial </w:t>
      </w:r>
      <w:r w:rsidRPr="00A26C24">
        <w:rPr>
          <w:rFonts w:ascii="Times New Roman" w:hAnsi="Times New Roman" w:cs="Times New Roman"/>
          <w:sz w:val="24"/>
          <w:szCs w:val="24"/>
          <w:lang w:val="en-GB"/>
        </w:rPr>
        <w:t>and to be randomised to one of the trial cluster</w:t>
      </w:r>
      <w:r w:rsidR="00901B80" w:rsidRPr="00A26C24">
        <w:rPr>
          <w:rFonts w:ascii="Times New Roman" w:hAnsi="Times New Roman" w:cs="Times New Roman"/>
          <w:sz w:val="24"/>
          <w:szCs w:val="24"/>
          <w:lang w:val="en-GB"/>
        </w:rPr>
        <w:t>s. Eleven hospitals receive</w:t>
      </w:r>
      <w:r w:rsidR="002045A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announced surveys (control group) and 12 hospitals receive</w:t>
      </w:r>
      <w:r w:rsidR="002045A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unannounced surveys (intervention group).</w:t>
      </w:r>
      <w:r w:rsidR="00327A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6C24">
        <w:rPr>
          <w:rFonts w:ascii="Times New Roman" w:hAnsi="Times New Roman" w:cs="Times New Roman"/>
          <w:sz w:val="24"/>
          <w:szCs w:val="24"/>
          <w:lang w:val="en-GB"/>
        </w:rPr>
        <w:t>We hypothesise that hospitals receiving unannounced surveys will be rated as less successful than hospitals receiving announced surveys, defined as less compliance with accreditation standards. Nine experienced</w:t>
      </w:r>
      <w:r w:rsidR="00062A08">
        <w:rPr>
          <w:rFonts w:ascii="Times New Roman" w:hAnsi="Times New Roman" w:cs="Times New Roman"/>
          <w:sz w:val="24"/>
          <w:szCs w:val="24"/>
          <w:lang w:val="en-GB"/>
        </w:rPr>
        <w:t xml:space="preserve"> and educated</w:t>
      </w:r>
      <w:r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surveyors w</w:t>
      </w:r>
      <w:r w:rsidR="00D850BF">
        <w:rPr>
          <w:rFonts w:ascii="Times New Roman" w:hAnsi="Times New Roman" w:cs="Times New Roman"/>
          <w:sz w:val="24"/>
          <w:szCs w:val="24"/>
          <w:lang w:val="en-GB"/>
        </w:rPr>
        <w:t>ere</w:t>
      </w:r>
      <w:r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responsible for conducting the surveys according to an abbreviated version of </w:t>
      </w:r>
      <w:r w:rsidR="00D2269A">
        <w:rPr>
          <w:rFonts w:ascii="Times New Roman" w:hAnsi="Times New Roman" w:cs="Times New Roman"/>
          <w:sz w:val="24"/>
          <w:szCs w:val="24"/>
          <w:lang w:val="en-GB"/>
        </w:rPr>
        <w:t>DDKM version 2</w:t>
      </w:r>
      <w:r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. The outcome is </w:t>
      </w:r>
      <w:r w:rsidR="00C358DA">
        <w:rPr>
          <w:rFonts w:ascii="Times New Roman" w:hAnsi="Times New Roman" w:cs="Times New Roman"/>
          <w:sz w:val="24"/>
          <w:szCs w:val="24"/>
          <w:lang w:val="en-GB"/>
        </w:rPr>
        <w:t xml:space="preserve">the surveyors’ </w:t>
      </w:r>
      <w:r w:rsidR="004F2AF1">
        <w:rPr>
          <w:rFonts w:ascii="Times New Roman" w:hAnsi="Times New Roman" w:cs="Times New Roman"/>
          <w:sz w:val="24"/>
          <w:szCs w:val="24"/>
          <w:lang w:val="en-GB"/>
        </w:rPr>
        <w:t>asse</w:t>
      </w:r>
      <w:r w:rsidR="00F71D34">
        <w:rPr>
          <w:rFonts w:ascii="Times New Roman" w:hAnsi="Times New Roman" w:cs="Times New Roman"/>
          <w:sz w:val="24"/>
          <w:szCs w:val="24"/>
          <w:lang w:val="en-GB"/>
        </w:rPr>
        <w:t>ss</w:t>
      </w:r>
      <w:r w:rsidR="004F2AF1">
        <w:rPr>
          <w:rFonts w:ascii="Times New Roman" w:hAnsi="Times New Roman" w:cs="Times New Roman"/>
          <w:sz w:val="24"/>
          <w:szCs w:val="24"/>
          <w:lang w:val="en-GB"/>
        </w:rPr>
        <w:t xml:space="preserve">ment of </w:t>
      </w:r>
      <w:r w:rsidR="00C358DA">
        <w:rPr>
          <w:rFonts w:ascii="Times New Roman" w:hAnsi="Times New Roman" w:cs="Times New Roman"/>
          <w:sz w:val="24"/>
          <w:szCs w:val="24"/>
          <w:lang w:val="en-GB"/>
        </w:rPr>
        <w:t xml:space="preserve">the hospitals’ level of </w:t>
      </w:r>
      <w:r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compliance with </w:t>
      </w:r>
      <w:r w:rsidR="00C358DA">
        <w:rPr>
          <w:rFonts w:ascii="Times New Roman" w:hAnsi="Times New Roman" w:cs="Times New Roman"/>
          <w:sz w:val="24"/>
          <w:szCs w:val="24"/>
          <w:lang w:val="en-GB"/>
        </w:rPr>
        <w:t xml:space="preserve">accreditation standards and </w:t>
      </w:r>
      <w:r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indicators. Compliance </w:t>
      </w:r>
      <w:r w:rsidR="00C358DA">
        <w:rPr>
          <w:rFonts w:ascii="Times New Roman" w:hAnsi="Times New Roman" w:cs="Times New Roman"/>
          <w:sz w:val="24"/>
          <w:szCs w:val="24"/>
          <w:lang w:val="en-GB"/>
        </w:rPr>
        <w:t xml:space="preserve">with accreditation standards </w:t>
      </w:r>
      <w:r w:rsidRPr="00A26C24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5C2C3E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314C98" w:rsidRPr="00A26C24">
        <w:rPr>
          <w:rFonts w:ascii="Times New Roman" w:hAnsi="Times New Roman" w:cs="Times New Roman"/>
          <w:sz w:val="24"/>
          <w:szCs w:val="24"/>
          <w:lang w:val="en-GB"/>
        </w:rPr>
        <w:t>nalysed using</w:t>
      </w:r>
      <w:r w:rsidR="00B72564">
        <w:rPr>
          <w:rFonts w:ascii="Times New Roman" w:hAnsi="Times New Roman" w:cs="Times New Roman"/>
          <w:sz w:val="24"/>
          <w:szCs w:val="24"/>
          <w:lang w:val="en-GB"/>
        </w:rPr>
        <w:t xml:space="preserve"> contingency tables and</w:t>
      </w:r>
      <w:r w:rsidR="00314C98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2C3E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A26C24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andom-intercept </w:t>
      </w:r>
      <w:r w:rsidR="00314C98" w:rsidRPr="00A26C24">
        <w:rPr>
          <w:rFonts w:ascii="Times New Roman" w:hAnsi="Times New Roman" w:cs="Times New Roman"/>
          <w:sz w:val="24"/>
          <w:szCs w:val="24"/>
          <w:lang w:val="en-GB"/>
        </w:rPr>
        <w:t>logistic</w:t>
      </w:r>
      <w:r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regression analysis</w:t>
      </w:r>
      <w:r w:rsidR="00FB3CB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50657" w:rsidRPr="00A46B64" w:rsidRDefault="00FE17CC" w:rsidP="00A26C2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6C24">
        <w:rPr>
          <w:rFonts w:ascii="Times New Roman" w:hAnsi="Times New Roman" w:cs="Times New Roman"/>
          <w:b/>
          <w:sz w:val="24"/>
          <w:szCs w:val="24"/>
          <w:lang w:val="en-GB"/>
        </w:rPr>
        <w:t>Results:</w:t>
      </w:r>
      <w:r w:rsidR="00EB5438" w:rsidRPr="00A26C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46B64">
        <w:rPr>
          <w:rFonts w:ascii="Times New Roman" w:hAnsi="Times New Roman" w:cs="Times New Roman"/>
          <w:sz w:val="24"/>
          <w:szCs w:val="24"/>
          <w:lang w:val="en-GB"/>
        </w:rPr>
        <w:t>Assessment of the compliance with</w:t>
      </w:r>
      <w:r w:rsidR="00EB6FE6" w:rsidRPr="00A46B64">
        <w:rPr>
          <w:rFonts w:ascii="Times New Roman" w:hAnsi="Times New Roman" w:cs="Times New Roman"/>
          <w:sz w:val="24"/>
          <w:szCs w:val="24"/>
          <w:lang w:val="en-GB"/>
        </w:rPr>
        <w:t xml:space="preserve"> implementation of clinical guidelines</w:t>
      </w:r>
      <w:r w:rsidR="00EB6FE6">
        <w:rPr>
          <w:rFonts w:ascii="Times New Roman" w:hAnsi="Times New Roman" w:cs="Times New Roman"/>
          <w:sz w:val="24"/>
          <w:szCs w:val="24"/>
          <w:lang w:val="en-GB"/>
        </w:rPr>
        <w:t xml:space="preserve"> was</w:t>
      </w:r>
      <w:r w:rsidR="00CE707B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highly overrepresented in</w:t>
      </w:r>
      <w:r w:rsidR="00652455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this study, why </w:t>
      </w:r>
      <w:r w:rsidR="00DC25DA" w:rsidRPr="00A26C24">
        <w:rPr>
          <w:rFonts w:ascii="Times New Roman" w:hAnsi="Times New Roman" w:cs="Times New Roman"/>
          <w:sz w:val="24"/>
          <w:szCs w:val="24"/>
          <w:lang w:val="en-GB"/>
        </w:rPr>
        <w:t>results from this data sample are</w:t>
      </w:r>
      <w:r w:rsidR="00CE707B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presented</w:t>
      </w:r>
      <w:r w:rsidR="00CB261D">
        <w:rPr>
          <w:rStyle w:val="Fodnotehenvisning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="00CE707B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61698" w:rsidRPr="00A26C24">
        <w:rPr>
          <w:rFonts w:ascii="Times New Roman" w:hAnsi="Times New Roman" w:cs="Times New Roman"/>
          <w:sz w:val="24"/>
          <w:szCs w:val="24"/>
          <w:lang w:val="en-GB"/>
        </w:rPr>
        <w:t>Based on 19 hospital</w:t>
      </w:r>
      <w:r w:rsidR="00A26C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1698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surveys, </w:t>
      </w:r>
      <w:r w:rsidR="00F71D34" w:rsidRPr="00A26C24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F71D34">
        <w:rPr>
          <w:rFonts w:ascii="Times New Roman" w:hAnsi="Times New Roman" w:cs="Times New Roman"/>
          <w:sz w:val="24"/>
          <w:szCs w:val="24"/>
          <w:lang w:val="en-GB"/>
        </w:rPr>
        <w:t>552</w:t>
      </w:r>
      <w:r w:rsidR="00161698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3217">
        <w:rPr>
          <w:rFonts w:ascii="Times New Roman" w:hAnsi="Times New Roman" w:cs="Times New Roman"/>
          <w:sz w:val="24"/>
          <w:szCs w:val="24"/>
          <w:lang w:val="en-GB"/>
        </w:rPr>
        <w:t>compliance</w:t>
      </w:r>
      <w:r w:rsidR="00161698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ratings</w:t>
      </w:r>
      <w:r w:rsidR="00CE707B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6B64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CB26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1698" w:rsidRPr="00A26C24">
        <w:rPr>
          <w:rFonts w:ascii="Times New Roman" w:hAnsi="Times New Roman" w:cs="Times New Roman"/>
          <w:sz w:val="24"/>
          <w:szCs w:val="24"/>
          <w:lang w:val="en-GB"/>
        </w:rPr>
        <w:t>applicable for data analysis</w:t>
      </w:r>
      <w:r w:rsidR="00BB36E8" w:rsidRPr="00A26C2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D361A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table 1</w:t>
      </w:r>
      <w:r w:rsidR="009D1ED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26C24" w:rsidRPr="00BE3F5D">
        <w:rPr>
          <w:rFonts w:ascii="Times New Roman" w:hAnsi="Times New Roman" w:cs="Times New Roman"/>
          <w:b/>
          <w:noProof/>
          <w:lang w:eastAsia="da-DK"/>
        </w:rPr>
        <w:lastRenderedPageBreak/>
        <mc:AlternateContent>
          <mc:Choice Requires="wps">
            <w:drawing>
              <wp:inline distT="0" distB="0" distL="0" distR="0" wp14:anchorId="6ADBB3C6" wp14:editId="098C9371">
                <wp:extent cx="6159500" cy="1798320"/>
                <wp:effectExtent l="0" t="0" r="0" b="0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A0" w:rsidRPr="00A26C24" w:rsidRDefault="00E145A0" w:rsidP="00A26C24">
                            <w:pPr>
                              <w:pStyle w:val="Billedtekst"/>
                              <w:keepNext/>
                              <w:spacing w:after="0"/>
                              <w:rPr>
                                <w:lang w:val="en-US"/>
                              </w:rPr>
                            </w:pPr>
                            <w:r w:rsidRPr="00A26C24">
                              <w:rPr>
                                <w:lang w:val="en-US"/>
                              </w:rPr>
                              <w:t xml:space="preserve">Table 1 </w:t>
                            </w:r>
                            <w:r>
                              <w:rPr>
                                <w:lang w:val="en-US"/>
                              </w:rPr>
                              <w:t>Compliance with implementation of clinical guidelines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5"/>
                              <w:gridCol w:w="923"/>
                              <w:gridCol w:w="2410"/>
                              <w:gridCol w:w="2268"/>
                              <w:gridCol w:w="1417"/>
                              <w:gridCol w:w="709"/>
                            </w:tblGrid>
                            <w:tr w:rsidR="00E145A0" w:rsidRPr="006962F9" w:rsidTr="00DC25DA">
                              <w:trPr>
                                <w:trHeight w:val="294"/>
                              </w:trPr>
                              <w:tc>
                                <w:tcPr>
                                  <w:tcW w:w="1595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A26C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Not impl.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Impl. with major deviations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Impl. with minor deviations</w:t>
                                  </w:r>
                                  <w:r w:rsidRPr="0064003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Consistent impl.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64003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145A0" w:rsidRPr="006962F9" w:rsidTr="00DC25DA">
                              <w:trPr>
                                <w:trHeight w:val="294"/>
                              </w:trPr>
                              <w:tc>
                                <w:tcPr>
                                  <w:tcW w:w="1595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Pr="00AC7A69" w:rsidRDefault="00E145A0" w:rsidP="00AC7A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Unannounced surveys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6424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  <w:noWrap/>
                                  <w:hideMark/>
                                </w:tcPr>
                                <w:p w:rsidR="00E145A0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6700</w:t>
                                  </w:r>
                                </w:p>
                              </w:tc>
                            </w:tr>
                            <w:tr w:rsidR="00E145A0" w:rsidRPr="006962F9" w:rsidTr="00DC25DA">
                              <w:trPr>
                                <w:trHeight w:val="69"/>
                              </w:trPr>
                              <w:tc>
                                <w:tcPr>
                                  <w:tcW w:w="1595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AC7A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64003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1.43%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64003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1.59%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64003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1.14%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64003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95.85%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E145A0" w:rsidRPr="0064003B" w:rsidTr="00DC25DA">
                              <w:trPr>
                                <w:trHeight w:val="294"/>
                              </w:trPr>
                              <w:tc>
                                <w:tcPr>
                                  <w:tcW w:w="1595" w:type="dxa"/>
                                  <w:tcBorders>
                                    <w:bottom w:val="nil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AC7A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8516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Announced surveys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bottom w:val="nil"/>
                                  </w:tcBorders>
                                  <w:noWrap/>
                                  <w:hideMark/>
                                </w:tcPr>
                                <w:p w:rsidR="00E145A0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64003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nil"/>
                                  </w:tcBorders>
                                  <w:noWrap/>
                                  <w:hideMark/>
                                </w:tcPr>
                                <w:p w:rsidR="00E145A0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64003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  <w:noWrap/>
                                  <w:hideMark/>
                                </w:tcPr>
                                <w:p w:rsidR="00E145A0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nil"/>
                                  </w:tcBorders>
                                  <w:noWrap/>
                                  <w:hideMark/>
                                </w:tcPr>
                                <w:p w:rsidR="00E145A0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5644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nil"/>
                                  </w:tcBorders>
                                  <w:noWrap/>
                                  <w:hideMark/>
                                </w:tcPr>
                                <w:p w:rsidR="00E145A0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5852</w:t>
                                  </w:r>
                                </w:p>
                              </w:tc>
                            </w:tr>
                            <w:tr w:rsidR="00E145A0" w:rsidRPr="0064003B" w:rsidTr="00DC25DA">
                              <w:trPr>
                                <w:trHeight w:val="294"/>
                              </w:trPr>
                              <w:tc>
                                <w:tcPr>
                                  <w:tcW w:w="1595" w:type="dxa"/>
                                  <w:tcBorders>
                                    <w:top w:val="nil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A26C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64003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(%)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64003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0.96%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64003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1.32%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64003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1.21%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64003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96.15%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</w:tcBorders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E145A0" w:rsidRPr="0064003B" w:rsidTr="00DC25DA">
                              <w:trPr>
                                <w:trHeight w:val="294"/>
                              </w:trPr>
                              <w:tc>
                                <w:tcPr>
                                  <w:tcW w:w="1595" w:type="dxa"/>
                                  <w:noWrap/>
                                  <w:hideMark/>
                                </w:tcPr>
                                <w:p w:rsidR="00E145A0" w:rsidRPr="00E85166" w:rsidRDefault="00E145A0" w:rsidP="00A26C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8516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noWrap/>
                                  <w:hideMark/>
                                </w:tcPr>
                                <w:p w:rsidR="00E145A0" w:rsidRPr="0064003B" w:rsidRDefault="00E145A0" w:rsidP="005B174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12068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hideMark/>
                                </w:tcPr>
                                <w:p w:rsidR="00E145A0" w:rsidRPr="0064003B" w:rsidRDefault="00E145A0" w:rsidP="00DB78B3">
                                  <w:pPr>
                                    <w:keepNext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12552</w:t>
                                  </w:r>
                                </w:p>
                              </w:tc>
                            </w:tr>
                          </w:tbl>
                          <w:p w:rsidR="00E145A0" w:rsidRDefault="00E145A0">
                            <w:pPr>
                              <w:pStyle w:val="Billedtekst"/>
                            </w:pPr>
                            <w:r>
                              <w:t xml:space="preserve">Abbreviation: </w:t>
                            </w:r>
                            <w:proofErr w:type="spellStart"/>
                            <w:r>
                              <w:t>impl</w:t>
                            </w:r>
                            <w:proofErr w:type="spellEnd"/>
                            <w:r>
                              <w:t>.=</w:t>
                            </w:r>
                            <w:proofErr w:type="spellStart"/>
                            <w:r>
                              <w:t>implemented</w:t>
                            </w:r>
                            <w:proofErr w:type="spellEnd"/>
                          </w:p>
                          <w:p w:rsidR="00E145A0" w:rsidRDefault="00E145A0" w:rsidP="00A26C2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85pt;height:1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" stroked="f">
                <v:textbox>
                  <w:txbxContent>
                    <w:p w:rsidR="00E145A0" w:rsidRPr="00A26C24" w:rsidRDefault="00E145A0" w:rsidP="00A26C24">
                      <w:pPr>
                        <w:pStyle w:val="Billedtekst"/>
                        <w:keepNext/>
                        <w:spacing w:after="0"/>
                        <w:rPr>
                          <w:lang w:val="en-US"/>
                        </w:rPr>
                      </w:pPr>
                      <w:r w:rsidRPr="00A26C24">
                        <w:rPr>
                          <w:lang w:val="en-US"/>
                        </w:rPr>
                        <w:t xml:space="preserve">Table 1 </w:t>
                      </w:r>
                      <w:r>
                        <w:rPr>
                          <w:lang w:val="en-US"/>
                        </w:rPr>
                        <w:t>Compliance with implementation of clinical guidelines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5"/>
                        <w:gridCol w:w="923"/>
                        <w:gridCol w:w="2410"/>
                        <w:gridCol w:w="2268"/>
                        <w:gridCol w:w="1417"/>
                        <w:gridCol w:w="709"/>
                      </w:tblGrid>
                      <w:tr w:rsidR="00E145A0" w:rsidRPr="006962F9" w:rsidTr="00DC25DA">
                        <w:trPr>
                          <w:trHeight w:val="294"/>
                        </w:trPr>
                        <w:tc>
                          <w:tcPr>
                            <w:tcW w:w="1595" w:type="dxa"/>
                            <w:tcBorders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E145A0" w:rsidRPr="0064003B" w:rsidRDefault="00E145A0" w:rsidP="00A26C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Not impl.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Impl. with major deviations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Impl. with minor deviations</w:t>
                            </w:r>
                            <w:r w:rsidRPr="0064003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Consistent impl.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4003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Total</w:t>
                            </w:r>
                          </w:p>
                        </w:tc>
                      </w:tr>
                      <w:tr w:rsidR="00E145A0" w:rsidRPr="006962F9" w:rsidTr="00DC25DA">
                        <w:trPr>
                          <w:trHeight w:val="294"/>
                        </w:trPr>
                        <w:tc>
                          <w:tcPr>
                            <w:tcW w:w="1595" w:type="dxa"/>
                            <w:tcBorders>
                              <w:bottom w:val="nil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E145A0" w:rsidRPr="00AC7A69" w:rsidRDefault="00E145A0" w:rsidP="00AC7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GB"/>
                              </w:rPr>
                              <w:t>Unannounced surveys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E145A0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E145A0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E145A0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E145A0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6424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  <w:bottom w:val="nil"/>
                            </w:tcBorders>
                            <w:noWrap/>
                            <w:hideMark/>
                          </w:tcPr>
                          <w:p w:rsidR="00E145A0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6700</w:t>
                            </w:r>
                          </w:p>
                        </w:tc>
                      </w:tr>
                      <w:tr w:rsidR="00E145A0" w:rsidRPr="006962F9" w:rsidTr="00DC25DA">
                        <w:trPr>
                          <w:trHeight w:val="69"/>
                        </w:trPr>
                        <w:tc>
                          <w:tcPr>
                            <w:tcW w:w="1595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E145A0" w:rsidRPr="0064003B" w:rsidRDefault="00E145A0" w:rsidP="00AC7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4003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1.43%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4003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1.59%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4003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1.14%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4003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95.85%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100%</w:t>
                            </w:r>
                          </w:p>
                        </w:tc>
                      </w:tr>
                      <w:tr w:rsidR="00E145A0" w:rsidRPr="0064003B" w:rsidTr="00DC25DA">
                        <w:trPr>
                          <w:trHeight w:val="294"/>
                        </w:trPr>
                        <w:tc>
                          <w:tcPr>
                            <w:tcW w:w="1595" w:type="dxa"/>
                            <w:tcBorders>
                              <w:bottom w:val="nil"/>
                            </w:tcBorders>
                            <w:noWrap/>
                            <w:hideMark/>
                          </w:tcPr>
                          <w:p w:rsidR="00E145A0" w:rsidRPr="0064003B" w:rsidRDefault="00E145A0" w:rsidP="00AC7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8516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GB"/>
                              </w:rPr>
                              <w:t>Announced surveys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bottom w:val="nil"/>
                            </w:tcBorders>
                            <w:noWrap/>
                            <w:hideMark/>
                          </w:tcPr>
                          <w:p w:rsidR="00E145A0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4003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nil"/>
                            </w:tcBorders>
                            <w:noWrap/>
                            <w:hideMark/>
                          </w:tcPr>
                          <w:p w:rsidR="00E145A0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4003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  <w:noWrap/>
                            <w:hideMark/>
                          </w:tcPr>
                          <w:p w:rsidR="00E145A0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nil"/>
                            </w:tcBorders>
                            <w:noWrap/>
                            <w:hideMark/>
                          </w:tcPr>
                          <w:p w:rsidR="00E145A0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5644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nil"/>
                            </w:tcBorders>
                            <w:noWrap/>
                            <w:hideMark/>
                          </w:tcPr>
                          <w:p w:rsidR="00E145A0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5852</w:t>
                            </w:r>
                          </w:p>
                        </w:tc>
                      </w:tr>
                      <w:tr w:rsidR="00E145A0" w:rsidRPr="0064003B" w:rsidTr="00DC25DA">
                        <w:trPr>
                          <w:trHeight w:val="294"/>
                        </w:trPr>
                        <w:tc>
                          <w:tcPr>
                            <w:tcW w:w="1595" w:type="dxa"/>
                            <w:tcBorders>
                              <w:top w:val="nil"/>
                            </w:tcBorders>
                            <w:noWrap/>
                            <w:hideMark/>
                          </w:tcPr>
                          <w:p w:rsidR="00E145A0" w:rsidRPr="0064003B" w:rsidRDefault="00E145A0" w:rsidP="00A26C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4003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(%)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</w:tcBorders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4003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0.96%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</w:tcBorders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4003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1.32%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4003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1.21%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</w:tcBorders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4003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96.15%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</w:tcBorders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100%</w:t>
                            </w:r>
                          </w:p>
                        </w:tc>
                      </w:tr>
                      <w:tr w:rsidR="00E145A0" w:rsidRPr="0064003B" w:rsidTr="00DC25DA">
                        <w:trPr>
                          <w:trHeight w:val="294"/>
                        </w:trPr>
                        <w:tc>
                          <w:tcPr>
                            <w:tcW w:w="1595" w:type="dxa"/>
                            <w:noWrap/>
                            <w:hideMark/>
                          </w:tcPr>
                          <w:p w:rsidR="00E145A0" w:rsidRPr="00E85166" w:rsidRDefault="00E145A0" w:rsidP="00A26C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8516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GB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23" w:type="dxa"/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2410" w:type="dxa"/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2268" w:type="dxa"/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1417" w:type="dxa"/>
                            <w:noWrap/>
                            <w:hideMark/>
                          </w:tcPr>
                          <w:p w:rsidR="00E145A0" w:rsidRPr="0064003B" w:rsidRDefault="00E145A0" w:rsidP="005B174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12068</w:t>
                            </w:r>
                          </w:p>
                        </w:tc>
                        <w:tc>
                          <w:tcPr>
                            <w:tcW w:w="709" w:type="dxa"/>
                            <w:noWrap/>
                            <w:hideMark/>
                          </w:tcPr>
                          <w:p w:rsidR="00E145A0" w:rsidRPr="0064003B" w:rsidRDefault="00E145A0" w:rsidP="00DB78B3">
                            <w:pPr>
                              <w:keepNext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12552</w:t>
                            </w:r>
                          </w:p>
                        </w:tc>
                      </w:tr>
                    </w:tbl>
                    <w:p w:rsidR="00E145A0" w:rsidRDefault="00E145A0">
                      <w:pPr>
                        <w:pStyle w:val="Billedtekst"/>
                      </w:pPr>
                      <w:r>
                        <w:t xml:space="preserve">Abbreviation: </w:t>
                      </w:r>
                      <w:proofErr w:type="spellStart"/>
                      <w:r>
                        <w:t>impl</w:t>
                      </w:r>
                      <w:proofErr w:type="spellEnd"/>
                      <w:r>
                        <w:t>.=</w:t>
                      </w:r>
                      <w:proofErr w:type="spellStart"/>
                      <w:r>
                        <w:t>implemented</w:t>
                      </w:r>
                      <w:proofErr w:type="spellEnd"/>
                    </w:p>
                    <w:p w:rsidR="00E145A0" w:rsidRDefault="00E145A0" w:rsidP="00A26C24"/>
                  </w:txbxContent>
                </v:textbox>
                <w10:anchorlock/>
              </v:shape>
            </w:pict>
          </mc:Fallback>
        </mc:AlternateContent>
      </w:r>
      <w:r w:rsidR="00AE69CF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The risk of </w:t>
      </w:r>
      <w:r w:rsidR="00890877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observing </w:t>
      </w:r>
      <w:r w:rsidR="00B3094F">
        <w:rPr>
          <w:rFonts w:ascii="Times New Roman" w:hAnsi="Times New Roman" w:cs="Times New Roman"/>
          <w:sz w:val="24"/>
          <w:szCs w:val="24"/>
          <w:lang w:val="en-GB"/>
        </w:rPr>
        <w:t xml:space="preserve">non-compliance with </w:t>
      </w:r>
      <w:r w:rsidR="00126640">
        <w:rPr>
          <w:rFonts w:ascii="Times New Roman" w:hAnsi="Times New Roman" w:cs="Times New Roman"/>
          <w:sz w:val="24"/>
          <w:szCs w:val="24"/>
          <w:lang w:val="en-GB"/>
        </w:rPr>
        <w:t>the implementation of clinical guidelines</w:t>
      </w:r>
      <w:r w:rsidR="00890877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6640">
        <w:rPr>
          <w:rFonts w:ascii="Times New Roman" w:hAnsi="Times New Roman" w:cs="Times New Roman"/>
          <w:sz w:val="24"/>
          <w:szCs w:val="24"/>
          <w:lang w:val="en-GB"/>
        </w:rPr>
        <w:t xml:space="preserve">during </w:t>
      </w:r>
      <w:r w:rsidR="00DB78B3">
        <w:rPr>
          <w:rFonts w:ascii="Times New Roman" w:hAnsi="Times New Roman" w:cs="Times New Roman"/>
          <w:sz w:val="24"/>
          <w:szCs w:val="24"/>
          <w:lang w:val="en-GB"/>
        </w:rPr>
        <w:t xml:space="preserve">unannounced surveys </w:t>
      </w:r>
      <w:r w:rsidR="00890877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compared </w:t>
      </w:r>
      <w:r w:rsidR="00FD0BBE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to announced surveys </w:t>
      </w:r>
      <w:r w:rsidR="00E85166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B3094F">
        <w:rPr>
          <w:rFonts w:ascii="Times New Roman" w:hAnsi="Times New Roman" w:cs="Times New Roman"/>
          <w:sz w:val="24"/>
          <w:szCs w:val="24"/>
          <w:lang w:val="en-GB"/>
        </w:rPr>
        <w:t xml:space="preserve"> insignificant </w:t>
      </w:r>
      <w:r w:rsidR="00FD0BBE" w:rsidRPr="00A26C24">
        <w:rPr>
          <w:rFonts w:ascii="Times New Roman" w:hAnsi="Times New Roman" w:cs="Times New Roman"/>
          <w:sz w:val="24"/>
          <w:szCs w:val="24"/>
          <w:lang w:val="en-GB"/>
        </w:rPr>
        <w:t>(OR = 1.</w:t>
      </w:r>
      <w:r w:rsidR="00A26C24" w:rsidRPr="00A26C24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8D361A" w:rsidRPr="00A26C24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6E2427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, 95%CI </w:t>
      </w:r>
      <w:r w:rsidR="00FD0BBE" w:rsidRPr="00A26C24">
        <w:rPr>
          <w:rFonts w:ascii="Times New Roman" w:hAnsi="Times New Roman" w:cs="Times New Roman"/>
          <w:sz w:val="24"/>
          <w:szCs w:val="24"/>
          <w:lang w:val="en-GB"/>
        </w:rPr>
        <w:t>0.</w:t>
      </w:r>
      <w:r w:rsidR="00A26C24" w:rsidRPr="00A26C24">
        <w:rPr>
          <w:rFonts w:ascii="Times New Roman" w:hAnsi="Times New Roman" w:cs="Times New Roman"/>
          <w:sz w:val="24"/>
          <w:szCs w:val="24"/>
          <w:lang w:val="en-GB"/>
        </w:rPr>
        <w:t>594</w:t>
      </w:r>
      <w:r w:rsidR="006E2427" w:rsidRPr="00A26C2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D361A" w:rsidRPr="00A26C24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D0BBE" w:rsidRPr="00A26C2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26C24" w:rsidRPr="00A26C24">
        <w:rPr>
          <w:rFonts w:ascii="Times New Roman" w:hAnsi="Times New Roman" w:cs="Times New Roman"/>
          <w:sz w:val="24"/>
          <w:szCs w:val="24"/>
          <w:lang w:val="en-GB"/>
        </w:rPr>
        <w:t>055; p=0.75</w:t>
      </w:r>
      <w:r w:rsidR="006E2427" w:rsidRPr="00A26C24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890877" w:rsidRPr="00A26C2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52455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B78B3">
        <w:rPr>
          <w:rFonts w:ascii="Times New Roman" w:hAnsi="Times New Roman" w:cs="Times New Roman"/>
          <w:sz w:val="24"/>
          <w:szCs w:val="24"/>
          <w:lang w:val="en-GB"/>
        </w:rPr>
        <w:t xml:space="preserve">Analysis of </w:t>
      </w:r>
      <w:r w:rsidR="00652455" w:rsidRPr="00A26C24">
        <w:rPr>
          <w:rFonts w:ascii="Times New Roman" w:hAnsi="Times New Roman" w:cs="Times New Roman"/>
          <w:sz w:val="24"/>
          <w:szCs w:val="24"/>
          <w:lang w:val="en-GB"/>
        </w:rPr>
        <w:t>eight patient safety critica</w:t>
      </w:r>
      <w:r w:rsidR="00FD0BBE" w:rsidRPr="00A26C24">
        <w:rPr>
          <w:rFonts w:ascii="Times New Roman" w:hAnsi="Times New Roman" w:cs="Times New Roman"/>
          <w:sz w:val="24"/>
          <w:szCs w:val="24"/>
          <w:lang w:val="en-GB"/>
        </w:rPr>
        <w:t>l standards requiring</w:t>
      </w:r>
      <w:r w:rsidR="008C18B4">
        <w:rPr>
          <w:rFonts w:ascii="Times New Roman" w:hAnsi="Times New Roman" w:cs="Times New Roman"/>
          <w:sz w:val="24"/>
          <w:szCs w:val="24"/>
          <w:lang w:val="en-GB"/>
        </w:rPr>
        <w:t xml:space="preserve"> full</w:t>
      </w:r>
      <w:r w:rsidR="00652455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compliance to gai</w:t>
      </w:r>
      <w:r w:rsidR="009934B0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n accreditation </w:t>
      </w:r>
      <w:r w:rsidR="00062A08">
        <w:rPr>
          <w:rFonts w:ascii="Times New Roman" w:hAnsi="Times New Roman" w:cs="Times New Roman"/>
          <w:sz w:val="24"/>
          <w:szCs w:val="24"/>
          <w:lang w:val="en-GB"/>
        </w:rPr>
        <w:t>revealed</w:t>
      </w:r>
      <w:r w:rsidR="006E2427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78B3">
        <w:rPr>
          <w:rFonts w:ascii="Times New Roman" w:hAnsi="Times New Roman" w:cs="Times New Roman"/>
          <w:sz w:val="24"/>
          <w:szCs w:val="24"/>
          <w:lang w:val="en-GB"/>
        </w:rPr>
        <w:t>no significant difference</w:t>
      </w:r>
      <w:r w:rsidR="00126640">
        <w:rPr>
          <w:rFonts w:ascii="Times New Roman" w:hAnsi="Times New Roman" w:cs="Times New Roman"/>
          <w:sz w:val="24"/>
          <w:szCs w:val="24"/>
          <w:lang w:val="en-GB"/>
        </w:rPr>
        <w:t xml:space="preserve"> between unannounced and announced periodic hospital surveys</w:t>
      </w:r>
      <w:r w:rsidR="00FD0BBE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(OR=</w:t>
      </w:r>
      <w:r w:rsidR="006E2427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1.880, 95%CI </w:t>
      </w:r>
      <w:r w:rsidR="00FD0BBE" w:rsidRPr="00A26C24">
        <w:rPr>
          <w:rFonts w:ascii="Times New Roman" w:hAnsi="Times New Roman" w:cs="Times New Roman"/>
          <w:sz w:val="24"/>
          <w:szCs w:val="24"/>
          <w:lang w:val="en-GB"/>
        </w:rPr>
        <w:t>0.770</w:t>
      </w:r>
      <w:r w:rsidR="006E2427" w:rsidRPr="00A26C2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D0BBE" w:rsidRPr="00A26C24">
        <w:rPr>
          <w:rFonts w:ascii="Times New Roman" w:hAnsi="Times New Roman" w:cs="Times New Roman"/>
          <w:sz w:val="24"/>
          <w:szCs w:val="24"/>
          <w:lang w:val="en-GB"/>
        </w:rPr>
        <w:t>4.590</w:t>
      </w:r>
      <w:r w:rsidR="006E2427" w:rsidRPr="00A26C24">
        <w:rPr>
          <w:rFonts w:ascii="Times New Roman" w:hAnsi="Times New Roman" w:cs="Times New Roman"/>
          <w:sz w:val="24"/>
          <w:szCs w:val="24"/>
          <w:lang w:val="en-GB"/>
        </w:rPr>
        <w:t>; p=0.165</w:t>
      </w:r>
      <w:r w:rsidR="00AF3C29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FE17CC" w:rsidRPr="00A26C24" w:rsidRDefault="00FE17CC" w:rsidP="00A26C2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6C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Conclusion: </w:t>
      </w:r>
      <w:r w:rsidR="00FE5FAF" w:rsidRPr="00FE5FAF">
        <w:rPr>
          <w:rFonts w:ascii="Times New Roman" w:hAnsi="Times New Roman" w:cs="Times New Roman"/>
          <w:sz w:val="24"/>
          <w:szCs w:val="24"/>
          <w:lang w:val="en-GB"/>
        </w:rPr>
        <w:t xml:space="preserve">This cluster-randomised, controlled trial demonstrated that </w:t>
      </w:r>
      <w:r w:rsidR="00FE5FAF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64118D" w:rsidRPr="00A26C24">
        <w:rPr>
          <w:rFonts w:ascii="Times New Roman" w:hAnsi="Times New Roman" w:cs="Times New Roman"/>
          <w:sz w:val="24"/>
          <w:szCs w:val="24"/>
          <w:lang w:val="en-GB"/>
        </w:rPr>
        <w:t>nannounced</w:t>
      </w:r>
      <w:r w:rsidR="008C18B4">
        <w:rPr>
          <w:rFonts w:ascii="Times New Roman" w:hAnsi="Times New Roman" w:cs="Times New Roman"/>
          <w:sz w:val="24"/>
          <w:szCs w:val="24"/>
          <w:lang w:val="en-GB"/>
        </w:rPr>
        <w:t xml:space="preserve"> periodic</w:t>
      </w:r>
      <w:r w:rsidR="0064118D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hospital surveys </w:t>
      </w:r>
      <w:r w:rsidR="00132896" w:rsidRPr="00A26C24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132896">
        <w:rPr>
          <w:rFonts w:ascii="Times New Roman" w:hAnsi="Times New Roman" w:cs="Times New Roman"/>
          <w:sz w:val="24"/>
          <w:szCs w:val="24"/>
          <w:lang w:val="en-GB"/>
        </w:rPr>
        <w:t>id</w:t>
      </w:r>
      <w:r w:rsidR="00132896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7A8C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64118D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rate </w:t>
      </w:r>
      <w:r w:rsidR="00FE5FAF">
        <w:rPr>
          <w:rFonts w:ascii="Times New Roman" w:hAnsi="Times New Roman" w:cs="Times New Roman"/>
          <w:sz w:val="24"/>
          <w:szCs w:val="24"/>
          <w:lang w:val="en-GB"/>
        </w:rPr>
        <w:t>the implementation of clinical guidelines</w:t>
      </w:r>
      <w:r w:rsidR="0064118D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as less </w:t>
      </w:r>
      <w:r w:rsidR="00901B80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successful </w:t>
      </w:r>
      <w:r w:rsidR="00652837">
        <w:rPr>
          <w:rFonts w:ascii="Times New Roman" w:hAnsi="Times New Roman" w:cs="Times New Roman"/>
          <w:sz w:val="24"/>
          <w:szCs w:val="24"/>
          <w:lang w:val="en-GB"/>
        </w:rPr>
        <w:t>compared to announced</w:t>
      </w:r>
      <w:r w:rsidR="00B7256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37A8C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18B4">
        <w:rPr>
          <w:rFonts w:ascii="Times New Roman" w:hAnsi="Times New Roman" w:cs="Times New Roman"/>
          <w:sz w:val="24"/>
          <w:szCs w:val="24"/>
          <w:lang w:val="en-GB"/>
        </w:rPr>
        <w:t xml:space="preserve">periodic </w:t>
      </w:r>
      <w:r w:rsidR="00137A8C" w:rsidRPr="00A26C24">
        <w:rPr>
          <w:rFonts w:ascii="Times New Roman" w:hAnsi="Times New Roman" w:cs="Times New Roman"/>
          <w:sz w:val="24"/>
          <w:szCs w:val="24"/>
          <w:lang w:val="en-GB"/>
        </w:rPr>
        <w:t>hospital surveys</w:t>
      </w:r>
      <w:r w:rsidR="0065283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E45282" w:rsidRPr="00A26C24" w:rsidRDefault="00E45282" w:rsidP="00A26C2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6C24">
        <w:rPr>
          <w:rFonts w:ascii="Times New Roman" w:hAnsi="Times New Roman" w:cs="Times New Roman"/>
          <w:b/>
          <w:sz w:val="24"/>
          <w:szCs w:val="24"/>
          <w:lang w:val="en-GB"/>
        </w:rPr>
        <w:t>Conflict of interest:</w:t>
      </w:r>
      <w:r w:rsidR="003E0DCB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18B4">
        <w:rPr>
          <w:rFonts w:ascii="Times New Roman" w:hAnsi="Times New Roman" w:cs="Times New Roman"/>
          <w:sz w:val="24"/>
          <w:szCs w:val="24"/>
          <w:lang w:val="en-GB"/>
        </w:rPr>
        <w:t>None declared</w:t>
      </w:r>
      <w:r w:rsidR="003E0DCB" w:rsidRPr="00A26C2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E0DCB" w:rsidRPr="00A26C24" w:rsidRDefault="00E45282" w:rsidP="00A26C2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6C24">
        <w:rPr>
          <w:rFonts w:ascii="Times New Roman" w:hAnsi="Times New Roman" w:cs="Times New Roman"/>
          <w:b/>
          <w:sz w:val="24"/>
          <w:szCs w:val="24"/>
          <w:lang w:val="en-GB"/>
        </w:rPr>
        <w:t>Abbreviations:</w:t>
      </w:r>
      <w:r w:rsidR="003E0DCB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DCHI: Danish </w:t>
      </w:r>
      <w:proofErr w:type="spellStart"/>
      <w:r w:rsidR="003E0DCB" w:rsidRPr="00A26C24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="003E0DCB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for Healthcare Improvements; DDKM version 2: The Danish Health Care Quality Programme version 2; IKAS: Institute for Quality and Accr</w:t>
      </w:r>
      <w:r w:rsidR="00EC2014" w:rsidRPr="00A26C24">
        <w:rPr>
          <w:rFonts w:ascii="Times New Roman" w:hAnsi="Times New Roman" w:cs="Times New Roman"/>
          <w:sz w:val="24"/>
          <w:szCs w:val="24"/>
          <w:lang w:val="en-GB"/>
        </w:rPr>
        <w:t>editation in Health Care; RCT: Randomised controlled trial.</w:t>
      </w:r>
      <w:r w:rsidR="003E0DCB" w:rsidRPr="00A26C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45282" w:rsidRPr="00BE3F5D" w:rsidRDefault="00E45282" w:rsidP="00E4528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17CC" w:rsidRPr="00BE3F5D" w:rsidRDefault="00FE17CC" w:rsidP="00FE17C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17CC" w:rsidRPr="00BE3F5D" w:rsidRDefault="00FE17CC" w:rsidP="00FE17C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FE17CC" w:rsidRPr="00BE3F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A0" w:rsidRDefault="00E145A0" w:rsidP="00CC29F6">
      <w:pPr>
        <w:spacing w:after="0" w:line="240" w:lineRule="auto"/>
      </w:pPr>
      <w:r>
        <w:separator/>
      </w:r>
    </w:p>
  </w:endnote>
  <w:endnote w:type="continuationSeparator" w:id="0">
    <w:p w:rsidR="00E145A0" w:rsidRDefault="00E145A0" w:rsidP="00CC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A0" w:rsidRDefault="00E145A0" w:rsidP="00CC29F6">
      <w:pPr>
        <w:spacing w:after="0" w:line="240" w:lineRule="auto"/>
      </w:pPr>
      <w:r>
        <w:separator/>
      </w:r>
    </w:p>
  </w:footnote>
  <w:footnote w:type="continuationSeparator" w:id="0">
    <w:p w:rsidR="00E145A0" w:rsidRDefault="00E145A0" w:rsidP="00CC29F6">
      <w:pPr>
        <w:spacing w:after="0" w:line="240" w:lineRule="auto"/>
      </w:pPr>
      <w:r>
        <w:continuationSeparator/>
      </w:r>
    </w:p>
  </w:footnote>
  <w:footnote w:id="1">
    <w:p w:rsidR="00E145A0" w:rsidRPr="00A46B64" w:rsidRDefault="00E145A0">
      <w:pPr>
        <w:pStyle w:val="Fodnotetekst"/>
        <w:rPr>
          <w:lang w:val="en-GB"/>
        </w:rPr>
      </w:pPr>
      <w:r w:rsidRPr="00A46B64">
        <w:rPr>
          <w:rStyle w:val="Fodnotehenvisning"/>
          <w:lang w:val="en-GB"/>
        </w:rPr>
        <w:footnoteRef/>
      </w:r>
      <w:r w:rsidRPr="00A46B64">
        <w:rPr>
          <w:lang w:val="en-GB"/>
        </w:rPr>
        <w:t xml:space="preserve"> Other </w:t>
      </w:r>
      <w:r>
        <w:rPr>
          <w:lang w:val="en-GB"/>
        </w:rPr>
        <w:t>survey assessment</w:t>
      </w:r>
      <w:r w:rsidRPr="00A46B64">
        <w:rPr>
          <w:lang w:val="en-GB"/>
        </w:rPr>
        <w:t>s</w:t>
      </w:r>
      <w:r>
        <w:rPr>
          <w:lang w:val="en-GB"/>
        </w:rPr>
        <w:t xml:space="preserve"> include</w:t>
      </w:r>
      <w:r w:rsidR="008B219B">
        <w:rPr>
          <w:lang w:val="en-GB"/>
        </w:rPr>
        <w:t>:</w:t>
      </w:r>
      <w:r w:rsidRPr="00A46B64">
        <w:rPr>
          <w:lang w:val="en-GB"/>
        </w:rPr>
        <w:t xml:space="preserve"> </w:t>
      </w:r>
      <w:r w:rsidR="008B219B">
        <w:rPr>
          <w:lang w:val="en-GB"/>
        </w:rPr>
        <w:t xml:space="preserve">Firstly, the </w:t>
      </w:r>
      <w:r>
        <w:rPr>
          <w:lang w:val="en-GB"/>
        </w:rPr>
        <w:t>accessibility to</w:t>
      </w:r>
      <w:r w:rsidRPr="00A46B64">
        <w:rPr>
          <w:lang w:val="en-GB"/>
        </w:rPr>
        <w:t xml:space="preserve"> clinical guidelines, </w:t>
      </w:r>
      <w:r w:rsidR="008B219B">
        <w:rPr>
          <w:lang w:val="en-GB"/>
        </w:rPr>
        <w:t xml:space="preserve">secondly, </w:t>
      </w:r>
      <w:r w:rsidRPr="00A46B64">
        <w:rPr>
          <w:lang w:val="en-GB"/>
        </w:rPr>
        <w:t xml:space="preserve">quality monitoring of the </w:t>
      </w:r>
      <w:r>
        <w:rPr>
          <w:lang w:val="en-GB"/>
        </w:rPr>
        <w:t xml:space="preserve">hospital </w:t>
      </w:r>
      <w:r w:rsidRPr="00A46B64">
        <w:rPr>
          <w:lang w:val="en-GB"/>
        </w:rPr>
        <w:t xml:space="preserve">structure, processes and treatment, and </w:t>
      </w:r>
      <w:r w:rsidR="008B219B">
        <w:rPr>
          <w:lang w:val="en-GB"/>
        </w:rPr>
        <w:t xml:space="preserve">thirdly, the </w:t>
      </w:r>
      <w:r w:rsidRPr="00A46B64">
        <w:rPr>
          <w:lang w:val="en-GB"/>
        </w:rPr>
        <w:t>internal assessment of t</w:t>
      </w:r>
      <w:r>
        <w:rPr>
          <w:lang w:val="en-GB"/>
        </w:rPr>
        <w:t xml:space="preserve">he monitored quality </w:t>
      </w:r>
      <w:r w:rsidR="008B219B">
        <w:rPr>
          <w:lang w:val="en-GB"/>
        </w:rPr>
        <w:t>leading to</w:t>
      </w:r>
      <w:r w:rsidRPr="00A46B64">
        <w:rPr>
          <w:lang w:val="en-GB"/>
        </w:rPr>
        <w:t xml:space="preserve"> quality improvement initiatives.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CC"/>
    <w:rsid w:val="00023700"/>
    <w:rsid w:val="00062A08"/>
    <w:rsid w:val="00123A1B"/>
    <w:rsid w:val="00126640"/>
    <w:rsid w:val="00132896"/>
    <w:rsid w:val="00137A8C"/>
    <w:rsid w:val="00161698"/>
    <w:rsid w:val="002045A1"/>
    <w:rsid w:val="00314C98"/>
    <w:rsid w:val="00327A7D"/>
    <w:rsid w:val="003349B7"/>
    <w:rsid w:val="0038341B"/>
    <w:rsid w:val="003837A6"/>
    <w:rsid w:val="00385778"/>
    <w:rsid w:val="0039659E"/>
    <w:rsid w:val="003E0DCB"/>
    <w:rsid w:val="003E26AD"/>
    <w:rsid w:val="00401783"/>
    <w:rsid w:val="004B40E1"/>
    <w:rsid w:val="004B45AF"/>
    <w:rsid w:val="004F2AF1"/>
    <w:rsid w:val="00550AC0"/>
    <w:rsid w:val="005711C6"/>
    <w:rsid w:val="005B174D"/>
    <w:rsid w:val="005B1F3F"/>
    <w:rsid w:val="005C2C3E"/>
    <w:rsid w:val="005F714B"/>
    <w:rsid w:val="0064003B"/>
    <w:rsid w:val="0064118D"/>
    <w:rsid w:val="006433B3"/>
    <w:rsid w:val="00652455"/>
    <w:rsid w:val="00652837"/>
    <w:rsid w:val="00692CAF"/>
    <w:rsid w:val="006962F9"/>
    <w:rsid w:val="006E2427"/>
    <w:rsid w:val="00764484"/>
    <w:rsid w:val="007731C0"/>
    <w:rsid w:val="00803217"/>
    <w:rsid w:val="00803968"/>
    <w:rsid w:val="0082683F"/>
    <w:rsid w:val="0083619F"/>
    <w:rsid w:val="00890877"/>
    <w:rsid w:val="00890A97"/>
    <w:rsid w:val="008B219B"/>
    <w:rsid w:val="008C18B4"/>
    <w:rsid w:val="008C7D3B"/>
    <w:rsid w:val="008D361A"/>
    <w:rsid w:val="00901B80"/>
    <w:rsid w:val="00910A56"/>
    <w:rsid w:val="009934B0"/>
    <w:rsid w:val="009A32B5"/>
    <w:rsid w:val="009B023A"/>
    <w:rsid w:val="009D1ED8"/>
    <w:rsid w:val="00A26C24"/>
    <w:rsid w:val="00A33F34"/>
    <w:rsid w:val="00A4109C"/>
    <w:rsid w:val="00A46B64"/>
    <w:rsid w:val="00AA074E"/>
    <w:rsid w:val="00AB78ED"/>
    <w:rsid w:val="00AC7A69"/>
    <w:rsid w:val="00AE69CF"/>
    <w:rsid w:val="00AF2E79"/>
    <w:rsid w:val="00AF3C29"/>
    <w:rsid w:val="00B201C5"/>
    <w:rsid w:val="00B3094F"/>
    <w:rsid w:val="00B333C9"/>
    <w:rsid w:val="00B72564"/>
    <w:rsid w:val="00B73B11"/>
    <w:rsid w:val="00BB36E8"/>
    <w:rsid w:val="00BE0A7E"/>
    <w:rsid w:val="00BE3EC5"/>
    <w:rsid w:val="00BE3F5D"/>
    <w:rsid w:val="00C21A1C"/>
    <w:rsid w:val="00C358DA"/>
    <w:rsid w:val="00C42766"/>
    <w:rsid w:val="00CB261D"/>
    <w:rsid w:val="00CC29F6"/>
    <w:rsid w:val="00CE707B"/>
    <w:rsid w:val="00D2269A"/>
    <w:rsid w:val="00D325AF"/>
    <w:rsid w:val="00D850BF"/>
    <w:rsid w:val="00DB78B3"/>
    <w:rsid w:val="00DC25DA"/>
    <w:rsid w:val="00E145A0"/>
    <w:rsid w:val="00E45282"/>
    <w:rsid w:val="00E67212"/>
    <w:rsid w:val="00E729E2"/>
    <w:rsid w:val="00E85166"/>
    <w:rsid w:val="00EB5438"/>
    <w:rsid w:val="00EB6FE6"/>
    <w:rsid w:val="00EB7905"/>
    <w:rsid w:val="00EC2014"/>
    <w:rsid w:val="00F2578D"/>
    <w:rsid w:val="00F50657"/>
    <w:rsid w:val="00F719A7"/>
    <w:rsid w:val="00F71D34"/>
    <w:rsid w:val="00F87475"/>
    <w:rsid w:val="00FB3CBB"/>
    <w:rsid w:val="00FD0BBE"/>
    <w:rsid w:val="00FE17CC"/>
    <w:rsid w:val="00FE55FA"/>
    <w:rsid w:val="00FE5FAF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1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1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FE17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E1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E729E2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E729E2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29E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729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729E2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29E2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29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29E2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EB7905"/>
  </w:style>
  <w:style w:type="character" w:styleId="BesgtHyperlink">
    <w:name w:val="FollowedHyperlink"/>
    <w:basedOn w:val="Standardskrifttypeiafsnit"/>
    <w:uiPriority w:val="99"/>
    <w:semiHidden/>
    <w:unhideWhenUsed/>
    <w:rsid w:val="0064003B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64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A26C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C2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29F6"/>
  </w:style>
  <w:style w:type="paragraph" w:styleId="Sidefod">
    <w:name w:val="footer"/>
    <w:basedOn w:val="Normal"/>
    <w:link w:val="SidefodTegn"/>
    <w:uiPriority w:val="99"/>
    <w:unhideWhenUsed/>
    <w:rsid w:val="00CC2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29F6"/>
  </w:style>
  <w:style w:type="paragraph" w:styleId="Fodnotetekst">
    <w:name w:val="footnote text"/>
    <w:basedOn w:val="Normal"/>
    <w:link w:val="FodnotetekstTegn"/>
    <w:uiPriority w:val="99"/>
    <w:semiHidden/>
    <w:unhideWhenUsed/>
    <w:rsid w:val="0080321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0321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032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1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1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FE17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E1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E729E2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E729E2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29E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729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729E2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29E2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29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29E2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EB7905"/>
  </w:style>
  <w:style w:type="character" w:styleId="BesgtHyperlink">
    <w:name w:val="FollowedHyperlink"/>
    <w:basedOn w:val="Standardskrifttypeiafsnit"/>
    <w:uiPriority w:val="99"/>
    <w:semiHidden/>
    <w:unhideWhenUsed/>
    <w:rsid w:val="0064003B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64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A26C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C2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29F6"/>
  </w:style>
  <w:style w:type="paragraph" w:styleId="Sidefod">
    <w:name w:val="footer"/>
    <w:basedOn w:val="Normal"/>
    <w:link w:val="SidefodTegn"/>
    <w:uiPriority w:val="99"/>
    <w:unhideWhenUsed/>
    <w:rsid w:val="00CC2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29F6"/>
  </w:style>
  <w:style w:type="paragraph" w:styleId="Fodnotetekst">
    <w:name w:val="footnote text"/>
    <w:basedOn w:val="Normal"/>
    <w:link w:val="FodnotetekstTegn"/>
    <w:uiPriority w:val="99"/>
    <w:semiHidden/>
    <w:unhideWhenUsed/>
    <w:rsid w:val="0080321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0321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03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s@id.aau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hlers@id.aau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@ikas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o@id.a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2D3A-7267-47BB-B2DA-8C6FA135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2947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Katherina Beltoft Simonsen</dc:creator>
  <cp:lastModifiedBy>Lars Holger Ehlers</cp:lastModifiedBy>
  <cp:revision>2</cp:revision>
  <dcterms:created xsi:type="dcterms:W3CDTF">2015-02-11T07:37:00Z</dcterms:created>
  <dcterms:modified xsi:type="dcterms:W3CDTF">2015-02-11T07:37:00Z</dcterms:modified>
</cp:coreProperties>
</file>