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CF" w:rsidRDefault="007835F8" w:rsidP="004C2FC3">
      <w:pPr>
        <w:pStyle w:val="Overskrift1"/>
      </w:pPr>
      <w:r>
        <w:t>Udviklingen i koncentrationen af indvandrerne er gået i stå</w:t>
      </w:r>
    </w:p>
    <w:p w:rsidR="004C2FC3" w:rsidRDefault="0042612C" w:rsidP="004C2FC3">
      <w:r>
        <w:t>Det var især i 1990’erne, at mange</w:t>
      </w:r>
      <w:r w:rsidR="00172261">
        <w:t xml:space="preserve"> ikke-vestlige </w:t>
      </w:r>
      <w:r>
        <w:t xml:space="preserve">indvandrere blev bosat i almene boliger, og at koncentrationen af dem steg i bestemte boligområder. Efter år 2000 stagnerede </w:t>
      </w:r>
      <w:r w:rsidR="007835F8">
        <w:t>den,</w:t>
      </w:r>
      <w:r>
        <w:t xml:space="preserve"> og den faldt direkte efter 2005. Det viser en ny undersøgelse af indvandrernes bosætningsmønster siden 1985, som er gennemført af Statens Byggeforskningsinstitut</w:t>
      </w:r>
      <w:r w:rsidR="00172261">
        <w:t>*)</w:t>
      </w:r>
      <w:r>
        <w:t>.</w:t>
      </w:r>
      <w:r w:rsidR="005F198F">
        <w:t xml:space="preserve"> I 1985 boede 11 pct. af ikke-vestlige indvandrere i </w:t>
      </w:r>
      <w:r w:rsidR="00172261">
        <w:t xml:space="preserve">såkaldte multietniske byområder, </w:t>
      </w:r>
      <w:r w:rsidR="005F198F">
        <w:t>hvor de udgjorde mere end 20 pct. af beboerne. I 2000</w:t>
      </w:r>
      <w:r w:rsidR="007835F8">
        <w:t xml:space="preserve"> var det 46 pct., men herefter ha</w:t>
      </w:r>
      <w:r w:rsidR="005F198F">
        <w:t xml:space="preserve">r andelen </w:t>
      </w:r>
      <w:r w:rsidR="007835F8">
        <w:t>været den samme</w:t>
      </w:r>
      <w:r w:rsidR="00172261">
        <w:t xml:space="preserve"> </w:t>
      </w:r>
      <w:r w:rsidR="00172261">
        <w:t>(figur</w:t>
      </w:r>
      <w:r w:rsidR="007835F8">
        <w:t xml:space="preserve"> 1</w:t>
      </w:r>
      <w:r w:rsidR="00172261">
        <w:t>).</w:t>
      </w:r>
      <w:r w:rsidR="009F6813">
        <w:t xml:space="preserve"> </w:t>
      </w:r>
      <w:r w:rsidR="00172261">
        <w:t xml:space="preserve">Dette på trods af, at den fortsatte indvandring har øget den gennemsnitlige andel af etniske minoriteter. </w:t>
      </w:r>
      <w:r w:rsidR="009F6813">
        <w:t xml:space="preserve">Ca. 15 pct. bor </w:t>
      </w:r>
      <w:r w:rsidR="003D2A92">
        <w:t>i områder, hvor de udgør mere e</w:t>
      </w:r>
      <w:r w:rsidR="009F6813">
        <w:t>nd halvdelen af beboerne</w:t>
      </w:r>
      <w:r w:rsidR="00172261">
        <w:t>.</w:t>
      </w:r>
    </w:p>
    <w:p w:rsidR="00172261" w:rsidRDefault="00172261" w:rsidP="004C2FC3">
      <w:r>
        <w:t xml:space="preserve">En af årsagerne til udviklingen er, at nogle af de indvandrere, der oprindeligt bosatte sig i områder med mange indvandrere, har forladt dem igen. Undersøgelsen viser, at i de første år efter ankomsten til Danmark </w:t>
      </w:r>
      <w:r w:rsidR="007835F8">
        <w:t>var det stadigt flere blandt de indvandrede, som bosatte sig i</w:t>
      </w:r>
      <w:r>
        <w:t xml:space="preserve"> almene boliger og i multietniske byområder. </w:t>
      </w:r>
      <w:r w:rsidR="007835F8">
        <w:t>Men e</w:t>
      </w:r>
      <w:r>
        <w:t>fter 10 års ophold</w:t>
      </w:r>
      <w:r w:rsidR="00236AB6">
        <w:t xml:space="preserve"> stagnerede og </w:t>
      </w:r>
      <w:r>
        <w:t xml:space="preserve">faldt andelen igen, selvom den stadig </w:t>
      </w:r>
      <w:r>
        <w:t xml:space="preserve">er </w:t>
      </w:r>
      <w:r>
        <w:t xml:space="preserve">noget højere end for danskerne. Indvandrere i Danmark følger dermed samme mønster, som man </w:t>
      </w:r>
      <w:r w:rsidR="007835F8">
        <w:t>fx</w:t>
      </w:r>
      <w:r w:rsidR="007835F8">
        <w:t xml:space="preserve"> </w:t>
      </w:r>
      <w:r>
        <w:t>har set i USA</w:t>
      </w:r>
      <w:r w:rsidR="007835F8">
        <w:t xml:space="preserve"> siden starten af forrige århundrede</w:t>
      </w:r>
      <w:r>
        <w:t xml:space="preserve">, hvor nytilkomne </w:t>
      </w:r>
      <w:r w:rsidR="007835F8">
        <w:t>indvandrere bosatte</w:t>
      </w:r>
      <w:r>
        <w:t xml:space="preserve"> sig tæt på etniske sociale netværk, h</w:t>
      </w:r>
      <w:r w:rsidR="007835F8">
        <w:t>vor de kunne</w:t>
      </w:r>
      <w:r>
        <w:t xml:space="preserve"> få støtte fra andre indvandrere med samme baggrund, for senere at fraflytte de multietniske byområder </w:t>
      </w:r>
      <w:r w:rsidR="007835F8">
        <w:t>når de havde</w:t>
      </w:r>
      <w:r>
        <w:t xml:space="preserve"> fået arbejde og </w:t>
      </w:r>
      <w:r w:rsidR="007835F8">
        <w:t>var</w:t>
      </w:r>
      <w:r>
        <w:t xml:space="preserve"> blevet mere integrerede. Der bor stadig en del etniske minoriteter i multietniske byområder, men situationen er ikke statisk. Nogle indvandrere flytter ud og erstattes af nyindvandrede.</w:t>
      </w:r>
    </w:p>
    <w:p w:rsidR="00172261" w:rsidRDefault="00172261" w:rsidP="004C2FC3">
      <w:r>
        <w:t>Når indvandrer</w:t>
      </w:r>
      <w:r w:rsidR="007835F8">
        <w:t>n</w:t>
      </w:r>
      <w:r>
        <w:t xml:space="preserve">e især </w:t>
      </w:r>
      <w:r w:rsidR="00236AB6">
        <w:t>er blevet bosat</w:t>
      </w:r>
      <w:r>
        <w:t xml:space="preserve"> i almene boliger skyldes det </w:t>
      </w:r>
      <w:r w:rsidR="007835F8">
        <w:t xml:space="preserve">lave indkomster og </w:t>
      </w:r>
      <w:r>
        <w:t xml:space="preserve">forholdende på boligmarkedet. </w:t>
      </w:r>
      <w:r w:rsidR="007835F8">
        <w:t>En hovedårsag er, at mange indvandrere er uden beskæftigelse eller har lave indkomster, men b</w:t>
      </w:r>
      <w:r>
        <w:t xml:space="preserve">åde danske og udenlandske undersøgelser har vist, at indvandrere noget sjældnere køber ejerbolig end sammenlignelige danskere med samme indkomst og beskæftigelse. Det kan der være to årsager til. En er, at indvandrere kan have sværere ved at få lån, fordi bankerne er usikre på, hvor </w:t>
      </w:r>
      <w:r w:rsidR="007835F8">
        <w:t xml:space="preserve">økonomisk </w:t>
      </w:r>
      <w:r>
        <w:t>solide de er. Men den vigtigste er, at når man køber ejerbolig skal man være ret sikker på sin fremtid – hvor man vil bo og hvilke indkomster man har – og her er indvandrer</w:t>
      </w:r>
      <w:r w:rsidR="007835F8">
        <w:t>n</w:t>
      </w:r>
      <w:r>
        <w:t xml:space="preserve">e mere usikre. Derfor vælger de at leje deres bolig. De har haft relativ nem adgang til almene boliger, hvor man kan blive skrevet op på en venteliste, men noget sværere ved at få en privat udlejningsbolig eller en andelsbolig. Det skyldes </w:t>
      </w:r>
      <w:r w:rsidR="00236AB6">
        <w:t xml:space="preserve">især </w:t>
      </w:r>
      <w:r>
        <w:t>at adgangen til disse boligformer er afhængig af gode kontakter til udlejere og andelsboligforeninger, og dem har nye indvandrere sjældent.</w:t>
      </w:r>
      <w:r w:rsidR="007835F8">
        <w:t xml:space="preserve"> Målt i forhold til danskere på samme indkomstniveau er etniske minoriteter stærkt underrepræsenterede i privat udlejning og andelsboliger.</w:t>
      </w:r>
    </w:p>
    <w:p w:rsidR="00CF26BD" w:rsidRDefault="00172261" w:rsidP="004C2FC3">
      <w:r>
        <w:t xml:space="preserve">Især nye indvandrere lægger vægt på at bo tæt på venner og familie, </w:t>
      </w:r>
      <w:r w:rsidR="00CF26BD">
        <w:t>der</w:t>
      </w:r>
      <w:r>
        <w:t xml:space="preserve"> ofte har boet i multietniske byområder. Dette har bidraget til koncentrationen af ikke-vestlige etniske minoriteter. Men </w:t>
      </w:r>
      <w:r w:rsidR="00CF26BD">
        <w:t>indvandrerne bliver ikke boende længere i disse områder end andre steder i byen. De fraflytter faktisk hyppigere.</w:t>
      </w:r>
    </w:p>
    <w:p w:rsidR="00172261" w:rsidRDefault="00CF26BD" w:rsidP="004C2FC3">
      <w:r>
        <w:t>U</w:t>
      </w:r>
      <w:r>
        <w:t>ndersøgelsen</w:t>
      </w:r>
      <w:r>
        <w:t xml:space="preserve"> </w:t>
      </w:r>
      <w:r>
        <w:t>viser</w:t>
      </w:r>
      <w:r w:rsidR="00172261">
        <w:t>, at hovedårsagen til udviklingen af boligområder med mange indvandrere er danskernes adfærd. Jo flere etniske minoriteter, der har været i et område, jo oftere er danskerne fraflyttet</w:t>
      </w:r>
      <w:r w:rsidR="00172261">
        <w:t xml:space="preserve"> </w:t>
      </w:r>
      <w:r w:rsidR="00172261">
        <w:t>og jo sjældnere er de flyttet</w:t>
      </w:r>
      <w:r w:rsidR="00172261">
        <w:t xml:space="preserve"> </w:t>
      </w:r>
      <w:r w:rsidR="00172261">
        <w:t xml:space="preserve">ind. Den væsentligste faktor </w:t>
      </w:r>
      <w:r>
        <w:t xml:space="preserve">i udviklingen har </w:t>
      </w:r>
      <w:r w:rsidR="007835F8">
        <w:t xml:space="preserve">derfor </w:t>
      </w:r>
      <w:r>
        <w:t>været</w:t>
      </w:r>
      <w:r w:rsidR="00172261">
        <w:t xml:space="preserve">, at danskerne fravælger </w:t>
      </w:r>
      <w:r w:rsidR="007835F8">
        <w:t xml:space="preserve">de </w:t>
      </w:r>
      <w:r w:rsidR="00172261">
        <w:t>multietniske byområder, og effekten er stærkere jo større andelen af etniske minoriteter er i et område.</w:t>
      </w:r>
    </w:p>
    <w:p w:rsidR="009F6813" w:rsidRDefault="005945BF" w:rsidP="004C2FC3">
      <w:r>
        <w:lastRenderedPageBreak/>
        <w:t>Den boligmæssige adskillelse (segregation) af danskere og ikke-vestlige etniske minoriteter er faldet 15 pct. siden 1990’erne. Det skyldes især, at hvor indvandrere tidligere især blev bosat i de største byer, så er de i dag blevet mere spredt til de andre kommuner. En af årsagerne hertil har været kvotesystemet for asylansøgere, der medfører en spredning til flere kommuner end tidligere.</w:t>
      </w:r>
    </w:p>
    <w:p w:rsidR="005945BF" w:rsidRDefault="005945BF" w:rsidP="004C2FC3">
      <w:r>
        <w:t>Det må også antages at nye boliganvisningsregler for almene boliger</w:t>
      </w:r>
      <w:r w:rsidR="007835F8">
        <w:t xml:space="preserve"> også</w:t>
      </w:r>
      <w:r>
        <w:t xml:space="preserve"> har haft betydning. Reglerne er blevet brugt i boligområder med mange beboere på overførselsindkomst, der også ofte har været etniske minoriteter. De har kunnet bruges til at begrænse indflytningen af personer uden beskæftigelse og give fortrinsret til fx beskæftigede, studerende eller ældre.</w:t>
      </w:r>
    </w:p>
    <w:p w:rsidR="005945BF" w:rsidRDefault="005945BF" w:rsidP="004C2FC3">
      <w:r>
        <w:t>Undersøgelsen beskæftiger sig ikke med de eventuelle positive eller negative følger af, at nogle boligområder er domineret af etniske minoriteter. Men den viser, at koncentrationen er standset, og at der er bevægelse i områderne. For en del indvandrere er de således kun et trin på vejen i deres boligkarriere i Danmark.</w:t>
      </w:r>
    </w:p>
    <w:p w:rsidR="009F6813" w:rsidRDefault="005945BF" w:rsidP="004C2FC3">
      <w:r>
        <w:t xml:space="preserve">*) </w:t>
      </w:r>
      <w:r w:rsidRPr="005945BF">
        <w:rPr>
          <w:i/>
        </w:rPr>
        <w:t>Indvandring, integration og etnisk segregation. Indvandrernes bosætning siden 1985</w:t>
      </w:r>
      <w:r>
        <w:t xml:space="preserve">. Statens Byggeforskningsinstitut </w:t>
      </w:r>
      <w:r w:rsidR="007835F8">
        <w:t>2015</w:t>
      </w:r>
    </w:p>
    <w:p w:rsidR="007835F8" w:rsidRDefault="007835F8">
      <w:r>
        <w:br w:type="page"/>
      </w:r>
    </w:p>
    <w:p w:rsidR="0042612C" w:rsidRDefault="0042612C" w:rsidP="004C2FC3"/>
    <w:p w:rsidR="0042612C" w:rsidRDefault="00B53B0C" w:rsidP="004C2FC3">
      <w:r w:rsidRPr="00B53B0C">
        <w:drawing>
          <wp:inline distT="0" distB="0" distL="0" distR="0" wp14:anchorId="0CF4923F" wp14:editId="1D9B1FAE">
            <wp:extent cx="6121021" cy="4360459"/>
            <wp:effectExtent l="0" t="0" r="13335" b="2159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835F8" w:rsidRPr="007835F8" w:rsidRDefault="007835F8" w:rsidP="004C2FC3">
      <w:pPr>
        <w:rPr>
          <w:i/>
        </w:rPr>
      </w:pPr>
      <w:r>
        <w:rPr>
          <w:bCs/>
          <w:i/>
        </w:rPr>
        <w:t xml:space="preserve">Figur 1. </w:t>
      </w:r>
      <w:r w:rsidRPr="007835F8">
        <w:rPr>
          <w:bCs/>
          <w:i/>
        </w:rPr>
        <w:t xml:space="preserve">Udviklingen i andelen </w:t>
      </w:r>
      <w:r w:rsidRPr="007835F8">
        <w:rPr>
          <w:bCs/>
          <w:i/>
        </w:rPr>
        <w:t>(%)</w:t>
      </w:r>
      <w:r w:rsidRPr="007835F8">
        <w:rPr>
          <w:bCs/>
          <w:i/>
        </w:rPr>
        <w:t xml:space="preserve"> af ikke-vestlige etniske minoriteter, som bor i multietniske byområder med hhv. mere end 20, 30, 40</w:t>
      </w:r>
      <w:r w:rsidR="00852D1E">
        <w:rPr>
          <w:bCs/>
          <w:i/>
        </w:rPr>
        <w:t>, 50 eller</w:t>
      </w:r>
      <w:bookmarkStart w:id="0" w:name="_GoBack"/>
      <w:bookmarkEnd w:id="0"/>
      <w:r w:rsidRPr="007835F8">
        <w:rPr>
          <w:bCs/>
          <w:i/>
        </w:rPr>
        <w:t xml:space="preserve"> 60 pct. ikke-vestlige etniske minoriteter i området.</w:t>
      </w:r>
    </w:p>
    <w:sectPr w:rsidR="007835F8" w:rsidRPr="007835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3"/>
    <w:rsid w:val="00172261"/>
    <w:rsid w:val="00236AB6"/>
    <w:rsid w:val="003D2A92"/>
    <w:rsid w:val="0042612C"/>
    <w:rsid w:val="004C2FC3"/>
    <w:rsid w:val="005945BF"/>
    <w:rsid w:val="005F198F"/>
    <w:rsid w:val="007835F8"/>
    <w:rsid w:val="00852D1E"/>
    <w:rsid w:val="009107CF"/>
    <w:rsid w:val="009F6813"/>
    <w:rsid w:val="00B53B0C"/>
    <w:rsid w:val="00C77160"/>
    <w:rsid w:val="00CF26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FC3"/>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53B0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3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FC3"/>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B53B0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3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BI.AAU.DK\Users\hsa\Documents\Nordisk%20indv\ENHR%20paper\Regressioner%20opholdsti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800" b="1" i="0" u="none" strike="noStrike" baseline="0">
                <a:effectLst/>
              </a:rPr>
              <a:t>Udviklingen i andelen af ikke-vestlige etniske minoriteter, som bor i multietniske byområder (%)</a:t>
            </a:r>
            <a:endParaRPr lang="da-DK"/>
          </a:p>
        </c:rich>
      </c:tx>
      <c:layout/>
      <c:overlay val="0"/>
    </c:title>
    <c:autoTitleDeleted val="0"/>
    <c:plotArea>
      <c:layout>
        <c:manualLayout>
          <c:layoutTarget val="inner"/>
          <c:xMode val="edge"/>
          <c:yMode val="edge"/>
          <c:x val="6.7563074853035143E-2"/>
          <c:y val="0.19156312859669122"/>
          <c:w val="0.91267624639543499"/>
          <c:h val="0.69596893354575751"/>
        </c:manualLayout>
      </c:layout>
      <c:lineChart>
        <c:grouping val="stacked"/>
        <c:varyColors val="0"/>
        <c:ser>
          <c:idx val="0"/>
          <c:order val="0"/>
          <c:tx>
            <c:strRef>
              <c:f>områder!$A$65</c:f>
              <c:strCache>
                <c:ptCount val="1"/>
                <c:pt idx="0">
                  <c:v> &gt; 60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områder!$B$65:$G$65</c:f>
              <c:numCache>
                <c:formatCode>###0</c:formatCode>
                <c:ptCount val="6"/>
                <c:pt idx="0">
                  <c:v>0</c:v>
                </c:pt>
                <c:pt idx="1">
                  <c:v>0</c:v>
                </c:pt>
                <c:pt idx="2">
                  <c:v>3.5319884193311641</c:v>
                </c:pt>
                <c:pt idx="3">
                  <c:v>7.9229105865630336</c:v>
                </c:pt>
                <c:pt idx="4">
                  <c:v>9.1298703777943224</c:v>
                </c:pt>
                <c:pt idx="5">
                  <c:v>9.2467717771277744</c:v>
                </c:pt>
              </c:numCache>
            </c:numRef>
          </c:val>
          <c:smooth val="0"/>
        </c:ser>
        <c:ser>
          <c:idx val="1"/>
          <c:order val="1"/>
          <c:tx>
            <c:strRef>
              <c:f>områder!$A$66</c:f>
              <c:strCache>
                <c:ptCount val="1"/>
                <c:pt idx="0">
                  <c:v> &gt; 50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områder!$B$66:$G$66</c:f>
              <c:numCache>
                <c:formatCode>###0</c:formatCode>
                <c:ptCount val="6"/>
                <c:pt idx="0">
                  <c:v>0</c:v>
                </c:pt>
                <c:pt idx="1">
                  <c:v>0</c:v>
                </c:pt>
                <c:pt idx="2">
                  <c:v>3.7590943500898604</c:v>
                </c:pt>
                <c:pt idx="3">
                  <c:v>6.173352890474967</c:v>
                </c:pt>
                <c:pt idx="4">
                  <c:v>6.0060833985580562</c:v>
                </c:pt>
                <c:pt idx="5">
                  <c:v>6.1976171791396162</c:v>
                </c:pt>
              </c:numCache>
            </c:numRef>
          </c:val>
          <c:smooth val="0"/>
        </c:ser>
        <c:ser>
          <c:idx val="2"/>
          <c:order val="2"/>
          <c:tx>
            <c:strRef>
              <c:f>områder!$A$67</c:f>
              <c:strCache>
                <c:ptCount val="1"/>
                <c:pt idx="0">
                  <c:v> &gt; 40</c:v>
                </c:pt>
              </c:strCache>
            </c:strRef>
          </c:tx>
          <c:spPr>
            <a:ln>
              <a:solidFill>
                <a:srgbClr val="00B050"/>
              </a:solidFill>
            </a:ln>
          </c:spPr>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områder!$B$67:$G$67</c:f>
              <c:numCache>
                <c:formatCode>###0</c:formatCode>
                <c:ptCount val="6"/>
                <c:pt idx="0">
                  <c:v>1.2096293647956142</c:v>
                </c:pt>
                <c:pt idx="1">
                  <c:v>2.4135083808108333</c:v>
                </c:pt>
                <c:pt idx="2">
                  <c:v>5.4308944968707928</c:v>
                </c:pt>
                <c:pt idx="3">
                  <c:v>5.9106168060365034</c:v>
                </c:pt>
                <c:pt idx="4">
                  <c:v>7.1069494556121899</c:v>
                </c:pt>
                <c:pt idx="5">
                  <c:v>7.9232360704858378</c:v>
                </c:pt>
              </c:numCache>
            </c:numRef>
          </c:val>
          <c:smooth val="0"/>
        </c:ser>
        <c:ser>
          <c:idx val="3"/>
          <c:order val="3"/>
          <c:tx>
            <c:strRef>
              <c:f>områder!$A$68</c:f>
              <c:strCache>
                <c:ptCount val="1"/>
                <c:pt idx="0">
                  <c:v> &gt; 30</c:v>
                </c:pt>
              </c:strCache>
            </c:strRef>
          </c:tx>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områder!$B$68:$G$68</c:f>
              <c:numCache>
                <c:formatCode>###0</c:formatCode>
                <c:ptCount val="6"/>
                <c:pt idx="0">
                  <c:v>3.2177332856632108</c:v>
                </c:pt>
                <c:pt idx="1">
                  <c:v>5.5800511931302124</c:v>
                </c:pt>
                <c:pt idx="2">
                  <c:v>7.8082832987569848</c:v>
                </c:pt>
                <c:pt idx="3">
                  <c:v>11.244348338903086</c:v>
                </c:pt>
                <c:pt idx="4">
                  <c:v>12.059255865452533</c:v>
                </c:pt>
                <c:pt idx="5">
                  <c:v>9.8189341513876016</c:v>
                </c:pt>
              </c:numCache>
            </c:numRef>
          </c:val>
          <c:smooth val="0"/>
        </c:ser>
        <c:ser>
          <c:idx val="4"/>
          <c:order val="4"/>
          <c:tx>
            <c:strRef>
              <c:f>områder!$A$69</c:f>
              <c:strCache>
                <c:ptCount val="1"/>
                <c:pt idx="0">
                  <c:v> &gt; 20</c:v>
                </c:pt>
              </c:strCache>
            </c:strRef>
          </c:tx>
          <c:spPr>
            <a:ln>
              <a:solidFill>
                <a:srgbClr val="00B0F0"/>
              </a:solidFill>
            </a:ln>
          </c:spPr>
          <c:marker>
            <c:symbol val="none"/>
          </c:marker>
          <c:cat>
            <c:numRef>
              <c:f>områder!$B$64:$G$64</c:f>
              <c:numCache>
                <c:formatCode>###0</c:formatCode>
                <c:ptCount val="6"/>
                <c:pt idx="0">
                  <c:v>1985</c:v>
                </c:pt>
                <c:pt idx="1">
                  <c:v>1990</c:v>
                </c:pt>
                <c:pt idx="2">
                  <c:v>1995</c:v>
                </c:pt>
                <c:pt idx="3">
                  <c:v>2000</c:v>
                </c:pt>
                <c:pt idx="4">
                  <c:v>2005</c:v>
                </c:pt>
                <c:pt idx="5">
                  <c:v>2008</c:v>
                </c:pt>
              </c:numCache>
            </c:numRef>
          </c:cat>
          <c:val>
            <c:numRef>
              <c:f>områder!$B$69:$G$69</c:f>
              <c:numCache>
                <c:formatCode>###0</c:formatCode>
                <c:ptCount val="6"/>
                <c:pt idx="0">
                  <c:v>6.5486831128590159</c:v>
                </c:pt>
                <c:pt idx="1">
                  <c:v>11.251754603253241</c:v>
                </c:pt>
                <c:pt idx="2">
                  <c:v>15.143862650031496</c:v>
                </c:pt>
                <c:pt idx="3">
                  <c:v>14.372986950144409</c:v>
                </c:pt>
                <c:pt idx="4">
                  <c:v>13.676510827304023</c:v>
                </c:pt>
                <c:pt idx="5">
                  <c:v>12.426624812727402</c:v>
                </c:pt>
              </c:numCache>
            </c:numRef>
          </c:val>
          <c:smooth val="0"/>
        </c:ser>
        <c:dLbls>
          <c:showLegendKey val="0"/>
          <c:showVal val="0"/>
          <c:showCatName val="0"/>
          <c:showSerName val="0"/>
          <c:showPercent val="0"/>
          <c:showBubbleSize val="0"/>
        </c:dLbls>
        <c:marker val="1"/>
        <c:smooth val="0"/>
        <c:axId val="85709952"/>
        <c:axId val="85711488"/>
      </c:lineChart>
      <c:catAx>
        <c:axId val="85709952"/>
        <c:scaling>
          <c:orientation val="minMax"/>
        </c:scaling>
        <c:delete val="0"/>
        <c:axPos val="b"/>
        <c:numFmt formatCode="###0" sourceLinked="1"/>
        <c:majorTickMark val="out"/>
        <c:minorTickMark val="none"/>
        <c:tickLblPos val="nextTo"/>
        <c:txPr>
          <a:bodyPr/>
          <a:lstStyle/>
          <a:p>
            <a:pPr>
              <a:defRPr sz="1400" b="1"/>
            </a:pPr>
            <a:endParaRPr lang="da-DK"/>
          </a:p>
        </c:txPr>
        <c:crossAx val="85711488"/>
        <c:crosses val="autoZero"/>
        <c:auto val="1"/>
        <c:lblAlgn val="ctr"/>
        <c:lblOffset val="100"/>
        <c:noMultiLvlLbl val="0"/>
      </c:catAx>
      <c:valAx>
        <c:axId val="85711488"/>
        <c:scaling>
          <c:orientation val="minMax"/>
        </c:scaling>
        <c:delete val="0"/>
        <c:axPos val="l"/>
        <c:majorGridlines/>
        <c:numFmt formatCode="###0" sourceLinked="1"/>
        <c:majorTickMark val="out"/>
        <c:minorTickMark val="none"/>
        <c:tickLblPos val="nextTo"/>
        <c:txPr>
          <a:bodyPr/>
          <a:lstStyle/>
          <a:p>
            <a:pPr>
              <a:defRPr sz="1200" b="1"/>
            </a:pPr>
            <a:endParaRPr lang="da-DK"/>
          </a:p>
        </c:txPr>
        <c:crossAx val="85709952"/>
        <c:crosses val="autoZero"/>
        <c:crossBetween val="between"/>
      </c:valAx>
    </c:plotArea>
    <c:legend>
      <c:legendPos val="r"/>
      <c:layout>
        <c:manualLayout>
          <c:xMode val="edge"/>
          <c:yMode val="edge"/>
          <c:x val="0.1244645296920236"/>
          <c:y val="0.31013117243245847"/>
          <c:w val="0.15846887219020894"/>
          <c:h val="0.29980334768083339"/>
        </c:manualLayout>
      </c:layout>
      <c:overlay val="0"/>
      <c:txPr>
        <a:bodyPr/>
        <a:lstStyle/>
        <a:p>
          <a:pPr>
            <a:defRPr sz="1400" b="1"/>
          </a:pPr>
          <a:endParaRPr lang="da-DK"/>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0.10953</cdr:x>
      <cdr:y>0.20469</cdr:y>
    </cdr:from>
    <cdr:to>
      <cdr:x>0.26268</cdr:x>
      <cdr:y>0.53802</cdr:y>
    </cdr:to>
    <cdr:sp macro="" textlink="">
      <cdr:nvSpPr>
        <cdr:cNvPr id="2" name="Tekstboks 1"/>
        <cdr:cNvSpPr txBox="1"/>
      </cdr:nvSpPr>
      <cdr:spPr>
        <a:xfrm xmlns:a="http://schemas.openxmlformats.org/drawingml/2006/main">
          <a:off x="670436" y="892428"/>
          <a:ext cx="937395" cy="14532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da-DK" sz="1400" b="1" noProof="0" dirty="0" smtClean="0"/>
            <a:t>Andel af etniske minoriteter </a:t>
          </a:r>
        </a:p>
        <a:p xmlns:a="http://schemas.openxmlformats.org/drawingml/2006/main">
          <a:r>
            <a:rPr lang="da-DK" sz="1400" b="1" dirty="0"/>
            <a:t>i</a:t>
          </a:r>
          <a:r>
            <a:rPr lang="da-DK" sz="1400" b="1" noProof="0" dirty="0" smtClean="0"/>
            <a:t> området (%)</a:t>
          </a:r>
          <a:endParaRPr lang="da-DK" sz="1400" b="1" noProof="0" dirty="0"/>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715</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Skifter Andersen</dc:creator>
  <cp:lastModifiedBy>Hans Skifter Andersen</cp:lastModifiedBy>
  <cp:revision>8</cp:revision>
  <dcterms:created xsi:type="dcterms:W3CDTF">2015-01-20T11:08:00Z</dcterms:created>
  <dcterms:modified xsi:type="dcterms:W3CDTF">2015-02-02T14:31:00Z</dcterms:modified>
</cp:coreProperties>
</file>