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7E" w:rsidRPr="00F10F30" w:rsidRDefault="00F10F30" w:rsidP="00383E7E">
      <w:pPr>
        <w:pStyle w:val="Overskrift1"/>
        <w:jc w:val="center"/>
        <w:rPr>
          <w:rFonts w:ascii="Times New Roman" w:hAnsi="Times New Roman" w:cs="Times New Roman"/>
          <w:color w:val="auto"/>
          <w:sz w:val="24"/>
          <w:szCs w:val="24"/>
          <w:lang w:val="en-GB"/>
        </w:rPr>
      </w:pPr>
      <w:r>
        <w:rPr>
          <w:b w:val="0"/>
          <w:bCs w:val="0"/>
          <w:color w:val="auto"/>
          <w:sz w:val="21"/>
          <w:szCs w:val="21"/>
          <w:lang w:val="en-US"/>
        </w:rPr>
        <w:t xml:space="preserve">Workshop on </w:t>
      </w:r>
      <w:r w:rsidRPr="00F10F30">
        <w:rPr>
          <w:b w:val="0"/>
          <w:bCs w:val="0"/>
          <w:color w:val="auto"/>
          <w:sz w:val="21"/>
          <w:szCs w:val="21"/>
          <w:lang w:val="en-US"/>
        </w:rPr>
        <w:t>Migration, Residential Mobility &amp; Housing Policy</w:t>
      </w:r>
    </w:p>
    <w:p w:rsidR="00F32C2B" w:rsidRPr="00383E7E" w:rsidRDefault="00F32C2B" w:rsidP="00383E7E">
      <w:pPr>
        <w:pStyle w:val="Overskrift1"/>
        <w:jc w:val="center"/>
        <w:rPr>
          <w:rFonts w:ascii="Times New Roman" w:hAnsi="Times New Roman" w:cs="Times New Roman"/>
          <w:color w:val="auto"/>
          <w:sz w:val="32"/>
          <w:szCs w:val="32"/>
          <w:lang w:val="en-GB"/>
        </w:rPr>
      </w:pPr>
      <w:r w:rsidRPr="00383E7E">
        <w:rPr>
          <w:rFonts w:ascii="Times New Roman" w:hAnsi="Times New Roman" w:cs="Times New Roman"/>
          <w:color w:val="auto"/>
          <w:sz w:val="32"/>
          <w:szCs w:val="32"/>
          <w:lang w:val="en-GB"/>
        </w:rPr>
        <w:t>The effect of geographical centralization of education for outmigration from fringe areas</w:t>
      </w:r>
    </w:p>
    <w:p w:rsidR="00F32C2B" w:rsidRPr="00383E7E" w:rsidRDefault="00F32C2B" w:rsidP="00383E7E">
      <w:pPr>
        <w:spacing w:after="0"/>
        <w:rPr>
          <w:rFonts w:ascii="Times New Roman" w:hAnsi="Times New Roman" w:cs="Times New Roman"/>
          <w:b/>
          <w:sz w:val="24"/>
          <w:szCs w:val="24"/>
          <w:lang w:val="en-GB"/>
        </w:rPr>
      </w:pPr>
    </w:p>
    <w:p w:rsidR="00383E7E" w:rsidRDefault="00383E7E" w:rsidP="00383E7E">
      <w:pPr>
        <w:spacing w:after="0"/>
        <w:jc w:val="center"/>
        <w:rPr>
          <w:rFonts w:ascii="Times New Roman" w:hAnsi="Times New Roman" w:cs="Times New Roman"/>
          <w:b/>
          <w:sz w:val="24"/>
          <w:szCs w:val="24"/>
          <w:lang w:val="en-GB"/>
        </w:rPr>
      </w:pPr>
      <w:r w:rsidRPr="00383E7E">
        <w:rPr>
          <w:rFonts w:ascii="Times New Roman" w:hAnsi="Times New Roman" w:cs="Times New Roman"/>
          <w:b/>
          <w:sz w:val="24"/>
          <w:szCs w:val="24"/>
          <w:lang w:val="en-GB"/>
        </w:rPr>
        <w:t xml:space="preserve">Hans Skifter Andersen </w:t>
      </w:r>
    </w:p>
    <w:p w:rsidR="00383E7E" w:rsidRDefault="00383E7E" w:rsidP="00383E7E">
      <w:pPr>
        <w:spacing w:after="0"/>
        <w:jc w:val="center"/>
        <w:rPr>
          <w:lang w:val="en"/>
        </w:rPr>
      </w:pPr>
      <w:r>
        <w:rPr>
          <w:rFonts w:ascii="Times New Roman" w:hAnsi="Times New Roman" w:cs="Times New Roman"/>
          <w:lang w:val="en-GB"/>
        </w:rPr>
        <w:t xml:space="preserve">Aalborg University, Danish Building Research Institute, </w:t>
      </w:r>
      <w:r>
        <w:rPr>
          <w:lang w:val="en"/>
        </w:rPr>
        <w:t xml:space="preserve">A.C. Meyers </w:t>
      </w:r>
      <w:proofErr w:type="spellStart"/>
      <w:r>
        <w:rPr>
          <w:lang w:val="en"/>
        </w:rPr>
        <w:t>Vænge</w:t>
      </w:r>
      <w:proofErr w:type="spellEnd"/>
      <w:r>
        <w:rPr>
          <w:lang w:val="en"/>
        </w:rPr>
        <w:t xml:space="preserve"> 15, DK – 2450 Copenhagen SV, Denmark </w:t>
      </w:r>
    </w:p>
    <w:p w:rsidR="00383E7E" w:rsidRDefault="00383E7E" w:rsidP="00383E7E">
      <w:pPr>
        <w:spacing w:after="0"/>
        <w:jc w:val="center"/>
        <w:rPr>
          <w:rFonts w:ascii="Times New Roman" w:hAnsi="Times New Roman" w:cs="Times New Roman"/>
          <w:lang w:val="en-GB"/>
        </w:rPr>
      </w:pPr>
      <w:proofErr w:type="gramStart"/>
      <w:r>
        <w:rPr>
          <w:rFonts w:ascii="Times New Roman" w:hAnsi="Times New Roman" w:cs="Times New Roman"/>
          <w:lang w:val="en-GB"/>
        </w:rPr>
        <w:t>e-mail</w:t>
      </w:r>
      <w:proofErr w:type="gramEnd"/>
      <w:r>
        <w:rPr>
          <w:rFonts w:ascii="Times New Roman" w:hAnsi="Times New Roman" w:cs="Times New Roman"/>
          <w:lang w:val="en-GB"/>
        </w:rPr>
        <w:t xml:space="preserve">: </w:t>
      </w:r>
      <w:hyperlink r:id="rId7" w:history="1">
        <w:r w:rsidRPr="00615E4A">
          <w:rPr>
            <w:rStyle w:val="Hyperlink"/>
            <w:rFonts w:ascii="Times New Roman" w:hAnsi="Times New Roman" w:cs="Times New Roman"/>
            <w:lang w:val="en-GB"/>
          </w:rPr>
          <w:t>has@sbi.aau.dk</w:t>
        </w:r>
      </w:hyperlink>
    </w:p>
    <w:p w:rsidR="00383E7E" w:rsidRDefault="00383E7E" w:rsidP="00383E7E">
      <w:pPr>
        <w:spacing w:after="0"/>
        <w:jc w:val="center"/>
        <w:rPr>
          <w:rFonts w:ascii="Times New Roman" w:hAnsi="Times New Roman" w:cs="Times New Roman"/>
          <w:lang w:val="en-GB"/>
        </w:rPr>
      </w:pPr>
    </w:p>
    <w:p w:rsidR="00383E7E" w:rsidRPr="00383E7E" w:rsidRDefault="00383E7E" w:rsidP="00383E7E">
      <w:pPr>
        <w:spacing w:after="0"/>
        <w:jc w:val="center"/>
        <w:rPr>
          <w:rFonts w:ascii="Times New Roman" w:hAnsi="Times New Roman" w:cs="Times New Roman"/>
          <w:lang w:val="en-GB"/>
        </w:rPr>
      </w:pPr>
    </w:p>
    <w:p w:rsidR="00857078" w:rsidRPr="00383E7E" w:rsidRDefault="00857078" w:rsidP="00857078">
      <w:pPr>
        <w:spacing w:after="0" w:line="240" w:lineRule="auto"/>
        <w:rPr>
          <w:rFonts w:ascii="Times New Roman" w:hAnsi="Times New Roman" w:cs="Times New Roman"/>
          <w:sz w:val="24"/>
          <w:szCs w:val="24"/>
          <w:lang w:val="en-GB"/>
        </w:rPr>
      </w:pPr>
      <w:r w:rsidRPr="00383E7E">
        <w:rPr>
          <w:rFonts w:ascii="Times New Roman" w:hAnsi="Times New Roman" w:cs="Times New Roman"/>
          <w:b/>
          <w:sz w:val="24"/>
          <w:szCs w:val="24"/>
          <w:lang w:val="en-GB"/>
        </w:rPr>
        <w:t xml:space="preserve">Abstract </w:t>
      </w:r>
    </w:p>
    <w:p w:rsidR="00F32C2B" w:rsidRPr="00383E7E" w:rsidRDefault="00F32C2B">
      <w:pPr>
        <w:rPr>
          <w:rFonts w:ascii="Times New Roman" w:hAnsi="Times New Roman" w:cs="Times New Roman"/>
          <w:sz w:val="20"/>
          <w:szCs w:val="20"/>
          <w:lang w:val="en-GB"/>
        </w:rPr>
      </w:pPr>
      <w:r w:rsidRPr="00383E7E">
        <w:rPr>
          <w:rFonts w:ascii="Times New Roman" w:hAnsi="Times New Roman" w:cs="Times New Roman"/>
          <w:i/>
          <w:sz w:val="20"/>
          <w:szCs w:val="20"/>
          <w:lang w:val="en-GB"/>
        </w:rPr>
        <w:t>During the last 25 years population in fringe areas in Denmark has declined. The main reason has been that young people leave these areas</w:t>
      </w:r>
      <w:r w:rsidR="00BD7CB4" w:rsidRPr="00383E7E">
        <w:rPr>
          <w:rFonts w:ascii="Times New Roman" w:hAnsi="Times New Roman" w:cs="Times New Roman"/>
          <w:i/>
          <w:sz w:val="20"/>
          <w:szCs w:val="20"/>
          <w:lang w:val="en-GB"/>
        </w:rPr>
        <w:t xml:space="preserve"> and seldom come back</w:t>
      </w:r>
      <w:r w:rsidRPr="00383E7E">
        <w:rPr>
          <w:rFonts w:ascii="Times New Roman" w:hAnsi="Times New Roman" w:cs="Times New Roman"/>
          <w:i/>
          <w:sz w:val="20"/>
          <w:szCs w:val="20"/>
          <w:lang w:val="en-GB"/>
        </w:rPr>
        <w:t>. In this study is examined the connection between young people’s outmigration, their choice of education and the location of educational institutions. It is shown that geographical centralization of education since 1990 and the tendency for more young people to choose higher education has resulted in a</w:t>
      </w:r>
      <w:r w:rsidR="005A0D84">
        <w:rPr>
          <w:rFonts w:ascii="Times New Roman" w:hAnsi="Times New Roman" w:cs="Times New Roman"/>
          <w:i/>
          <w:sz w:val="20"/>
          <w:szCs w:val="20"/>
          <w:lang w:val="en-GB"/>
        </w:rPr>
        <w:t>n</w:t>
      </w:r>
      <w:r w:rsidRPr="00383E7E">
        <w:rPr>
          <w:rFonts w:ascii="Times New Roman" w:hAnsi="Times New Roman" w:cs="Times New Roman"/>
          <w:i/>
          <w:sz w:val="20"/>
          <w:szCs w:val="20"/>
          <w:lang w:val="en-GB"/>
        </w:rPr>
        <w:t xml:space="preserve"> increase in the outmigration of young people from fringe areas</w:t>
      </w:r>
      <w:r w:rsidRPr="00383E7E">
        <w:rPr>
          <w:rFonts w:ascii="Times New Roman" w:hAnsi="Times New Roman" w:cs="Times New Roman"/>
          <w:sz w:val="20"/>
          <w:szCs w:val="20"/>
          <w:lang w:val="en-GB"/>
        </w:rPr>
        <w:t>.</w:t>
      </w:r>
    </w:p>
    <w:p w:rsidR="00383E7E" w:rsidRPr="00F10F30" w:rsidRDefault="00383E7E" w:rsidP="00383E7E">
      <w:pPr>
        <w:spacing w:after="0" w:line="240" w:lineRule="auto"/>
        <w:rPr>
          <w:rFonts w:ascii="Times New Roman" w:hAnsi="Times New Roman" w:cs="Times New Roman"/>
          <w:lang w:val="en-GB"/>
        </w:rPr>
      </w:pPr>
      <w:r w:rsidRPr="00F10F30">
        <w:rPr>
          <w:rFonts w:ascii="Times New Roman" w:hAnsi="Times New Roman" w:cs="Times New Roman"/>
          <w:lang w:val="en-GB"/>
        </w:rPr>
        <w:t>Keywords: migration from fringe areas, start of education</w:t>
      </w:r>
    </w:p>
    <w:p w:rsidR="00383E7E" w:rsidRDefault="00383E7E" w:rsidP="00383E7E">
      <w:pPr>
        <w:spacing w:after="0"/>
        <w:rPr>
          <w:rFonts w:ascii="Times New Roman" w:hAnsi="Times New Roman" w:cs="Times New Roman"/>
          <w:sz w:val="20"/>
          <w:szCs w:val="20"/>
          <w:lang w:val="en-GB"/>
        </w:rPr>
      </w:pPr>
    </w:p>
    <w:p w:rsidR="00383E7E" w:rsidRPr="00383E7E" w:rsidRDefault="00383E7E" w:rsidP="00383E7E">
      <w:pPr>
        <w:spacing w:after="0"/>
        <w:rPr>
          <w:rFonts w:ascii="Times New Roman" w:hAnsi="Times New Roman" w:cs="Times New Roman"/>
          <w:sz w:val="20"/>
          <w:szCs w:val="20"/>
          <w:lang w:val="en-GB"/>
        </w:rPr>
      </w:pPr>
    </w:p>
    <w:p w:rsidR="00BA5833" w:rsidRPr="00F10F30" w:rsidRDefault="00BA5833"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t>Introduction</w:t>
      </w:r>
    </w:p>
    <w:p w:rsidR="00F10F30" w:rsidRDefault="00F10F30" w:rsidP="00F10F30">
      <w:pPr>
        <w:spacing w:after="0"/>
        <w:rPr>
          <w:rFonts w:ascii="Times New Roman" w:hAnsi="Times New Roman" w:cs="Times New Roman"/>
          <w:sz w:val="20"/>
          <w:szCs w:val="20"/>
          <w:lang w:val="en-GB"/>
        </w:rPr>
      </w:pPr>
    </w:p>
    <w:p w:rsidR="006453FE" w:rsidRPr="00F10F30" w:rsidRDefault="006453FE" w:rsidP="00F10F30">
      <w:pPr>
        <w:spacing w:after="0"/>
        <w:rPr>
          <w:rFonts w:ascii="Times New Roman" w:hAnsi="Times New Roman" w:cs="Times New Roman"/>
          <w:lang w:val="en-GB"/>
        </w:rPr>
      </w:pPr>
      <w:r w:rsidRPr="00F10F30">
        <w:rPr>
          <w:rFonts w:ascii="Times New Roman" w:hAnsi="Times New Roman" w:cs="Times New Roman"/>
          <w:lang w:val="en-GB"/>
        </w:rPr>
        <w:t xml:space="preserve">Like in many other countries Denmark has experienced a growth in population and employment in </w:t>
      </w:r>
      <w:r w:rsidR="00C12CA9" w:rsidRPr="00F10F30">
        <w:rPr>
          <w:rFonts w:ascii="Times New Roman" w:hAnsi="Times New Roman" w:cs="Times New Roman"/>
          <w:lang w:val="en-GB"/>
        </w:rPr>
        <w:t xml:space="preserve">some </w:t>
      </w:r>
      <w:r w:rsidRPr="00F10F30">
        <w:rPr>
          <w:rFonts w:ascii="Times New Roman" w:hAnsi="Times New Roman" w:cs="Times New Roman"/>
          <w:lang w:val="en-GB"/>
        </w:rPr>
        <w:t xml:space="preserve">urban centres and a population decline in some of the geographical areas most distant from the centres. It has been shown (Skifter Andersen 2010) that the most important reason for population decline in fringe areas is that young people move away and that this </w:t>
      </w:r>
      <w:r w:rsidR="00C12CA9" w:rsidRPr="00F10F30">
        <w:rPr>
          <w:rFonts w:ascii="Times New Roman" w:hAnsi="Times New Roman" w:cs="Times New Roman"/>
          <w:lang w:val="en-GB"/>
        </w:rPr>
        <w:t xml:space="preserve">outmigration </w:t>
      </w:r>
      <w:r w:rsidRPr="00F10F30">
        <w:rPr>
          <w:rFonts w:ascii="Times New Roman" w:hAnsi="Times New Roman" w:cs="Times New Roman"/>
          <w:lang w:val="en-GB"/>
        </w:rPr>
        <w:t>is not sufficiently substituted by their return later in life or by new immigrants.</w:t>
      </w:r>
    </w:p>
    <w:p w:rsidR="00F10F30" w:rsidRDefault="00F10F30" w:rsidP="00F10F30">
      <w:pPr>
        <w:spacing w:after="0"/>
        <w:rPr>
          <w:rFonts w:ascii="Times New Roman" w:hAnsi="Times New Roman" w:cs="Times New Roman"/>
          <w:lang w:val="en-GB"/>
        </w:rPr>
      </w:pPr>
    </w:p>
    <w:p w:rsidR="006453FE" w:rsidRPr="00F10F30" w:rsidRDefault="006453FE" w:rsidP="00F10F30">
      <w:pPr>
        <w:spacing w:after="0"/>
        <w:rPr>
          <w:rFonts w:ascii="Times New Roman" w:hAnsi="Times New Roman" w:cs="Times New Roman"/>
          <w:lang w:val="en-GB"/>
        </w:rPr>
      </w:pPr>
      <w:r w:rsidRPr="00F10F30">
        <w:rPr>
          <w:rFonts w:ascii="Times New Roman" w:hAnsi="Times New Roman" w:cs="Times New Roman"/>
          <w:lang w:val="en-GB"/>
        </w:rPr>
        <w:t xml:space="preserve">One of the main reasons for young people to leave fringe areas is education. Few educational institutions are located in fringe areas, especially not higher education, which are the </w:t>
      </w:r>
      <w:r w:rsidR="009058E9" w:rsidRPr="00F10F30">
        <w:rPr>
          <w:rFonts w:ascii="Times New Roman" w:hAnsi="Times New Roman" w:cs="Times New Roman"/>
          <w:lang w:val="en-GB"/>
        </w:rPr>
        <w:t xml:space="preserve">education </w:t>
      </w:r>
      <w:r w:rsidRPr="00F10F30">
        <w:rPr>
          <w:rFonts w:ascii="Times New Roman" w:hAnsi="Times New Roman" w:cs="Times New Roman"/>
          <w:lang w:val="en-GB"/>
        </w:rPr>
        <w:t xml:space="preserve">most geographically concentrated in the larger cities. In many cases it is not possible for young people to remain in their place of birth if they want to obtain their favourite education. </w:t>
      </w:r>
    </w:p>
    <w:p w:rsidR="00F10F30" w:rsidRDefault="00F10F30" w:rsidP="00F10F30">
      <w:pPr>
        <w:spacing w:after="0"/>
        <w:rPr>
          <w:rFonts w:ascii="Times New Roman" w:hAnsi="Times New Roman" w:cs="Times New Roman"/>
          <w:lang w:val="en-GB"/>
        </w:rPr>
      </w:pPr>
    </w:p>
    <w:p w:rsidR="006453FE" w:rsidRPr="00F10F30" w:rsidRDefault="006453FE" w:rsidP="00F10F30">
      <w:pPr>
        <w:spacing w:after="0"/>
        <w:rPr>
          <w:rFonts w:ascii="Times New Roman" w:hAnsi="Times New Roman" w:cs="Times New Roman"/>
          <w:lang w:val="en-GB"/>
        </w:rPr>
      </w:pPr>
      <w:r w:rsidRPr="00F10F30">
        <w:rPr>
          <w:rFonts w:ascii="Times New Roman" w:hAnsi="Times New Roman" w:cs="Times New Roman"/>
          <w:lang w:val="en-GB"/>
        </w:rPr>
        <w:t xml:space="preserve">In this paper is examined the reasons for why young people leave fringe areas in Denmark and how this is connected to the location of educational institutions. We look at the development </w:t>
      </w:r>
      <w:r w:rsidR="00C12CA9" w:rsidRPr="00F10F30">
        <w:rPr>
          <w:rFonts w:ascii="Times New Roman" w:hAnsi="Times New Roman" w:cs="Times New Roman"/>
          <w:lang w:val="en-GB"/>
        </w:rPr>
        <w:t xml:space="preserve">from 1990 to 2012 </w:t>
      </w:r>
      <w:r w:rsidRPr="00F10F30">
        <w:rPr>
          <w:rFonts w:ascii="Times New Roman" w:hAnsi="Times New Roman" w:cs="Times New Roman"/>
          <w:lang w:val="en-GB"/>
        </w:rPr>
        <w:t xml:space="preserve">in the choice of education, the location of institutions and the outmigration of young people from fringe areas. It is examined to what extent outmigration takes place in connection with start of education, start of employment or </w:t>
      </w:r>
      <w:r w:rsidR="00C12CA9" w:rsidRPr="00F10F30">
        <w:rPr>
          <w:rFonts w:ascii="Times New Roman" w:hAnsi="Times New Roman" w:cs="Times New Roman"/>
          <w:lang w:val="en-GB"/>
        </w:rPr>
        <w:t xml:space="preserve">by </w:t>
      </w:r>
      <w:r w:rsidRPr="00F10F30">
        <w:rPr>
          <w:rFonts w:ascii="Times New Roman" w:hAnsi="Times New Roman" w:cs="Times New Roman"/>
          <w:lang w:val="en-GB"/>
        </w:rPr>
        <w:t>change of job to a working place outside fringe areas.</w:t>
      </w:r>
    </w:p>
    <w:p w:rsidR="00F10F30" w:rsidRPr="00F10F30" w:rsidRDefault="00F10F30" w:rsidP="00F10F30">
      <w:pPr>
        <w:spacing w:after="0"/>
        <w:rPr>
          <w:rFonts w:ascii="Times New Roman" w:hAnsi="Times New Roman" w:cs="Times New Roman"/>
          <w:b/>
          <w:lang w:val="en-GB"/>
        </w:rPr>
      </w:pPr>
    </w:p>
    <w:p w:rsidR="00F10F30" w:rsidRDefault="00F10F3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BA5833" w:rsidRPr="00F10F30" w:rsidRDefault="00BA5833"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lastRenderedPageBreak/>
        <w:t>Theory</w:t>
      </w:r>
    </w:p>
    <w:p w:rsidR="00F10F30" w:rsidRDefault="00F10F30" w:rsidP="00F10F30">
      <w:pPr>
        <w:spacing w:after="0"/>
        <w:rPr>
          <w:rFonts w:ascii="Times New Roman" w:hAnsi="Times New Roman" w:cs="Times New Roman"/>
          <w:lang w:val="en-GB"/>
        </w:rPr>
      </w:pPr>
    </w:p>
    <w:p w:rsidR="00C63750" w:rsidRPr="00F10F30" w:rsidRDefault="006453FE" w:rsidP="00F10F30">
      <w:pPr>
        <w:spacing w:after="0"/>
        <w:rPr>
          <w:rFonts w:ascii="Times New Roman" w:hAnsi="Times New Roman" w:cs="Times New Roman"/>
          <w:lang w:val="en-GB"/>
        </w:rPr>
      </w:pPr>
      <w:r w:rsidRPr="00F10F30">
        <w:rPr>
          <w:rFonts w:ascii="Times New Roman" w:hAnsi="Times New Roman" w:cs="Times New Roman"/>
          <w:lang w:val="en-GB"/>
        </w:rPr>
        <w:t xml:space="preserve">Most residential moves </w:t>
      </w:r>
      <w:r w:rsidR="008F3AB6" w:rsidRPr="00F10F30">
        <w:rPr>
          <w:rFonts w:ascii="Times New Roman" w:hAnsi="Times New Roman" w:cs="Times New Roman"/>
          <w:lang w:val="en-GB"/>
        </w:rPr>
        <w:t>are local, because of place attachment (Ski</w:t>
      </w:r>
      <w:r w:rsidR="009058E9">
        <w:rPr>
          <w:rFonts w:ascii="Times New Roman" w:hAnsi="Times New Roman" w:cs="Times New Roman"/>
          <w:lang w:val="en-GB"/>
        </w:rPr>
        <w:t>fter Andersen 2009 and 2010</w:t>
      </w:r>
      <w:r w:rsidR="008F3AB6" w:rsidRPr="00F10F30">
        <w:rPr>
          <w:rFonts w:ascii="Times New Roman" w:hAnsi="Times New Roman" w:cs="Times New Roman"/>
          <w:lang w:val="en-GB"/>
        </w:rPr>
        <w:t xml:space="preserve">). Long distance moves are much more seldom and have important reasons. The most important of these reasons are start of education and change in employment located far away from the previous residence. </w:t>
      </w:r>
    </w:p>
    <w:p w:rsidR="009058E9" w:rsidRDefault="009058E9" w:rsidP="00F10F30">
      <w:pPr>
        <w:spacing w:after="0"/>
        <w:rPr>
          <w:rFonts w:ascii="Times New Roman" w:hAnsi="Times New Roman" w:cs="Times New Roman"/>
          <w:lang w:val="en-GB"/>
        </w:rPr>
      </w:pPr>
    </w:p>
    <w:p w:rsidR="002B2DB8" w:rsidRPr="00F10F30" w:rsidRDefault="002B2DB8" w:rsidP="00F10F30">
      <w:pPr>
        <w:spacing w:after="0"/>
        <w:rPr>
          <w:rFonts w:ascii="Times New Roman" w:hAnsi="Times New Roman" w:cs="Times New Roman"/>
          <w:lang w:val="en-GB"/>
        </w:rPr>
      </w:pPr>
      <w:r w:rsidRPr="00F10F30">
        <w:rPr>
          <w:rFonts w:ascii="Times New Roman" w:hAnsi="Times New Roman" w:cs="Times New Roman"/>
          <w:lang w:val="en-GB"/>
        </w:rPr>
        <w:t>Young people have a very high mobility. Besides education and employment it is due to fast changes in their family and housing situation. Most Danish youngsters move away from their parents before they become 25 years. Many of them move together in couples in their twenties. They often have to start their housing careers in unsatisfactory dwellings and gradually improve their situation by moving on. In general most of this mobility takes place in the local area, but for young people in fringe areas it could be different.</w:t>
      </w:r>
    </w:p>
    <w:p w:rsidR="009058E9" w:rsidRDefault="009058E9" w:rsidP="00F10F30">
      <w:pPr>
        <w:spacing w:after="0"/>
        <w:rPr>
          <w:rFonts w:ascii="Times New Roman" w:hAnsi="Times New Roman" w:cs="Times New Roman"/>
          <w:lang w:val="en-GB"/>
        </w:rPr>
      </w:pPr>
    </w:p>
    <w:p w:rsidR="00632B24" w:rsidRPr="00F10F30" w:rsidRDefault="009058E9" w:rsidP="00F10F30">
      <w:pPr>
        <w:spacing w:after="0"/>
        <w:rPr>
          <w:rFonts w:ascii="Times New Roman" w:hAnsi="Times New Roman" w:cs="Times New Roman"/>
          <w:lang w:val="en-GB"/>
        </w:rPr>
      </w:pPr>
      <w:r w:rsidRPr="00F10F30">
        <w:rPr>
          <w:rFonts w:ascii="Times New Roman" w:hAnsi="Times New Roman" w:cs="Times New Roman"/>
          <w:lang w:val="en-GB"/>
        </w:rPr>
        <w:t>Moves away from fringe areas are</w:t>
      </w:r>
      <w:r w:rsidR="002B2DB8" w:rsidRPr="00F10F30">
        <w:rPr>
          <w:rFonts w:ascii="Times New Roman" w:hAnsi="Times New Roman" w:cs="Times New Roman"/>
          <w:lang w:val="en-GB"/>
        </w:rPr>
        <w:t>, like other long distance moves, most often connected to either employment or start of education (</w:t>
      </w:r>
      <w:proofErr w:type="spellStart"/>
      <w:r w:rsidR="002B2DB8" w:rsidRPr="00F10F30">
        <w:rPr>
          <w:rFonts w:ascii="Times New Roman" w:hAnsi="Times New Roman" w:cs="Times New Roman"/>
          <w:lang w:val="en-GB"/>
        </w:rPr>
        <w:t>Thissen</w:t>
      </w:r>
      <w:proofErr w:type="spellEnd"/>
      <w:r w:rsidR="002B2DB8" w:rsidRPr="00F10F30">
        <w:rPr>
          <w:rFonts w:ascii="Times New Roman" w:hAnsi="Times New Roman" w:cs="Times New Roman"/>
          <w:lang w:val="en-GB"/>
        </w:rPr>
        <w:t xml:space="preserve"> et. al 2010</w:t>
      </w:r>
      <w:r w:rsidR="002B2DB8" w:rsidRPr="00F10F30">
        <w:rPr>
          <w:rFonts w:ascii="Times New Roman" w:hAnsi="Times New Roman" w:cs="Times New Roman"/>
          <w:color w:val="000000"/>
          <w:lang w:val="en-GB"/>
        </w:rPr>
        <w:t xml:space="preserve">, </w:t>
      </w:r>
      <w:r w:rsidR="002B2DB8" w:rsidRPr="00F10F30">
        <w:rPr>
          <w:rFonts w:ascii="Times New Roman" w:hAnsi="Times New Roman" w:cs="Times New Roman"/>
          <w:lang w:val="en-GB"/>
        </w:rPr>
        <w:t xml:space="preserve">Stockdale </w:t>
      </w:r>
      <w:r w:rsidRPr="00F10F30">
        <w:rPr>
          <w:rFonts w:ascii="Times New Roman" w:hAnsi="Times New Roman" w:cs="Times New Roman"/>
          <w:lang w:val="en-GB"/>
        </w:rPr>
        <w:t>2004)</w:t>
      </w:r>
      <w:r w:rsidR="002B2DB8" w:rsidRPr="00F10F30">
        <w:rPr>
          <w:rFonts w:ascii="Times New Roman" w:hAnsi="Times New Roman" w:cs="Times New Roman"/>
          <w:lang w:val="en-GB"/>
        </w:rPr>
        <w:t>. The propensity to move away depends much on the chosen educational career. Young people</w:t>
      </w:r>
      <w:r>
        <w:rPr>
          <w:rFonts w:ascii="Times New Roman" w:hAnsi="Times New Roman" w:cs="Times New Roman"/>
          <w:lang w:val="en-GB"/>
        </w:rPr>
        <w:t>,</w:t>
      </w:r>
      <w:r w:rsidR="002B2DB8" w:rsidRPr="00F10F30">
        <w:rPr>
          <w:rFonts w:ascii="Times New Roman" w:hAnsi="Times New Roman" w:cs="Times New Roman"/>
          <w:lang w:val="en-GB"/>
        </w:rPr>
        <w:t xml:space="preserve"> who only </w:t>
      </w:r>
      <w:r w:rsidR="00632B24" w:rsidRPr="00F10F30">
        <w:rPr>
          <w:rFonts w:ascii="Times New Roman" w:hAnsi="Times New Roman" w:cs="Times New Roman"/>
          <w:lang w:val="en-GB"/>
        </w:rPr>
        <w:t>complete a primary education</w:t>
      </w:r>
      <w:r>
        <w:rPr>
          <w:rFonts w:ascii="Times New Roman" w:hAnsi="Times New Roman" w:cs="Times New Roman"/>
          <w:lang w:val="en-GB"/>
        </w:rPr>
        <w:t>,</w:t>
      </w:r>
      <w:r w:rsidR="00632B24" w:rsidRPr="00F10F30">
        <w:rPr>
          <w:rFonts w:ascii="Times New Roman" w:hAnsi="Times New Roman" w:cs="Times New Roman"/>
          <w:lang w:val="en-GB"/>
        </w:rPr>
        <w:t xml:space="preserve"> tend to stay in the local area. A Danish study (</w:t>
      </w:r>
      <w:proofErr w:type="spellStart"/>
      <w:r w:rsidR="00632B24" w:rsidRPr="00F10F30">
        <w:rPr>
          <w:rFonts w:ascii="Times New Roman" w:hAnsi="Times New Roman" w:cs="Times New Roman"/>
          <w:lang w:val="en-GB"/>
        </w:rPr>
        <w:t>Hedetoft</w:t>
      </w:r>
      <w:proofErr w:type="spellEnd"/>
      <w:r w:rsidR="00632B24" w:rsidRPr="00F10F30">
        <w:rPr>
          <w:rFonts w:ascii="Times New Roman" w:hAnsi="Times New Roman" w:cs="Times New Roman"/>
          <w:lang w:val="en-GB"/>
        </w:rPr>
        <w:t xml:space="preserve"> </w:t>
      </w:r>
      <w:r w:rsidR="00F8096E" w:rsidRPr="00F10F30">
        <w:rPr>
          <w:rFonts w:ascii="Times New Roman" w:hAnsi="Times New Roman" w:cs="Times New Roman"/>
          <w:lang w:val="en-GB"/>
        </w:rPr>
        <w:t>and</w:t>
      </w:r>
      <w:r w:rsidR="00632B24" w:rsidRPr="00F10F30">
        <w:rPr>
          <w:rFonts w:ascii="Times New Roman" w:hAnsi="Times New Roman" w:cs="Times New Roman"/>
          <w:lang w:val="en-GB"/>
        </w:rPr>
        <w:t xml:space="preserve"> </w:t>
      </w:r>
      <w:proofErr w:type="spellStart"/>
      <w:r w:rsidR="00632B24" w:rsidRPr="00F10F30">
        <w:rPr>
          <w:rFonts w:ascii="Times New Roman" w:hAnsi="Times New Roman" w:cs="Times New Roman"/>
          <w:lang w:val="en-GB"/>
        </w:rPr>
        <w:t>Stefaniak</w:t>
      </w:r>
      <w:proofErr w:type="spellEnd"/>
      <w:r w:rsidR="00632B24" w:rsidRPr="00F10F30">
        <w:rPr>
          <w:rFonts w:ascii="Times New Roman" w:hAnsi="Times New Roman" w:cs="Times New Roman"/>
          <w:lang w:val="en-GB"/>
        </w:rPr>
        <w:t xml:space="preserve">, 2014) showed that only 15 per cent with primary education left fringe areas, while half of those who completed a </w:t>
      </w:r>
      <w:r>
        <w:rPr>
          <w:rFonts w:ascii="Times New Roman" w:hAnsi="Times New Roman" w:cs="Times New Roman"/>
          <w:lang w:val="en-GB"/>
        </w:rPr>
        <w:t xml:space="preserve">secondary </w:t>
      </w:r>
      <w:r w:rsidR="00632B24" w:rsidRPr="00F10F30">
        <w:rPr>
          <w:rFonts w:ascii="Times New Roman" w:hAnsi="Times New Roman" w:cs="Times New Roman"/>
          <w:lang w:val="en-GB"/>
        </w:rPr>
        <w:t>education left. Some of those, who cho</w:t>
      </w:r>
      <w:r w:rsidR="002B2DB8" w:rsidRPr="00F10F30">
        <w:rPr>
          <w:rFonts w:ascii="Times New Roman" w:hAnsi="Times New Roman" w:cs="Times New Roman"/>
          <w:lang w:val="en-GB"/>
        </w:rPr>
        <w:t xml:space="preserve">se to </w:t>
      </w:r>
      <w:r w:rsidR="00632B24" w:rsidRPr="00F10F30">
        <w:rPr>
          <w:rFonts w:ascii="Times New Roman" w:hAnsi="Times New Roman" w:cs="Times New Roman"/>
          <w:lang w:val="en-GB"/>
        </w:rPr>
        <w:t>start</w:t>
      </w:r>
      <w:r w:rsidR="002B2DB8" w:rsidRPr="00F10F30">
        <w:rPr>
          <w:rFonts w:ascii="Times New Roman" w:hAnsi="Times New Roman" w:cs="Times New Roman"/>
          <w:lang w:val="en-GB"/>
        </w:rPr>
        <w:t xml:space="preserve"> </w:t>
      </w:r>
      <w:r w:rsidR="00632B24" w:rsidRPr="00F10F30">
        <w:rPr>
          <w:rFonts w:ascii="Times New Roman" w:eastAsia="Times New Roman" w:hAnsi="Times New Roman" w:cs="Times New Roman"/>
          <w:lang w:val="en-GB" w:eastAsia="da-DK"/>
        </w:rPr>
        <w:t xml:space="preserve">vocational training and other shorter educations tended to leave earlier than those going to high school, but in the longer run the last group most often moved away. </w:t>
      </w:r>
    </w:p>
    <w:p w:rsidR="00F10F30" w:rsidRDefault="00F10F30" w:rsidP="00F10F30">
      <w:pPr>
        <w:spacing w:after="0"/>
        <w:rPr>
          <w:rFonts w:ascii="Times New Roman" w:hAnsi="Times New Roman" w:cs="Times New Roman"/>
          <w:lang w:val="en-GB"/>
        </w:rPr>
      </w:pPr>
    </w:p>
    <w:p w:rsidR="002B2DB8" w:rsidRPr="00F10F30" w:rsidRDefault="00632B24" w:rsidP="00F10F30">
      <w:pPr>
        <w:spacing w:after="0"/>
        <w:rPr>
          <w:rFonts w:ascii="Times New Roman" w:hAnsi="Times New Roman" w:cs="Times New Roman"/>
          <w:lang w:val="en-GB"/>
        </w:rPr>
      </w:pPr>
      <w:r w:rsidRPr="00F10F30">
        <w:rPr>
          <w:rFonts w:ascii="Times New Roman" w:hAnsi="Times New Roman" w:cs="Times New Roman"/>
          <w:lang w:val="en-GB"/>
        </w:rPr>
        <w:t xml:space="preserve">Some choose to stay at home and commute to the place of education. It is not sure, however, that these youngsters will stay in the fringe areas when education has been finished. Several studies (referred in </w:t>
      </w:r>
      <w:proofErr w:type="spellStart"/>
      <w:r w:rsidRPr="00F10F30">
        <w:rPr>
          <w:rFonts w:ascii="Times New Roman" w:hAnsi="Times New Roman" w:cs="Times New Roman"/>
          <w:lang w:val="en-GB"/>
        </w:rPr>
        <w:t>Thissen</w:t>
      </w:r>
      <w:proofErr w:type="spellEnd"/>
      <w:r w:rsidRPr="00F10F30">
        <w:rPr>
          <w:rFonts w:ascii="Times New Roman" w:hAnsi="Times New Roman" w:cs="Times New Roman"/>
          <w:lang w:val="en-GB"/>
        </w:rPr>
        <w:t xml:space="preserve"> et. al. </w:t>
      </w:r>
      <w:proofErr w:type="gramStart"/>
      <w:r w:rsidRPr="00F10F30">
        <w:rPr>
          <w:rFonts w:ascii="Times New Roman" w:hAnsi="Times New Roman" w:cs="Times New Roman"/>
          <w:lang w:val="en-GB"/>
        </w:rPr>
        <w:t>2010 )</w:t>
      </w:r>
      <w:proofErr w:type="gramEnd"/>
      <w:r w:rsidRPr="00F10F30">
        <w:rPr>
          <w:rFonts w:ascii="Times New Roman" w:hAnsi="Times New Roman" w:cs="Times New Roman"/>
          <w:lang w:val="en-GB"/>
        </w:rPr>
        <w:t xml:space="preserve"> have shown that many of them leave after having finished education because employment opportunities are better elsewhere.</w:t>
      </w:r>
    </w:p>
    <w:p w:rsidR="00F10F30" w:rsidRDefault="00F10F30" w:rsidP="00F10F30">
      <w:pPr>
        <w:spacing w:after="0"/>
        <w:rPr>
          <w:rFonts w:ascii="Times New Roman" w:hAnsi="Times New Roman" w:cs="Times New Roman"/>
          <w:lang w:val="en-GB"/>
        </w:rPr>
      </w:pPr>
    </w:p>
    <w:p w:rsidR="008F3AB6" w:rsidRPr="00F10F30" w:rsidRDefault="008F3AB6" w:rsidP="00F10F30">
      <w:pPr>
        <w:spacing w:after="0"/>
        <w:rPr>
          <w:rFonts w:ascii="Times New Roman" w:hAnsi="Times New Roman" w:cs="Times New Roman"/>
          <w:lang w:val="en-GB"/>
        </w:rPr>
      </w:pPr>
      <w:r w:rsidRPr="00F10F30">
        <w:rPr>
          <w:rFonts w:ascii="Times New Roman" w:hAnsi="Times New Roman" w:cs="Times New Roman"/>
          <w:lang w:val="en-GB"/>
        </w:rPr>
        <w:t>The decision to move</w:t>
      </w:r>
      <w:r w:rsidR="00632B24" w:rsidRPr="00F10F30">
        <w:rPr>
          <w:rFonts w:ascii="Times New Roman" w:hAnsi="Times New Roman" w:cs="Times New Roman"/>
          <w:lang w:val="en-GB"/>
        </w:rPr>
        <w:t xml:space="preserve"> away, either before or after education,</w:t>
      </w:r>
      <w:r w:rsidRPr="00F10F30">
        <w:rPr>
          <w:rFonts w:ascii="Times New Roman" w:hAnsi="Times New Roman" w:cs="Times New Roman"/>
          <w:lang w:val="en-GB"/>
        </w:rPr>
        <w:t xml:space="preserve"> </w:t>
      </w:r>
      <w:r w:rsidR="003819BE" w:rsidRPr="00F10F30">
        <w:rPr>
          <w:rFonts w:ascii="Times New Roman" w:hAnsi="Times New Roman" w:cs="Times New Roman"/>
          <w:lang w:val="en-GB"/>
        </w:rPr>
        <w:t>implies</w:t>
      </w:r>
      <w:r w:rsidRPr="00F10F30">
        <w:rPr>
          <w:rFonts w:ascii="Times New Roman" w:hAnsi="Times New Roman" w:cs="Times New Roman"/>
          <w:lang w:val="en-GB"/>
        </w:rPr>
        <w:t xml:space="preserve"> </w:t>
      </w:r>
      <w:r w:rsidR="00687470" w:rsidRPr="00F10F30">
        <w:rPr>
          <w:rFonts w:ascii="Times New Roman" w:hAnsi="Times New Roman" w:cs="Times New Roman"/>
          <w:lang w:val="en-GB"/>
        </w:rPr>
        <w:t xml:space="preserve">evaluation of </w:t>
      </w:r>
      <w:r w:rsidRPr="00F10F30">
        <w:rPr>
          <w:rFonts w:ascii="Times New Roman" w:hAnsi="Times New Roman" w:cs="Times New Roman"/>
          <w:lang w:val="en-GB"/>
        </w:rPr>
        <w:t xml:space="preserve">several factors. The advantages by moving </w:t>
      </w:r>
      <w:r w:rsidR="00C12CA9" w:rsidRPr="00F10F30">
        <w:rPr>
          <w:rFonts w:ascii="Times New Roman" w:hAnsi="Times New Roman" w:cs="Times New Roman"/>
          <w:lang w:val="en-GB"/>
        </w:rPr>
        <w:t>have to</w:t>
      </w:r>
      <w:r w:rsidRPr="00F10F30">
        <w:rPr>
          <w:rFonts w:ascii="Times New Roman" w:hAnsi="Times New Roman" w:cs="Times New Roman"/>
          <w:lang w:val="en-GB"/>
        </w:rPr>
        <w:t xml:space="preserve"> be compared </w:t>
      </w:r>
      <w:r w:rsidR="000F4F8C" w:rsidRPr="00F10F30">
        <w:rPr>
          <w:rFonts w:ascii="Times New Roman" w:hAnsi="Times New Roman" w:cs="Times New Roman"/>
          <w:lang w:val="en-GB"/>
        </w:rPr>
        <w:t>with</w:t>
      </w:r>
      <w:r w:rsidRPr="00F10F30">
        <w:rPr>
          <w:rFonts w:ascii="Times New Roman" w:hAnsi="Times New Roman" w:cs="Times New Roman"/>
          <w:lang w:val="en-GB"/>
        </w:rPr>
        <w:t xml:space="preserve"> the inconveniences connected </w:t>
      </w:r>
      <w:r w:rsidR="00C12CA9" w:rsidRPr="00F10F30">
        <w:rPr>
          <w:rFonts w:ascii="Times New Roman" w:hAnsi="Times New Roman" w:cs="Times New Roman"/>
          <w:lang w:val="en-GB"/>
        </w:rPr>
        <w:t xml:space="preserve">with </w:t>
      </w:r>
      <w:r w:rsidRPr="00F10F30">
        <w:rPr>
          <w:rFonts w:ascii="Times New Roman" w:hAnsi="Times New Roman" w:cs="Times New Roman"/>
          <w:lang w:val="en-GB"/>
        </w:rPr>
        <w:t xml:space="preserve">loss of advantages </w:t>
      </w:r>
      <w:r w:rsidR="009058E9">
        <w:rPr>
          <w:rFonts w:ascii="Times New Roman" w:hAnsi="Times New Roman" w:cs="Times New Roman"/>
          <w:lang w:val="en-GB"/>
        </w:rPr>
        <w:t xml:space="preserve">connected to </w:t>
      </w:r>
      <w:r w:rsidRPr="00F10F30">
        <w:rPr>
          <w:rFonts w:ascii="Times New Roman" w:hAnsi="Times New Roman" w:cs="Times New Roman"/>
          <w:lang w:val="en-GB"/>
        </w:rPr>
        <w:t>place</w:t>
      </w:r>
      <w:r w:rsidR="009058E9">
        <w:rPr>
          <w:rFonts w:ascii="Times New Roman" w:hAnsi="Times New Roman" w:cs="Times New Roman"/>
          <w:lang w:val="en-GB"/>
        </w:rPr>
        <w:t xml:space="preserve"> where they have grown up</w:t>
      </w:r>
      <w:r w:rsidR="00C12CA9" w:rsidRPr="00F10F30">
        <w:rPr>
          <w:rFonts w:ascii="Times New Roman" w:hAnsi="Times New Roman" w:cs="Times New Roman"/>
          <w:lang w:val="en-GB"/>
        </w:rPr>
        <w:t>,</w:t>
      </w:r>
      <w:r w:rsidRPr="00F10F30">
        <w:rPr>
          <w:rFonts w:ascii="Times New Roman" w:hAnsi="Times New Roman" w:cs="Times New Roman"/>
          <w:lang w:val="en-GB"/>
        </w:rPr>
        <w:t xml:space="preserve"> </w:t>
      </w:r>
      <w:r w:rsidR="003819BE" w:rsidRPr="00F10F30">
        <w:rPr>
          <w:rFonts w:ascii="Times New Roman" w:hAnsi="Times New Roman" w:cs="Times New Roman"/>
          <w:lang w:val="en-GB"/>
        </w:rPr>
        <w:t xml:space="preserve">especially </w:t>
      </w:r>
      <w:r w:rsidRPr="00F10F30">
        <w:rPr>
          <w:rFonts w:ascii="Times New Roman" w:hAnsi="Times New Roman" w:cs="Times New Roman"/>
          <w:lang w:val="en-GB"/>
        </w:rPr>
        <w:t xml:space="preserve">the </w:t>
      </w:r>
      <w:r w:rsidR="003819BE" w:rsidRPr="00F10F30">
        <w:rPr>
          <w:rFonts w:ascii="Times New Roman" w:hAnsi="Times New Roman" w:cs="Times New Roman"/>
          <w:lang w:val="en-GB"/>
        </w:rPr>
        <w:t xml:space="preserve">loss of </w:t>
      </w:r>
      <w:r w:rsidR="00C12CA9" w:rsidRPr="00F10F30">
        <w:rPr>
          <w:rFonts w:ascii="Times New Roman" w:hAnsi="Times New Roman" w:cs="Times New Roman"/>
          <w:lang w:val="en-GB"/>
        </w:rPr>
        <w:t xml:space="preserve">a </w:t>
      </w:r>
      <w:r w:rsidR="003819BE" w:rsidRPr="00F10F30">
        <w:rPr>
          <w:rFonts w:ascii="Times New Roman" w:hAnsi="Times New Roman" w:cs="Times New Roman"/>
          <w:lang w:val="en-GB"/>
        </w:rPr>
        <w:t xml:space="preserve">local social network and </w:t>
      </w:r>
      <w:r w:rsidR="00C12CA9" w:rsidRPr="00F10F30">
        <w:rPr>
          <w:rFonts w:ascii="Times New Roman" w:hAnsi="Times New Roman" w:cs="Times New Roman"/>
          <w:lang w:val="en-GB"/>
        </w:rPr>
        <w:t xml:space="preserve">social </w:t>
      </w:r>
      <w:r w:rsidR="003819BE" w:rsidRPr="00F10F30">
        <w:rPr>
          <w:rFonts w:ascii="Times New Roman" w:hAnsi="Times New Roman" w:cs="Times New Roman"/>
          <w:lang w:val="en-GB"/>
        </w:rPr>
        <w:t>capital developed.</w:t>
      </w:r>
    </w:p>
    <w:p w:rsidR="00F10F30" w:rsidRDefault="00F10F30" w:rsidP="00F10F30">
      <w:pPr>
        <w:spacing w:after="0"/>
        <w:rPr>
          <w:rFonts w:ascii="Times New Roman" w:hAnsi="Times New Roman" w:cs="Times New Roman"/>
          <w:lang w:val="en-GB"/>
        </w:rPr>
      </w:pPr>
    </w:p>
    <w:p w:rsidR="008F3AB6" w:rsidRPr="00F10F30" w:rsidRDefault="003819BE" w:rsidP="00F10F30">
      <w:pPr>
        <w:spacing w:after="0"/>
        <w:rPr>
          <w:rFonts w:ascii="Times New Roman" w:hAnsi="Times New Roman" w:cs="Times New Roman"/>
          <w:lang w:val="en-GB"/>
        </w:rPr>
      </w:pPr>
      <w:r w:rsidRPr="00F10F30">
        <w:rPr>
          <w:rFonts w:ascii="Times New Roman" w:hAnsi="Times New Roman" w:cs="Times New Roman"/>
          <w:lang w:val="en-GB"/>
        </w:rPr>
        <w:t xml:space="preserve">For young people the decision is especially complicated because they </w:t>
      </w:r>
      <w:r w:rsidR="008633D6" w:rsidRPr="00F10F30">
        <w:rPr>
          <w:rFonts w:ascii="Times New Roman" w:hAnsi="Times New Roman" w:cs="Times New Roman"/>
          <w:lang w:val="en-GB"/>
        </w:rPr>
        <w:t xml:space="preserve">often </w:t>
      </w:r>
      <w:r w:rsidRPr="00F10F30">
        <w:rPr>
          <w:rFonts w:ascii="Times New Roman" w:hAnsi="Times New Roman" w:cs="Times New Roman"/>
          <w:lang w:val="en-GB"/>
        </w:rPr>
        <w:t>have to leave their parents’ home and the friends they have gathered during their childhood. Moreover</w:t>
      </w:r>
      <w:r w:rsidR="009058E9">
        <w:rPr>
          <w:rFonts w:ascii="Times New Roman" w:hAnsi="Times New Roman" w:cs="Times New Roman"/>
          <w:lang w:val="en-GB"/>
        </w:rPr>
        <w:t>, they have been accustomed to the</w:t>
      </w:r>
      <w:r w:rsidRPr="00F10F30">
        <w:rPr>
          <w:rFonts w:ascii="Times New Roman" w:hAnsi="Times New Roman" w:cs="Times New Roman"/>
          <w:lang w:val="en-GB"/>
        </w:rPr>
        <w:t xml:space="preserve"> way of life that is usual in the fringe areas, which could be very different from life in the cities. On the other hand they have unclear ideas about how it is to live in cities, both positive and negative.</w:t>
      </w:r>
    </w:p>
    <w:p w:rsidR="00F10F30" w:rsidRDefault="00F10F30" w:rsidP="00F10F30">
      <w:pPr>
        <w:spacing w:after="0"/>
        <w:rPr>
          <w:rFonts w:ascii="Times New Roman" w:hAnsi="Times New Roman" w:cs="Times New Roman"/>
          <w:lang w:val="en-GB"/>
        </w:rPr>
      </w:pPr>
    </w:p>
    <w:p w:rsidR="004371F1" w:rsidRPr="00F10F30" w:rsidRDefault="00C12CA9" w:rsidP="00F10F30">
      <w:pPr>
        <w:spacing w:after="0"/>
        <w:rPr>
          <w:rFonts w:ascii="Times New Roman" w:hAnsi="Times New Roman" w:cs="Times New Roman"/>
          <w:lang w:val="en-GB"/>
        </w:rPr>
      </w:pPr>
      <w:r w:rsidRPr="00F10F30">
        <w:rPr>
          <w:rFonts w:ascii="Times New Roman" w:hAnsi="Times New Roman" w:cs="Times New Roman"/>
          <w:lang w:val="en-GB"/>
        </w:rPr>
        <w:t xml:space="preserve">There are both push and pull factors connected to the decision for young people to leave their parents. Push factors are influenced by if the family is well-functioning </w:t>
      </w:r>
      <w:r w:rsidR="009058E9">
        <w:rPr>
          <w:rFonts w:ascii="Times New Roman" w:hAnsi="Times New Roman" w:cs="Times New Roman"/>
          <w:lang w:val="en-GB"/>
        </w:rPr>
        <w:t xml:space="preserve">or not </w:t>
      </w:r>
      <w:r w:rsidRPr="00F10F30">
        <w:rPr>
          <w:rFonts w:ascii="Times New Roman" w:hAnsi="Times New Roman" w:cs="Times New Roman"/>
          <w:lang w:val="en-GB"/>
        </w:rPr>
        <w:t xml:space="preserve">and if housing conditions are good or bad. In a well-functioning family young people obtain many advantages. They can live there cheaply and get food and services. When you live alone you have a risk of being lonely, which is smaller when living in your family. </w:t>
      </w:r>
      <w:r w:rsidR="004371F1" w:rsidRPr="00F10F30">
        <w:rPr>
          <w:rFonts w:ascii="Times New Roman" w:hAnsi="Times New Roman" w:cs="Times New Roman"/>
          <w:lang w:val="en-GB"/>
        </w:rPr>
        <w:t xml:space="preserve">Strong bonds to parents can reduce the propensity to choose education or job far away from home. Moreover, the opinions and norms of parents on education are more important for choice of education and </w:t>
      </w:r>
      <w:r w:rsidR="003B225E">
        <w:rPr>
          <w:rFonts w:ascii="Times New Roman" w:hAnsi="Times New Roman" w:cs="Times New Roman"/>
          <w:lang w:val="en-GB"/>
        </w:rPr>
        <w:t xml:space="preserve">for </w:t>
      </w:r>
      <w:r w:rsidR="004371F1" w:rsidRPr="00F10F30">
        <w:rPr>
          <w:rFonts w:ascii="Times New Roman" w:hAnsi="Times New Roman" w:cs="Times New Roman"/>
          <w:lang w:val="en-GB"/>
        </w:rPr>
        <w:t>moving away to obtain this (</w:t>
      </w:r>
      <w:proofErr w:type="spellStart"/>
      <w:r w:rsidR="00F8096E" w:rsidRPr="00F10F30">
        <w:rPr>
          <w:rFonts w:ascii="Times New Roman" w:hAnsi="Times New Roman" w:cs="Times New Roman"/>
          <w:lang w:val="en-GB"/>
        </w:rPr>
        <w:t>Patiniotis</w:t>
      </w:r>
      <w:proofErr w:type="spellEnd"/>
      <w:r w:rsidR="00F8096E" w:rsidRPr="00F10F30">
        <w:rPr>
          <w:rFonts w:ascii="Times New Roman" w:hAnsi="Times New Roman" w:cs="Times New Roman"/>
          <w:lang w:val="en-GB"/>
        </w:rPr>
        <w:t xml:space="preserve"> and</w:t>
      </w:r>
      <w:r w:rsidR="004371F1" w:rsidRPr="00F10F30">
        <w:rPr>
          <w:rFonts w:ascii="Times New Roman" w:hAnsi="Times New Roman" w:cs="Times New Roman"/>
          <w:lang w:val="en-GB"/>
        </w:rPr>
        <w:t xml:space="preserve"> </w:t>
      </w:r>
      <w:proofErr w:type="spellStart"/>
      <w:r w:rsidR="004371F1" w:rsidRPr="00F10F30">
        <w:rPr>
          <w:rFonts w:ascii="Times New Roman" w:hAnsi="Times New Roman" w:cs="Times New Roman"/>
          <w:lang w:val="en-GB"/>
        </w:rPr>
        <w:t>Holdsworth</w:t>
      </w:r>
      <w:proofErr w:type="spellEnd"/>
      <w:r w:rsidR="004371F1" w:rsidRPr="00F10F30">
        <w:rPr>
          <w:rFonts w:ascii="Times New Roman" w:hAnsi="Times New Roman" w:cs="Times New Roman"/>
          <w:lang w:val="en-GB"/>
        </w:rPr>
        <w:t xml:space="preserve"> 2007). In the upper social classes parents put more weight on getting higher education and are more willing to let children move, while the lower classes tend to</w:t>
      </w:r>
      <w:r w:rsidR="00687470" w:rsidRPr="00F10F30">
        <w:rPr>
          <w:rFonts w:ascii="Times New Roman" w:hAnsi="Times New Roman" w:cs="Times New Roman"/>
          <w:lang w:val="en-GB"/>
        </w:rPr>
        <w:t xml:space="preserve"> emphasise</w:t>
      </w:r>
      <w:r w:rsidR="004371F1" w:rsidRPr="00F10F30">
        <w:rPr>
          <w:rFonts w:ascii="Times New Roman" w:hAnsi="Times New Roman" w:cs="Times New Roman"/>
          <w:lang w:val="en-GB"/>
        </w:rPr>
        <w:t xml:space="preserve"> that children stay home or in the local area and choose an education here. If young people are much economic dependent on parents these have a stronger influence on the decision. More affluent </w:t>
      </w:r>
      <w:r w:rsidR="004371F1" w:rsidRPr="00F10F30">
        <w:rPr>
          <w:rFonts w:ascii="Times New Roman" w:hAnsi="Times New Roman" w:cs="Times New Roman"/>
          <w:lang w:val="en-GB"/>
        </w:rPr>
        <w:lastRenderedPageBreak/>
        <w:t>parents can better give economic support to establish a new household far away in the normally more expensive cities.</w:t>
      </w:r>
    </w:p>
    <w:p w:rsidR="00F10F30" w:rsidRDefault="00F10F30" w:rsidP="00F10F30">
      <w:pPr>
        <w:spacing w:after="0"/>
        <w:rPr>
          <w:rFonts w:ascii="Times New Roman" w:hAnsi="Times New Roman" w:cs="Times New Roman"/>
          <w:lang w:val="en-GB"/>
        </w:rPr>
      </w:pPr>
    </w:p>
    <w:p w:rsidR="00C12CA9" w:rsidRPr="00F10F30" w:rsidRDefault="00C12CA9" w:rsidP="00F10F30">
      <w:pPr>
        <w:spacing w:after="0"/>
        <w:rPr>
          <w:rFonts w:ascii="Times New Roman" w:hAnsi="Times New Roman" w:cs="Times New Roman"/>
          <w:lang w:val="en-GB"/>
        </w:rPr>
      </w:pPr>
      <w:r w:rsidRPr="00F10F30">
        <w:rPr>
          <w:rFonts w:ascii="Times New Roman" w:hAnsi="Times New Roman" w:cs="Times New Roman"/>
          <w:lang w:val="en-GB"/>
        </w:rPr>
        <w:t xml:space="preserve">There have to be strong push factors, like conflicts in the family and bad housing conditions, before young ones </w:t>
      </w:r>
      <w:r w:rsidR="003B225E">
        <w:rPr>
          <w:rFonts w:ascii="Times New Roman" w:hAnsi="Times New Roman" w:cs="Times New Roman"/>
          <w:lang w:val="en-GB"/>
        </w:rPr>
        <w:t>decide</w:t>
      </w:r>
      <w:r w:rsidRPr="00F10F30">
        <w:rPr>
          <w:rFonts w:ascii="Times New Roman" w:hAnsi="Times New Roman" w:cs="Times New Roman"/>
          <w:lang w:val="en-GB"/>
        </w:rPr>
        <w:t xml:space="preserve"> to leave home. </w:t>
      </w:r>
      <w:r w:rsidR="004371F1" w:rsidRPr="00F10F30">
        <w:rPr>
          <w:rFonts w:ascii="Times New Roman" w:hAnsi="Times New Roman" w:cs="Times New Roman"/>
          <w:lang w:val="en-GB"/>
        </w:rPr>
        <w:t>In some cases they might decide t</w:t>
      </w:r>
      <w:r w:rsidR="00687470" w:rsidRPr="00F10F30">
        <w:rPr>
          <w:rFonts w:ascii="Times New Roman" w:hAnsi="Times New Roman" w:cs="Times New Roman"/>
          <w:lang w:val="en-GB"/>
        </w:rPr>
        <w:t>o move far away to obtain freed</w:t>
      </w:r>
      <w:r w:rsidR="004371F1" w:rsidRPr="00F10F30">
        <w:rPr>
          <w:rFonts w:ascii="Times New Roman" w:hAnsi="Times New Roman" w:cs="Times New Roman"/>
          <w:lang w:val="en-GB"/>
        </w:rPr>
        <w:t>om and independence from parents (</w:t>
      </w:r>
      <w:proofErr w:type="spellStart"/>
      <w:r w:rsidR="004371F1" w:rsidRPr="00F10F30">
        <w:rPr>
          <w:rFonts w:ascii="Times New Roman" w:hAnsi="Times New Roman" w:cs="Times New Roman"/>
          <w:lang w:val="en-GB"/>
        </w:rPr>
        <w:t>Holdsworth</w:t>
      </w:r>
      <w:proofErr w:type="spellEnd"/>
      <w:r w:rsidR="004371F1" w:rsidRPr="00F10F30">
        <w:rPr>
          <w:rFonts w:ascii="Times New Roman" w:hAnsi="Times New Roman" w:cs="Times New Roman"/>
          <w:lang w:val="en-GB"/>
        </w:rPr>
        <w:t xml:space="preserve"> 2009). </w:t>
      </w:r>
      <w:r w:rsidRPr="00F10F30">
        <w:rPr>
          <w:rFonts w:ascii="Times New Roman" w:hAnsi="Times New Roman" w:cs="Times New Roman"/>
          <w:lang w:val="en-GB"/>
        </w:rPr>
        <w:t>Research shows (</w:t>
      </w:r>
      <w:proofErr w:type="spellStart"/>
      <w:r w:rsidRPr="00F10F30">
        <w:rPr>
          <w:rFonts w:ascii="Times New Roman" w:hAnsi="Times New Roman" w:cs="Times New Roman"/>
          <w:lang w:val="en-GB"/>
        </w:rPr>
        <w:t>Ottosen</w:t>
      </w:r>
      <w:proofErr w:type="spellEnd"/>
      <w:r w:rsidRPr="00F10F30">
        <w:rPr>
          <w:rFonts w:ascii="Times New Roman" w:hAnsi="Times New Roman" w:cs="Times New Roman"/>
          <w:lang w:val="en-GB"/>
        </w:rPr>
        <w:t xml:space="preserve"> 2010, </w:t>
      </w:r>
      <w:proofErr w:type="spellStart"/>
      <w:r w:rsidRPr="00F10F30">
        <w:rPr>
          <w:rFonts w:ascii="Times New Roman" w:hAnsi="Times New Roman" w:cs="Times New Roman"/>
          <w:lang w:val="en-GB"/>
        </w:rPr>
        <w:t>L</w:t>
      </w:r>
      <w:r w:rsidR="00F8096E" w:rsidRPr="00F10F30">
        <w:rPr>
          <w:rFonts w:ascii="Times New Roman" w:hAnsi="Times New Roman" w:cs="Times New Roman"/>
          <w:lang w:val="en-GB"/>
        </w:rPr>
        <w:t>ahelma</w:t>
      </w:r>
      <w:proofErr w:type="spellEnd"/>
      <w:r w:rsidR="00F8096E" w:rsidRPr="00F10F30">
        <w:rPr>
          <w:rFonts w:ascii="Times New Roman" w:hAnsi="Times New Roman" w:cs="Times New Roman"/>
          <w:lang w:val="en-GB"/>
        </w:rPr>
        <w:t xml:space="preserve"> and</w:t>
      </w:r>
      <w:r w:rsidRPr="00F10F30">
        <w:rPr>
          <w:rFonts w:ascii="Times New Roman" w:hAnsi="Times New Roman" w:cs="Times New Roman"/>
          <w:lang w:val="en-GB"/>
        </w:rPr>
        <w:t xml:space="preserve"> Gordon 2010) that those who leave home early typically comes from families with lower incomes, where parents are out of work and more often divorced. Besides </w:t>
      </w:r>
      <w:r w:rsidR="003B225E">
        <w:rPr>
          <w:rFonts w:ascii="Times New Roman" w:hAnsi="Times New Roman" w:cs="Times New Roman"/>
          <w:lang w:val="en-GB"/>
        </w:rPr>
        <w:t xml:space="preserve">the effects of having </w:t>
      </w:r>
      <w:r w:rsidRPr="00F10F30">
        <w:rPr>
          <w:rFonts w:ascii="Times New Roman" w:hAnsi="Times New Roman" w:cs="Times New Roman"/>
          <w:lang w:val="en-GB"/>
        </w:rPr>
        <w:t>less well functioning families</w:t>
      </w:r>
      <w:r w:rsidR="003B225E">
        <w:rPr>
          <w:rFonts w:ascii="Times New Roman" w:hAnsi="Times New Roman" w:cs="Times New Roman"/>
          <w:lang w:val="en-GB"/>
        </w:rPr>
        <w:t>,</w:t>
      </w:r>
      <w:r w:rsidRPr="00F10F30">
        <w:rPr>
          <w:rFonts w:ascii="Times New Roman" w:hAnsi="Times New Roman" w:cs="Times New Roman"/>
          <w:lang w:val="en-GB"/>
        </w:rPr>
        <w:t xml:space="preserve"> there have also been pointed to that there might be different norms in different social classes and geographical areas for when it is expected that young people leave home (</w:t>
      </w:r>
      <w:proofErr w:type="spellStart"/>
      <w:r w:rsidR="00F8096E" w:rsidRPr="00F10F30">
        <w:rPr>
          <w:rFonts w:ascii="Times New Roman" w:hAnsi="Times New Roman" w:cs="Times New Roman"/>
          <w:lang w:val="en-GB"/>
        </w:rPr>
        <w:t>Patiniotis</w:t>
      </w:r>
      <w:proofErr w:type="spellEnd"/>
      <w:r w:rsidR="00F8096E" w:rsidRPr="00F10F30">
        <w:rPr>
          <w:rFonts w:ascii="Times New Roman" w:hAnsi="Times New Roman" w:cs="Times New Roman"/>
          <w:lang w:val="en-GB"/>
        </w:rPr>
        <w:t xml:space="preserve"> and</w:t>
      </w:r>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Holdsworth</w:t>
      </w:r>
      <w:proofErr w:type="spellEnd"/>
      <w:r w:rsidRPr="00F10F30">
        <w:rPr>
          <w:rFonts w:ascii="Times New Roman" w:hAnsi="Times New Roman" w:cs="Times New Roman"/>
          <w:lang w:val="en-GB"/>
        </w:rPr>
        <w:t xml:space="preserve"> 2007, </w:t>
      </w:r>
      <w:proofErr w:type="spellStart"/>
      <w:r w:rsidR="00F8096E" w:rsidRPr="00F10F30">
        <w:rPr>
          <w:rFonts w:ascii="Times New Roman" w:hAnsi="Times New Roman" w:cs="Times New Roman"/>
          <w:lang w:val="en-GB"/>
        </w:rPr>
        <w:t>Dribe</w:t>
      </w:r>
      <w:proofErr w:type="spellEnd"/>
      <w:r w:rsidR="00F8096E" w:rsidRPr="00F10F30">
        <w:rPr>
          <w:rFonts w:ascii="Times New Roman" w:hAnsi="Times New Roman" w:cs="Times New Roman"/>
          <w:lang w:val="en-GB"/>
        </w:rPr>
        <w:t xml:space="preserve"> and</w:t>
      </w:r>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Tanfors</w:t>
      </w:r>
      <w:proofErr w:type="spellEnd"/>
      <w:r w:rsidRPr="00F10F30">
        <w:rPr>
          <w:rFonts w:ascii="Times New Roman" w:hAnsi="Times New Roman" w:cs="Times New Roman"/>
          <w:lang w:val="en-GB"/>
        </w:rPr>
        <w:t xml:space="preserve"> 2005).</w:t>
      </w:r>
    </w:p>
    <w:p w:rsidR="00F10F30" w:rsidRDefault="00F10F30" w:rsidP="00F10F30">
      <w:pPr>
        <w:spacing w:after="0"/>
        <w:rPr>
          <w:rFonts w:ascii="Times New Roman" w:hAnsi="Times New Roman" w:cs="Times New Roman"/>
          <w:lang w:val="en-GB"/>
        </w:rPr>
      </w:pPr>
    </w:p>
    <w:p w:rsidR="00C12CA9" w:rsidRPr="00F10F30" w:rsidRDefault="00C12CA9" w:rsidP="00F10F30">
      <w:pPr>
        <w:spacing w:after="0"/>
        <w:rPr>
          <w:rFonts w:ascii="Times New Roman" w:hAnsi="Times New Roman" w:cs="Times New Roman"/>
          <w:lang w:val="en-GB"/>
        </w:rPr>
      </w:pPr>
      <w:r w:rsidRPr="00F10F30">
        <w:rPr>
          <w:rFonts w:ascii="Times New Roman" w:hAnsi="Times New Roman" w:cs="Times New Roman"/>
          <w:lang w:val="en-GB"/>
        </w:rPr>
        <w:t>In general young women leave home earlier than young men (</w:t>
      </w:r>
      <w:proofErr w:type="spellStart"/>
      <w:r w:rsidR="00F8096E" w:rsidRPr="00F10F30">
        <w:rPr>
          <w:rFonts w:ascii="Times New Roman" w:hAnsi="Times New Roman" w:cs="Times New Roman"/>
          <w:lang w:val="en-GB"/>
        </w:rPr>
        <w:t>Dribe</w:t>
      </w:r>
      <w:proofErr w:type="spellEnd"/>
      <w:r w:rsidR="00F8096E" w:rsidRPr="00F10F30">
        <w:rPr>
          <w:rFonts w:ascii="Times New Roman" w:hAnsi="Times New Roman" w:cs="Times New Roman"/>
          <w:lang w:val="en-GB"/>
        </w:rPr>
        <w:t xml:space="preserve"> and</w:t>
      </w:r>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Tanfors</w:t>
      </w:r>
      <w:proofErr w:type="spellEnd"/>
      <w:r w:rsidRPr="00F10F30">
        <w:rPr>
          <w:rFonts w:ascii="Times New Roman" w:hAnsi="Times New Roman" w:cs="Times New Roman"/>
          <w:lang w:val="en-GB"/>
        </w:rPr>
        <w:t xml:space="preserve"> 2005, </w:t>
      </w:r>
      <w:proofErr w:type="spellStart"/>
      <w:r w:rsidRPr="00F10F30">
        <w:rPr>
          <w:rFonts w:ascii="Times New Roman" w:hAnsi="Times New Roman" w:cs="Times New Roman"/>
          <w:lang w:val="en-GB"/>
        </w:rPr>
        <w:t>Skovgård</w:t>
      </w:r>
      <w:proofErr w:type="spellEnd"/>
      <w:r w:rsidRPr="00F10F30">
        <w:rPr>
          <w:rFonts w:ascii="Times New Roman" w:hAnsi="Times New Roman" w:cs="Times New Roman"/>
          <w:lang w:val="en-GB"/>
        </w:rPr>
        <w:t xml:space="preserve"> Nielsen 2014), but it is not clear if this is because they have a greater need of </w:t>
      </w:r>
      <w:r w:rsidR="0097418E" w:rsidRPr="00F10F30">
        <w:rPr>
          <w:rFonts w:ascii="Times New Roman" w:hAnsi="Times New Roman" w:cs="Times New Roman"/>
          <w:lang w:val="en-GB"/>
        </w:rPr>
        <w:t xml:space="preserve">emancipation and are better positioned to establish their own household or if it is because they have stronger desires to obtain education or jobs </w:t>
      </w:r>
      <w:r w:rsidR="003B225E">
        <w:rPr>
          <w:rFonts w:ascii="Times New Roman" w:hAnsi="Times New Roman" w:cs="Times New Roman"/>
          <w:lang w:val="en-GB"/>
        </w:rPr>
        <w:t>that</w:t>
      </w:r>
      <w:r w:rsidR="0097418E" w:rsidRPr="00F10F30">
        <w:rPr>
          <w:rFonts w:ascii="Times New Roman" w:hAnsi="Times New Roman" w:cs="Times New Roman"/>
          <w:lang w:val="en-GB"/>
        </w:rPr>
        <w:t xml:space="preserve"> are not available nearby the parents’ home. In general young people in fringe areas leave home earlier than in the cities, and this is especially the case for women.</w:t>
      </w:r>
    </w:p>
    <w:p w:rsidR="00F10F30" w:rsidRDefault="00F10F30" w:rsidP="00F10F30">
      <w:pPr>
        <w:spacing w:after="0"/>
        <w:rPr>
          <w:rFonts w:ascii="Times New Roman" w:hAnsi="Times New Roman" w:cs="Times New Roman"/>
          <w:lang w:val="en-GB"/>
        </w:rPr>
      </w:pPr>
    </w:p>
    <w:p w:rsidR="00C12CA9" w:rsidRPr="00F10F30" w:rsidRDefault="000F4F8C" w:rsidP="00F10F30">
      <w:pPr>
        <w:spacing w:after="0"/>
        <w:rPr>
          <w:rFonts w:ascii="Times New Roman" w:hAnsi="Times New Roman" w:cs="Times New Roman"/>
          <w:lang w:val="en-GB"/>
        </w:rPr>
      </w:pPr>
      <w:r w:rsidRPr="00F10F30">
        <w:rPr>
          <w:rFonts w:ascii="Times New Roman" w:hAnsi="Times New Roman" w:cs="Times New Roman"/>
          <w:lang w:val="en-GB"/>
        </w:rPr>
        <w:t xml:space="preserve">Besides bonds to the family, attachment to the local area also is of great importance for young people. An earlier Danish study (Skifter Andersen 2010) showed that among those living at home 87 per cent felt strong attachment to the place where they lived, while this was only the case for 70 per cent of the whole population. Two Danish qualitative studies of youngsters’ preferences for education and mobility in fringe areas </w:t>
      </w:r>
      <w:r w:rsidR="00F8096E" w:rsidRPr="00F10F30">
        <w:rPr>
          <w:rFonts w:ascii="Times New Roman" w:hAnsi="Times New Roman" w:cs="Times New Roman"/>
          <w:lang w:val="en-GB"/>
        </w:rPr>
        <w:t>(Sørensen and</w:t>
      </w:r>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Pless</w:t>
      </w:r>
      <w:proofErr w:type="spellEnd"/>
      <w:r w:rsidRPr="00F10F30">
        <w:rPr>
          <w:rFonts w:ascii="Times New Roman" w:hAnsi="Times New Roman" w:cs="Times New Roman"/>
          <w:lang w:val="en-GB"/>
        </w:rPr>
        <w:t xml:space="preserve"> 2014, </w:t>
      </w:r>
      <w:proofErr w:type="spellStart"/>
      <w:r w:rsidRPr="00F10F30">
        <w:rPr>
          <w:rFonts w:ascii="Times New Roman" w:hAnsi="Times New Roman" w:cs="Times New Roman"/>
          <w:lang w:val="en-GB"/>
        </w:rPr>
        <w:t>Hermansen</w:t>
      </w:r>
      <w:proofErr w:type="spellEnd"/>
      <w:r w:rsidRPr="00F10F30">
        <w:rPr>
          <w:rFonts w:ascii="Times New Roman" w:hAnsi="Times New Roman" w:cs="Times New Roman"/>
          <w:lang w:val="en-GB"/>
        </w:rPr>
        <w:t xml:space="preserve"> 2011) </w:t>
      </w:r>
      <w:r w:rsidR="003B225E">
        <w:rPr>
          <w:rFonts w:ascii="Times New Roman" w:hAnsi="Times New Roman" w:cs="Times New Roman"/>
          <w:lang w:val="en-GB"/>
        </w:rPr>
        <w:t>conclude</w:t>
      </w:r>
      <w:r w:rsidR="00F8096E" w:rsidRPr="00F10F30">
        <w:rPr>
          <w:rFonts w:ascii="Times New Roman" w:hAnsi="Times New Roman" w:cs="Times New Roman"/>
          <w:lang w:val="en-GB"/>
        </w:rPr>
        <w:t xml:space="preserve"> that most of them</w:t>
      </w:r>
      <w:r w:rsidRPr="00F10F30">
        <w:rPr>
          <w:rFonts w:ascii="Times New Roman" w:hAnsi="Times New Roman" w:cs="Times New Roman"/>
          <w:lang w:val="en-GB"/>
        </w:rPr>
        <w:t xml:space="preserve"> </w:t>
      </w:r>
      <w:r w:rsidR="00F8096E" w:rsidRPr="00F10F30">
        <w:rPr>
          <w:rFonts w:ascii="Times New Roman" w:hAnsi="Times New Roman" w:cs="Times New Roman"/>
          <w:lang w:val="en-GB"/>
        </w:rPr>
        <w:t>appreciate their life and opportunities in fringe areas, especially the close social relations to other youngsters, the good opportunities to participate in sport and other leisure activities and favourable access to natural activities and experiences.</w:t>
      </w:r>
    </w:p>
    <w:p w:rsidR="00F10F30" w:rsidRDefault="00F10F30" w:rsidP="00F10F30">
      <w:pPr>
        <w:spacing w:after="0"/>
        <w:rPr>
          <w:rFonts w:ascii="Times New Roman" w:hAnsi="Times New Roman" w:cs="Times New Roman"/>
          <w:lang w:val="en-GB"/>
        </w:rPr>
      </w:pPr>
    </w:p>
    <w:p w:rsidR="00F8096E" w:rsidRPr="00F10F30" w:rsidRDefault="00F8096E" w:rsidP="00F10F30">
      <w:pPr>
        <w:spacing w:after="0"/>
        <w:rPr>
          <w:rFonts w:ascii="Times New Roman" w:hAnsi="Times New Roman" w:cs="Times New Roman"/>
          <w:lang w:val="en-GB"/>
        </w:rPr>
      </w:pPr>
      <w:r w:rsidRPr="00F10F30">
        <w:rPr>
          <w:rFonts w:ascii="Times New Roman" w:hAnsi="Times New Roman" w:cs="Times New Roman"/>
          <w:lang w:val="en-GB"/>
        </w:rPr>
        <w:t>The stre</w:t>
      </w:r>
      <w:r w:rsidR="003B225E">
        <w:rPr>
          <w:rFonts w:ascii="Times New Roman" w:hAnsi="Times New Roman" w:cs="Times New Roman"/>
          <w:lang w:val="en-GB"/>
        </w:rPr>
        <w:t>ngth of these preferences, and f</w:t>
      </w:r>
      <w:r w:rsidRPr="00F10F30">
        <w:rPr>
          <w:rFonts w:ascii="Times New Roman" w:hAnsi="Times New Roman" w:cs="Times New Roman"/>
          <w:lang w:val="en-GB"/>
        </w:rPr>
        <w:t>amily attachment, is important for to what extent youngsters in fringe areas prefer to stay in, or return to, their home area, or if they plan to move elsewhere. They are</w:t>
      </w:r>
      <w:r w:rsidR="00781353" w:rsidRPr="00F10F30">
        <w:rPr>
          <w:rFonts w:ascii="Times New Roman" w:hAnsi="Times New Roman" w:cs="Times New Roman"/>
          <w:lang w:val="en-GB"/>
        </w:rPr>
        <w:t>, however,</w:t>
      </w:r>
      <w:r w:rsidRPr="00F10F30">
        <w:rPr>
          <w:rFonts w:ascii="Times New Roman" w:hAnsi="Times New Roman" w:cs="Times New Roman"/>
          <w:lang w:val="en-GB"/>
        </w:rPr>
        <w:t xml:space="preserve"> influenced by conflicting exposures.  </w:t>
      </w:r>
      <w:r w:rsidR="00781353" w:rsidRPr="00F10F30">
        <w:rPr>
          <w:rFonts w:ascii="Times New Roman" w:hAnsi="Times New Roman" w:cs="Times New Roman"/>
          <w:lang w:val="en-GB"/>
        </w:rPr>
        <w:t>They have mostly no experiences with how it is to live in cities and their ideas of it is influenced by dreams and myths produced by the media, where life in cities is displayed as the natural place to be and a must for young</w:t>
      </w:r>
      <w:r w:rsidR="003B225E">
        <w:rPr>
          <w:rFonts w:ascii="Times New Roman" w:hAnsi="Times New Roman" w:cs="Times New Roman"/>
          <w:lang w:val="en-GB"/>
        </w:rPr>
        <w:t xml:space="preserve"> people (Beck </w:t>
      </w:r>
      <w:proofErr w:type="spellStart"/>
      <w:r w:rsidR="003B225E">
        <w:rPr>
          <w:rFonts w:ascii="Times New Roman" w:hAnsi="Times New Roman" w:cs="Times New Roman"/>
          <w:lang w:val="en-GB"/>
        </w:rPr>
        <w:t>og</w:t>
      </w:r>
      <w:proofErr w:type="spellEnd"/>
      <w:r w:rsidR="003B225E">
        <w:rPr>
          <w:rFonts w:ascii="Times New Roman" w:hAnsi="Times New Roman" w:cs="Times New Roman"/>
          <w:lang w:val="en-GB"/>
        </w:rPr>
        <w:t xml:space="preserve"> </w:t>
      </w:r>
      <w:proofErr w:type="spellStart"/>
      <w:r w:rsidR="003B225E">
        <w:rPr>
          <w:rFonts w:ascii="Times New Roman" w:hAnsi="Times New Roman" w:cs="Times New Roman"/>
          <w:lang w:val="en-GB"/>
        </w:rPr>
        <w:t>Ebbensgaard</w:t>
      </w:r>
      <w:proofErr w:type="spellEnd"/>
      <w:r w:rsidR="003B225E">
        <w:rPr>
          <w:rFonts w:ascii="Times New Roman" w:hAnsi="Times New Roman" w:cs="Times New Roman"/>
          <w:lang w:val="en-GB"/>
        </w:rPr>
        <w:t xml:space="preserve">  2010</w:t>
      </w:r>
      <w:r w:rsidR="00781353" w:rsidRPr="00F10F30">
        <w:rPr>
          <w:rFonts w:ascii="Times New Roman" w:hAnsi="Times New Roman" w:cs="Times New Roman"/>
          <w:lang w:val="en-GB"/>
        </w:rPr>
        <w:t xml:space="preserve">, </w:t>
      </w:r>
      <w:proofErr w:type="spellStart"/>
      <w:r w:rsidR="00781353" w:rsidRPr="00F10F30">
        <w:rPr>
          <w:rFonts w:ascii="Times New Roman" w:hAnsi="Times New Roman" w:cs="Times New Roman"/>
          <w:lang w:val="en-GB"/>
        </w:rPr>
        <w:t>Svensson</w:t>
      </w:r>
      <w:proofErr w:type="spellEnd"/>
      <w:r w:rsidR="00781353" w:rsidRPr="00F10F30">
        <w:rPr>
          <w:rFonts w:ascii="Times New Roman" w:hAnsi="Times New Roman" w:cs="Times New Roman"/>
          <w:lang w:val="en-GB"/>
        </w:rPr>
        <w:t xml:space="preserve"> 2006, Sørensen </w:t>
      </w:r>
      <w:proofErr w:type="spellStart"/>
      <w:r w:rsidR="00781353" w:rsidRPr="00F10F30">
        <w:rPr>
          <w:rFonts w:ascii="Times New Roman" w:hAnsi="Times New Roman" w:cs="Times New Roman"/>
          <w:lang w:val="en-GB"/>
        </w:rPr>
        <w:t>m.fl</w:t>
      </w:r>
      <w:proofErr w:type="spellEnd"/>
      <w:r w:rsidR="00781353" w:rsidRPr="00F10F30">
        <w:rPr>
          <w:rFonts w:ascii="Times New Roman" w:hAnsi="Times New Roman" w:cs="Times New Roman"/>
          <w:lang w:val="en-GB"/>
        </w:rPr>
        <w:t xml:space="preserve">. 2014, </w:t>
      </w:r>
      <w:proofErr w:type="spellStart"/>
      <w:r w:rsidR="00781353" w:rsidRPr="00F10F30">
        <w:rPr>
          <w:rFonts w:ascii="Times New Roman" w:hAnsi="Times New Roman" w:cs="Times New Roman"/>
          <w:lang w:val="en-GB"/>
        </w:rPr>
        <w:t>Hermansen</w:t>
      </w:r>
      <w:proofErr w:type="spellEnd"/>
      <w:r w:rsidR="00781353" w:rsidRPr="00F10F30">
        <w:rPr>
          <w:rFonts w:ascii="Times New Roman" w:hAnsi="Times New Roman" w:cs="Times New Roman"/>
          <w:lang w:val="en-GB"/>
        </w:rPr>
        <w:t xml:space="preserve"> 2011). They feel that it has a higher status to live in cities than in fringe areas. Some also see migration to a city as an opportunity to escape from what they see as social control from parents and the local community.</w:t>
      </w:r>
    </w:p>
    <w:p w:rsidR="00F10F30" w:rsidRDefault="00F10F30" w:rsidP="00F10F30">
      <w:pPr>
        <w:spacing w:after="0"/>
        <w:rPr>
          <w:rFonts w:ascii="Times New Roman" w:hAnsi="Times New Roman" w:cs="Times New Roman"/>
          <w:lang w:val="en-GB"/>
        </w:rPr>
      </w:pPr>
    </w:p>
    <w:p w:rsidR="00F35BB5" w:rsidRPr="00F10F30" w:rsidRDefault="00781353" w:rsidP="00F10F30">
      <w:pPr>
        <w:spacing w:after="0"/>
        <w:rPr>
          <w:rFonts w:ascii="Times New Roman" w:hAnsi="Times New Roman" w:cs="Times New Roman"/>
          <w:lang w:val="en-GB"/>
        </w:rPr>
      </w:pPr>
      <w:r w:rsidRPr="00F10F30">
        <w:rPr>
          <w:rFonts w:ascii="Times New Roman" w:hAnsi="Times New Roman" w:cs="Times New Roman"/>
          <w:lang w:val="en-GB"/>
        </w:rPr>
        <w:t xml:space="preserve">The impact of these conflicting influences on the decision of young people concerning choice of education and migration depends among others on their sex and social background. If they come from more resourceful families often have been </w:t>
      </w:r>
      <w:r w:rsidR="00F35BB5" w:rsidRPr="00F10F30">
        <w:rPr>
          <w:rFonts w:ascii="Times New Roman" w:hAnsi="Times New Roman" w:cs="Times New Roman"/>
          <w:lang w:val="en-GB"/>
        </w:rPr>
        <w:t>raised to have high ambitions about education and a life with highly qualified and well paid jobs (</w:t>
      </w:r>
      <w:proofErr w:type="spellStart"/>
      <w:r w:rsidR="00F35BB5" w:rsidRPr="00F10F30">
        <w:rPr>
          <w:rFonts w:ascii="Times New Roman" w:hAnsi="Times New Roman" w:cs="Times New Roman"/>
          <w:lang w:val="en-GB"/>
        </w:rPr>
        <w:t>Petri</w:t>
      </w:r>
      <w:r w:rsidR="003B225E">
        <w:rPr>
          <w:rFonts w:ascii="Times New Roman" w:hAnsi="Times New Roman" w:cs="Times New Roman"/>
          <w:lang w:val="en-GB"/>
        </w:rPr>
        <w:t>n</w:t>
      </w:r>
      <w:proofErr w:type="spellEnd"/>
      <w:r w:rsidR="003B225E">
        <w:rPr>
          <w:rFonts w:ascii="Times New Roman" w:hAnsi="Times New Roman" w:cs="Times New Roman"/>
          <w:lang w:val="en-GB"/>
        </w:rPr>
        <w:t xml:space="preserve"> et. al. 2014</w:t>
      </w:r>
      <w:r w:rsidR="00F35BB5" w:rsidRPr="00F10F30">
        <w:rPr>
          <w:rFonts w:ascii="Times New Roman" w:hAnsi="Times New Roman" w:cs="Times New Roman"/>
          <w:lang w:val="en-GB"/>
        </w:rPr>
        <w:t>), which encourage them to move to the cities (</w:t>
      </w:r>
      <w:r w:rsidR="003B225E">
        <w:rPr>
          <w:rFonts w:ascii="Times New Roman" w:hAnsi="Times New Roman" w:cs="Times New Roman"/>
          <w:lang w:val="en-GB"/>
        </w:rPr>
        <w:t xml:space="preserve">Demi et. al. 2009, </w:t>
      </w:r>
      <w:r w:rsidR="00F35BB5" w:rsidRPr="00F10F30">
        <w:rPr>
          <w:rFonts w:ascii="Times New Roman" w:hAnsi="Times New Roman" w:cs="Times New Roman"/>
          <w:lang w:val="en-GB"/>
        </w:rPr>
        <w:t xml:space="preserve">Helve 2003). On the other hand those coming from less resourceful families have a stronger wish to gain a life style, which only can be practised in less urbanised areas. These young people </w:t>
      </w:r>
      <w:proofErr w:type="spellStart"/>
      <w:r w:rsidR="003B225E">
        <w:rPr>
          <w:rFonts w:ascii="Times New Roman" w:hAnsi="Times New Roman" w:cs="Times New Roman"/>
          <w:lang w:val="en-GB"/>
        </w:rPr>
        <w:t>emphase</w:t>
      </w:r>
      <w:proofErr w:type="spellEnd"/>
      <w:r w:rsidR="00F35BB5" w:rsidRPr="00F10F30">
        <w:rPr>
          <w:rFonts w:ascii="Times New Roman" w:hAnsi="Times New Roman" w:cs="Times New Roman"/>
          <w:lang w:val="en-GB"/>
        </w:rPr>
        <w:t xml:space="preserve"> </w:t>
      </w:r>
      <w:r w:rsidR="003B225E">
        <w:rPr>
          <w:rFonts w:ascii="Times New Roman" w:hAnsi="Times New Roman" w:cs="Times New Roman"/>
          <w:lang w:val="en-GB"/>
        </w:rPr>
        <w:t>objectives</w:t>
      </w:r>
      <w:r w:rsidR="00F35BB5" w:rsidRPr="00F10F30">
        <w:rPr>
          <w:rFonts w:ascii="Times New Roman" w:hAnsi="Times New Roman" w:cs="Times New Roman"/>
          <w:lang w:val="en-GB"/>
        </w:rPr>
        <w:t xml:space="preserve"> like obtaining a house and a car in an early age. They therefore go for</w:t>
      </w:r>
      <w:r w:rsidR="003B225E">
        <w:rPr>
          <w:rFonts w:ascii="Times New Roman" w:hAnsi="Times New Roman" w:cs="Times New Roman"/>
          <w:lang w:val="en-GB"/>
        </w:rPr>
        <w:t xml:space="preserve"> educations that give admission</w:t>
      </w:r>
      <w:r w:rsidR="00F35BB5" w:rsidRPr="00F10F30">
        <w:rPr>
          <w:rFonts w:ascii="Times New Roman" w:hAnsi="Times New Roman" w:cs="Times New Roman"/>
          <w:lang w:val="en-GB"/>
        </w:rPr>
        <w:t xml:space="preserve"> to jobs that can be obtained here, and these most often are shorter educations</w:t>
      </w:r>
      <w:r w:rsidR="000246F5" w:rsidRPr="00F10F30">
        <w:rPr>
          <w:rFonts w:ascii="Times New Roman" w:hAnsi="Times New Roman" w:cs="Times New Roman"/>
          <w:lang w:val="en-GB"/>
        </w:rPr>
        <w:t>, often located close to the local area. For some</w:t>
      </w:r>
      <w:r w:rsidR="003B225E">
        <w:rPr>
          <w:rFonts w:ascii="Times New Roman" w:hAnsi="Times New Roman" w:cs="Times New Roman"/>
          <w:lang w:val="en-GB"/>
        </w:rPr>
        <w:t xml:space="preserve"> others</w:t>
      </w:r>
      <w:r w:rsidR="000246F5" w:rsidRPr="00F10F30">
        <w:rPr>
          <w:rFonts w:ascii="Times New Roman" w:hAnsi="Times New Roman" w:cs="Times New Roman"/>
          <w:lang w:val="en-GB"/>
        </w:rPr>
        <w:t xml:space="preserve"> it can, however, be a strategy for social mobility to move away and obtain higher education </w:t>
      </w:r>
      <w:r w:rsidR="000246F5" w:rsidRPr="003B225E">
        <w:rPr>
          <w:rFonts w:ascii="Times New Roman" w:hAnsi="Times New Roman" w:cs="Times New Roman"/>
          <w:color w:val="000000"/>
          <w:lang w:val="en-GB"/>
        </w:rPr>
        <w:t>(</w:t>
      </w:r>
      <w:r w:rsidR="003B225E" w:rsidRPr="003B225E">
        <w:rPr>
          <w:rFonts w:ascii="Times New Roman" w:hAnsi="Times New Roman" w:cs="Times New Roman"/>
          <w:color w:val="000066"/>
          <w:lang w:val="en-GB"/>
        </w:rPr>
        <w:t>Rye, 2006</w:t>
      </w:r>
      <w:r w:rsidR="003B225E">
        <w:rPr>
          <w:rFonts w:ascii="Times New Roman" w:hAnsi="Times New Roman" w:cs="Times New Roman"/>
          <w:color w:val="000066"/>
          <w:lang w:val="en-GB"/>
        </w:rPr>
        <w:t xml:space="preserve">). </w:t>
      </w:r>
      <w:proofErr w:type="spellStart"/>
      <w:r w:rsidR="000246F5" w:rsidRPr="00F10F30">
        <w:rPr>
          <w:rFonts w:ascii="Times New Roman" w:hAnsi="Times New Roman" w:cs="Times New Roman"/>
          <w:lang w:val="en-GB"/>
        </w:rPr>
        <w:t>Thissen</w:t>
      </w:r>
      <w:proofErr w:type="spellEnd"/>
      <w:r w:rsidR="003B225E">
        <w:rPr>
          <w:rFonts w:ascii="Times New Roman" w:hAnsi="Times New Roman" w:cs="Times New Roman"/>
          <w:lang w:val="en-GB"/>
        </w:rPr>
        <w:t xml:space="preserve"> (2010)</w:t>
      </w:r>
      <w:r w:rsidR="000246F5" w:rsidRPr="00F10F30">
        <w:rPr>
          <w:rFonts w:ascii="Times New Roman" w:hAnsi="Times New Roman" w:cs="Times New Roman"/>
          <w:lang w:val="en-GB"/>
        </w:rPr>
        <w:t xml:space="preserve"> postulates the existence of a dichotomy where the less rich and powerless feels a </w:t>
      </w:r>
      <w:r w:rsidR="000246F5" w:rsidRPr="00F10F30">
        <w:rPr>
          <w:rFonts w:ascii="Times New Roman" w:hAnsi="Times New Roman" w:cs="Times New Roman"/>
          <w:lang w:val="en-GB"/>
        </w:rPr>
        <w:lastRenderedPageBreak/>
        <w:t>strong attachment to the local community in fringe areas</w:t>
      </w:r>
      <w:r w:rsidR="003B225E">
        <w:rPr>
          <w:rFonts w:ascii="Times New Roman" w:hAnsi="Times New Roman" w:cs="Times New Roman"/>
          <w:lang w:val="en-GB"/>
        </w:rPr>
        <w:t>,</w:t>
      </w:r>
      <w:r w:rsidR="000246F5" w:rsidRPr="00F10F30">
        <w:rPr>
          <w:rFonts w:ascii="Times New Roman" w:hAnsi="Times New Roman" w:cs="Times New Roman"/>
          <w:lang w:val="en-GB"/>
        </w:rPr>
        <w:t xml:space="preserve"> where they choose to stay as a defensive reaction against the threat from globalisation. </w:t>
      </w:r>
    </w:p>
    <w:p w:rsidR="00F10F30" w:rsidRDefault="00F10F30" w:rsidP="00F10F30">
      <w:pPr>
        <w:spacing w:after="0"/>
        <w:rPr>
          <w:rFonts w:ascii="Times New Roman" w:hAnsi="Times New Roman" w:cs="Times New Roman"/>
          <w:lang w:val="en-GB"/>
        </w:rPr>
      </w:pPr>
    </w:p>
    <w:p w:rsidR="000246F5" w:rsidRPr="00F10F30" w:rsidRDefault="000246F5" w:rsidP="00F10F30">
      <w:pPr>
        <w:spacing w:after="0"/>
        <w:rPr>
          <w:rFonts w:ascii="Times New Roman" w:hAnsi="Times New Roman" w:cs="Times New Roman"/>
          <w:lang w:val="en-GB"/>
        </w:rPr>
      </w:pPr>
      <w:r w:rsidRPr="00F10F30">
        <w:rPr>
          <w:rFonts w:ascii="Times New Roman" w:hAnsi="Times New Roman" w:cs="Times New Roman"/>
          <w:lang w:val="en-GB"/>
        </w:rPr>
        <w:t>DROZDZEWSKI (2008) found that the conflict between place attachment and orientation against life in cities is influenced by the history of the family in relation to the local area. If the family more recently has migrated to the area, or if members of the family or acquaintances have migrated to cities, their inclination to migrate is stronger.</w:t>
      </w:r>
      <w:r w:rsidR="003B225E">
        <w:rPr>
          <w:rFonts w:ascii="Times New Roman" w:hAnsi="Times New Roman" w:cs="Times New Roman"/>
          <w:lang w:val="en-GB"/>
        </w:rPr>
        <w:t xml:space="preserve"> </w:t>
      </w:r>
      <w:r w:rsidRPr="00F10F30">
        <w:rPr>
          <w:rFonts w:ascii="Times New Roman" w:hAnsi="Times New Roman" w:cs="Times New Roman"/>
          <w:lang w:val="en-GB"/>
        </w:rPr>
        <w:t xml:space="preserve">It has also been found that women are more apt to migrate than men. This is mainly explained by their inclination to go for higher or middle-term education which provides other jobs than industrial employment. </w:t>
      </w:r>
    </w:p>
    <w:p w:rsidR="00F10F30" w:rsidRDefault="00F10F30" w:rsidP="00F10F30">
      <w:pPr>
        <w:spacing w:after="0"/>
        <w:rPr>
          <w:rFonts w:ascii="Times New Roman" w:hAnsi="Times New Roman" w:cs="Times New Roman"/>
          <w:lang w:val="en-GB"/>
        </w:rPr>
      </w:pPr>
    </w:p>
    <w:p w:rsidR="006F3732" w:rsidRPr="00F10F30" w:rsidRDefault="006F3732" w:rsidP="00F10F30">
      <w:pPr>
        <w:spacing w:after="0"/>
        <w:rPr>
          <w:rFonts w:ascii="Times New Roman" w:hAnsi="Times New Roman" w:cs="Times New Roman"/>
          <w:lang w:val="en-GB"/>
        </w:rPr>
      </w:pPr>
      <w:r w:rsidRPr="00F10F30">
        <w:rPr>
          <w:rFonts w:ascii="Times New Roman" w:hAnsi="Times New Roman" w:cs="Times New Roman"/>
          <w:lang w:val="en-GB"/>
        </w:rPr>
        <w:t xml:space="preserve">An important question for the communities in fringe areas are to what extent the leaving young will return after finishing education. It has been shown that their actual preferences for </w:t>
      </w:r>
      <w:r w:rsidR="003B225E">
        <w:rPr>
          <w:rFonts w:ascii="Times New Roman" w:hAnsi="Times New Roman" w:cs="Times New Roman"/>
          <w:lang w:val="en-GB"/>
        </w:rPr>
        <w:t>moving</w:t>
      </w:r>
      <w:r w:rsidRPr="00F10F30">
        <w:rPr>
          <w:rFonts w:ascii="Times New Roman" w:hAnsi="Times New Roman" w:cs="Times New Roman"/>
          <w:lang w:val="en-GB"/>
        </w:rPr>
        <w:t xml:space="preserve"> </w:t>
      </w:r>
      <w:r w:rsidR="003B225E">
        <w:rPr>
          <w:rFonts w:ascii="Times New Roman" w:hAnsi="Times New Roman" w:cs="Times New Roman"/>
          <w:lang w:val="en-GB"/>
        </w:rPr>
        <w:t xml:space="preserve">to </w:t>
      </w:r>
      <w:r w:rsidRPr="00F10F30">
        <w:rPr>
          <w:rFonts w:ascii="Times New Roman" w:hAnsi="Times New Roman" w:cs="Times New Roman"/>
          <w:lang w:val="en-GB"/>
        </w:rPr>
        <w:t>cities do not necessarily imply a wish to stay there in the long run (</w:t>
      </w:r>
      <w:proofErr w:type="spellStart"/>
      <w:r w:rsidRPr="00F10F30">
        <w:rPr>
          <w:rFonts w:ascii="Times New Roman" w:hAnsi="Times New Roman" w:cs="Times New Roman"/>
          <w:lang w:val="en-GB"/>
        </w:rPr>
        <w:t>Eacott</w:t>
      </w:r>
      <w:proofErr w:type="spellEnd"/>
      <w:r w:rsidRPr="00F10F30">
        <w:rPr>
          <w:rFonts w:ascii="Times New Roman" w:hAnsi="Times New Roman" w:cs="Times New Roman"/>
          <w:lang w:val="en-GB"/>
        </w:rPr>
        <w:t xml:space="preserve"> </w:t>
      </w:r>
      <w:r w:rsidR="003C19EE" w:rsidRPr="00F10F30">
        <w:rPr>
          <w:rFonts w:ascii="Times New Roman" w:hAnsi="Times New Roman" w:cs="Times New Roman"/>
          <w:lang w:val="en-GB"/>
        </w:rPr>
        <w:t>2014</w:t>
      </w:r>
      <w:proofErr w:type="gramStart"/>
      <w:r w:rsidR="003B225E">
        <w:rPr>
          <w:rFonts w:ascii="Times New Roman" w:hAnsi="Times New Roman" w:cs="Times New Roman"/>
          <w:lang w:val="en-GB"/>
        </w:rPr>
        <w:t>)</w:t>
      </w:r>
      <w:r w:rsidRPr="00F10F30">
        <w:rPr>
          <w:rFonts w:ascii="Times New Roman" w:hAnsi="Times New Roman" w:cs="Times New Roman"/>
          <w:lang w:val="en-GB"/>
        </w:rPr>
        <w:t xml:space="preserve"> .</w:t>
      </w:r>
      <w:proofErr w:type="gramEnd"/>
      <w:r w:rsidRPr="00F10F30">
        <w:rPr>
          <w:rFonts w:ascii="Times New Roman" w:hAnsi="Times New Roman" w:cs="Times New Roman"/>
          <w:lang w:val="en-GB"/>
        </w:rPr>
        <w:t xml:space="preserve"> In the qualitative study made by Sørensen </w:t>
      </w:r>
      <w:proofErr w:type="gramStart"/>
      <w:r w:rsidRPr="00F10F30">
        <w:rPr>
          <w:rFonts w:ascii="Times New Roman" w:hAnsi="Times New Roman" w:cs="Times New Roman"/>
          <w:lang w:val="en-GB"/>
        </w:rPr>
        <w:t>et</w:t>
      </w:r>
      <w:proofErr w:type="gramEnd"/>
      <w:r w:rsidRPr="00F10F30">
        <w:rPr>
          <w:rFonts w:ascii="Times New Roman" w:hAnsi="Times New Roman" w:cs="Times New Roman"/>
          <w:lang w:val="en-GB"/>
        </w:rPr>
        <w:t xml:space="preserve">. al. (2014) only few of the interviewed rejected the possibility of returning to the local area when they get family and children. They conclude that for these young people life in cities is less </w:t>
      </w:r>
      <w:r w:rsidR="00990C89" w:rsidRPr="00F10F30">
        <w:rPr>
          <w:rFonts w:ascii="Times New Roman" w:hAnsi="Times New Roman" w:cs="Times New Roman"/>
          <w:lang w:val="en-GB"/>
        </w:rPr>
        <w:t>in accordance with</w:t>
      </w:r>
      <w:r w:rsidRPr="00F10F30">
        <w:rPr>
          <w:rFonts w:ascii="Times New Roman" w:hAnsi="Times New Roman" w:cs="Times New Roman"/>
          <w:lang w:val="en-GB"/>
        </w:rPr>
        <w:t xml:space="preserve"> their ideas of their situation later in life.</w:t>
      </w:r>
      <w:r w:rsidR="00990C89" w:rsidRPr="00F10F30">
        <w:rPr>
          <w:rFonts w:ascii="Times New Roman" w:hAnsi="Times New Roman" w:cs="Times New Roman"/>
          <w:lang w:val="en-GB"/>
        </w:rPr>
        <w:t xml:space="preserve"> According to another Danish qualitative study (</w:t>
      </w:r>
      <w:proofErr w:type="spellStart"/>
      <w:r w:rsidR="00990C89" w:rsidRPr="00F10F30">
        <w:rPr>
          <w:rFonts w:ascii="Times New Roman" w:hAnsi="Times New Roman" w:cs="Times New Roman"/>
          <w:lang w:val="en-GB"/>
        </w:rPr>
        <w:t>Gleerup</w:t>
      </w:r>
      <w:proofErr w:type="spellEnd"/>
      <w:r w:rsidR="00990C89" w:rsidRPr="00F10F30">
        <w:rPr>
          <w:rFonts w:ascii="Times New Roman" w:hAnsi="Times New Roman" w:cs="Times New Roman"/>
          <w:lang w:val="en-GB"/>
        </w:rPr>
        <w:t xml:space="preserve"> </w:t>
      </w:r>
      <w:proofErr w:type="spellStart"/>
      <w:r w:rsidR="00990C89" w:rsidRPr="00F10F30">
        <w:rPr>
          <w:rFonts w:ascii="Times New Roman" w:hAnsi="Times New Roman" w:cs="Times New Roman"/>
          <w:lang w:val="en-GB"/>
        </w:rPr>
        <w:t>og</w:t>
      </w:r>
      <w:proofErr w:type="spellEnd"/>
      <w:r w:rsidR="00990C89" w:rsidRPr="00F10F30">
        <w:rPr>
          <w:rFonts w:ascii="Times New Roman" w:hAnsi="Times New Roman" w:cs="Times New Roman"/>
          <w:lang w:val="en-GB"/>
        </w:rPr>
        <w:t xml:space="preserve"> </w:t>
      </w:r>
      <w:proofErr w:type="spellStart"/>
      <w:r w:rsidR="00990C89" w:rsidRPr="00F10F30">
        <w:rPr>
          <w:rFonts w:ascii="Times New Roman" w:hAnsi="Times New Roman" w:cs="Times New Roman"/>
          <w:lang w:val="en-GB"/>
        </w:rPr>
        <w:t>Kalsø</w:t>
      </w:r>
      <w:proofErr w:type="spellEnd"/>
      <w:r w:rsidR="00990C89" w:rsidRPr="00F10F30">
        <w:rPr>
          <w:rFonts w:ascii="Times New Roman" w:hAnsi="Times New Roman" w:cs="Times New Roman"/>
          <w:lang w:val="en-GB"/>
        </w:rPr>
        <w:t xml:space="preserve"> Hansen 2014) many of the youngsters, who plan to leave for education, do not see themselves as city dwellers and want to go back to the place where they grew up, among others to find a good childhood environment for their children and be close to nature and to live in a small and foreseeable community. This is in accordance with other studies (</w:t>
      </w:r>
      <w:r w:rsidR="003C19EE" w:rsidRPr="00F10F30">
        <w:rPr>
          <w:rFonts w:ascii="Times New Roman" w:hAnsi="Times New Roman" w:cs="Times New Roman"/>
          <w:lang w:val="en-GB"/>
        </w:rPr>
        <w:t>Ærø et. al.</w:t>
      </w:r>
      <w:r w:rsidR="00990C89" w:rsidRPr="00F10F30">
        <w:rPr>
          <w:rFonts w:ascii="Times New Roman" w:hAnsi="Times New Roman" w:cs="Times New Roman"/>
          <w:lang w:val="en-GB"/>
        </w:rPr>
        <w:t xml:space="preserve"> 2005, Nørgaard </w:t>
      </w:r>
      <w:r w:rsidR="003C19EE" w:rsidRPr="00F10F30">
        <w:rPr>
          <w:rFonts w:ascii="Times New Roman" w:hAnsi="Times New Roman" w:cs="Times New Roman"/>
          <w:lang w:val="en-GB"/>
        </w:rPr>
        <w:t>et. al 2010</w:t>
      </w:r>
      <w:r w:rsidR="00990C89" w:rsidRPr="00F10F30">
        <w:rPr>
          <w:rFonts w:ascii="Times New Roman" w:hAnsi="Times New Roman" w:cs="Times New Roman"/>
          <w:lang w:val="en-GB"/>
        </w:rPr>
        <w:t>) of why some chooses to move from cities to fringe areas. But it is critical for them to find a job for themselves and to some extent also for their partner (</w:t>
      </w:r>
      <w:proofErr w:type="spellStart"/>
      <w:r w:rsidR="00990C89" w:rsidRPr="00F10F30">
        <w:rPr>
          <w:rFonts w:ascii="Times New Roman" w:hAnsi="Times New Roman" w:cs="Times New Roman"/>
          <w:lang w:val="en-GB"/>
        </w:rPr>
        <w:t>Drozdzewski</w:t>
      </w:r>
      <w:proofErr w:type="spellEnd"/>
      <w:r w:rsidR="00990C89" w:rsidRPr="00F10F30">
        <w:rPr>
          <w:rFonts w:ascii="Times New Roman" w:hAnsi="Times New Roman" w:cs="Times New Roman"/>
          <w:lang w:val="en-GB"/>
        </w:rPr>
        <w:t xml:space="preserve"> 2008). </w:t>
      </w:r>
    </w:p>
    <w:p w:rsidR="00F10F30" w:rsidRDefault="00F10F30" w:rsidP="00F10F30">
      <w:pPr>
        <w:spacing w:after="0"/>
        <w:rPr>
          <w:rFonts w:ascii="Times New Roman" w:hAnsi="Times New Roman" w:cs="Times New Roman"/>
          <w:lang w:val="en-GB"/>
        </w:rPr>
      </w:pPr>
    </w:p>
    <w:p w:rsidR="00990C89" w:rsidRDefault="00990C89" w:rsidP="00F10F30">
      <w:pPr>
        <w:spacing w:after="0"/>
        <w:rPr>
          <w:rFonts w:ascii="Times New Roman" w:hAnsi="Times New Roman" w:cs="Times New Roman"/>
          <w:lang w:val="en-GB"/>
        </w:rPr>
      </w:pPr>
      <w:r w:rsidRPr="00F10F30">
        <w:rPr>
          <w:rFonts w:ascii="Times New Roman" w:hAnsi="Times New Roman" w:cs="Times New Roman"/>
          <w:lang w:val="en-GB"/>
        </w:rPr>
        <w:t>For those who have left the fringe areas and moved to cities it can be important how well they operate in their new environment. An English study (Stockdale 2004) among youngsters, who had moved to a city to study, showed that some of them had problems with creating a new social network and had homesickness, not only for parents but also for their social network at home. Some of them missed their home environment and complained about noise and pollution in the city. A similar Australian study (</w:t>
      </w:r>
      <w:proofErr w:type="spellStart"/>
      <w:r w:rsidRPr="00F10F30">
        <w:rPr>
          <w:rFonts w:ascii="Times New Roman" w:hAnsi="Times New Roman" w:cs="Times New Roman"/>
          <w:lang w:val="en-GB"/>
        </w:rPr>
        <w:t>Drozdzewski</w:t>
      </w:r>
      <w:proofErr w:type="spellEnd"/>
      <w:r w:rsidRPr="00F10F30">
        <w:rPr>
          <w:rFonts w:ascii="Times New Roman" w:hAnsi="Times New Roman" w:cs="Times New Roman"/>
          <w:lang w:val="en-GB"/>
        </w:rPr>
        <w:t xml:space="preserve"> 2008) showed, however, that most of the migrated succeeded in building a new social network and that the importance of the network at home declined in the course of time. This depended on to what extent they had established a family and moved </w:t>
      </w:r>
      <w:r w:rsidR="003B225E">
        <w:rPr>
          <w:rFonts w:ascii="Times New Roman" w:hAnsi="Times New Roman" w:cs="Times New Roman"/>
          <w:lang w:val="en-GB"/>
        </w:rPr>
        <w:t>in</w:t>
      </w:r>
      <w:r w:rsidRPr="00F10F30">
        <w:rPr>
          <w:rFonts w:ascii="Times New Roman" w:hAnsi="Times New Roman" w:cs="Times New Roman"/>
          <w:lang w:val="en-GB"/>
        </w:rPr>
        <w:t>to homeownership.</w:t>
      </w:r>
    </w:p>
    <w:p w:rsidR="003B225E" w:rsidRDefault="003B225E" w:rsidP="00F10F30">
      <w:pPr>
        <w:spacing w:after="0"/>
        <w:rPr>
          <w:rFonts w:ascii="Times New Roman" w:hAnsi="Times New Roman" w:cs="Times New Roman"/>
          <w:lang w:val="en-GB"/>
        </w:rPr>
      </w:pPr>
    </w:p>
    <w:p w:rsidR="003B225E" w:rsidRPr="00F10F30" w:rsidRDefault="003B225E" w:rsidP="00F10F30">
      <w:pPr>
        <w:spacing w:after="0"/>
        <w:rPr>
          <w:rFonts w:ascii="Times New Roman" w:hAnsi="Times New Roman" w:cs="Times New Roman"/>
          <w:lang w:val="en-GB"/>
        </w:rPr>
      </w:pPr>
      <w:r>
        <w:rPr>
          <w:rFonts w:ascii="Times New Roman" w:hAnsi="Times New Roman" w:cs="Times New Roman"/>
          <w:lang w:val="en-GB"/>
        </w:rPr>
        <w:t xml:space="preserve">It can be summarized form the literature that choice of education and location of educational institutions have a crucial importance for if young people move away from fringe areas. This is, however, very dependent on sex and family background. It is also important when and how they move away from their home with parents. Those who stay at home until start of education are more </w:t>
      </w:r>
      <w:r w:rsidR="006E6245">
        <w:rPr>
          <w:rFonts w:ascii="Times New Roman" w:hAnsi="Times New Roman" w:cs="Times New Roman"/>
          <w:lang w:val="en-GB"/>
        </w:rPr>
        <w:t>inclined to migrate, while those who established their own family in the local area are less. Moreover, other events than start of education, especially getting employment could trigger migration.</w:t>
      </w:r>
    </w:p>
    <w:p w:rsidR="006F3732" w:rsidRPr="00F10F30" w:rsidRDefault="006F3732" w:rsidP="00F10F30">
      <w:pPr>
        <w:spacing w:after="0"/>
        <w:rPr>
          <w:rFonts w:ascii="Times New Roman" w:hAnsi="Times New Roman" w:cs="Times New Roman"/>
          <w:lang w:val="en-GB"/>
        </w:rPr>
      </w:pPr>
    </w:p>
    <w:p w:rsidR="004A2B37" w:rsidRPr="00F10F30" w:rsidRDefault="004A2B37"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t>Data and methods</w:t>
      </w:r>
    </w:p>
    <w:p w:rsidR="00C63750" w:rsidRDefault="00C63750" w:rsidP="00F10F30">
      <w:pPr>
        <w:spacing w:after="0"/>
        <w:rPr>
          <w:rFonts w:ascii="Times New Roman" w:hAnsi="Times New Roman" w:cs="Times New Roman"/>
          <w:lang w:val="en-GB"/>
        </w:rPr>
      </w:pPr>
      <w:r w:rsidRPr="00F10F30">
        <w:rPr>
          <w:rFonts w:ascii="Times New Roman" w:hAnsi="Times New Roman" w:cs="Times New Roman"/>
          <w:lang w:val="en-GB"/>
        </w:rPr>
        <w:t xml:space="preserve">The paper is based on a database with data on the whole Danish population every year from 1990 to 2013. It contains personal data on age, family situation, income, education, employment etc. It is combined with an education register containing data on time of start and finish of education, and the character and location of the institutions where the education have taken place. As data are available for every year changes in the situation from year to year for every person can be calculated, for example moves, family changes, start of and finish of education, start or change of employment etc. </w:t>
      </w:r>
    </w:p>
    <w:p w:rsidR="00F10F30" w:rsidRPr="00F10F30" w:rsidRDefault="00F10F30" w:rsidP="00F10F30">
      <w:pPr>
        <w:spacing w:after="0"/>
        <w:rPr>
          <w:rFonts w:ascii="Times New Roman" w:hAnsi="Times New Roman" w:cs="Times New Roman"/>
          <w:lang w:val="en-GB"/>
        </w:rPr>
      </w:pPr>
    </w:p>
    <w:p w:rsidR="00F10F30" w:rsidRDefault="00C63750" w:rsidP="003B225E">
      <w:pPr>
        <w:spacing w:after="0"/>
        <w:rPr>
          <w:rFonts w:ascii="Times New Roman" w:hAnsi="Times New Roman" w:cs="Times New Roman"/>
          <w:lang w:val="en-GB"/>
        </w:rPr>
      </w:pPr>
      <w:r w:rsidRPr="00F10F30">
        <w:rPr>
          <w:rFonts w:ascii="Times New Roman" w:hAnsi="Times New Roman" w:cs="Times New Roman"/>
          <w:lang w:val="en-GB"/>
        </w:rPr>
        <w:t xml:space="preserve">For this paper </w:t>
      </w:r>
      <w:r w:rsidR="006E6245">
        <w:rPr>
          <w:rFonts w:ascii="Times New Roman" w:hAnsi="Times New Roman" w:cs="Times New Roman"/>
          <w:lang w:val="en-GB"/>
        </w:rPr>
        <w:t xml:space="preserve">two datasets have been constructed. The first contains young people in the age 17 to 39 in the two years 1990 and 2011. The other is a </w:t>
      </w:r>
      <w:r w:rsidR="0033570F">
        <w:rPr>
          <w:rFonts w:ascii="Times New Roman" w:hAnsi="Times New Roman" w:cs="Times New Roman"/>
          <w:lang w:val="en-GB"/>
        </w:rPr>
        <w:t xml:space="preserve">longitudinal </w:t>
      </w:r>
      <w:r w:rsidRPr="00F10F30">
        <w:rPr>
          <w:rFonts w:ascii="Times New Roman" w:hAnsi="Times New Roman" w:cs="Times New Roman"/>
          <w:lang w:val="en-GB"/>
        </w:rPr>
        <w:t xml:space="preserve">dataset containing </w:t>
      </w:r>
      <w:r w:rsidR="007C7B3C" w:rsidRPr="00F10F30">
        <w:rPr>
          <w:rFonts w:ascii="Times New Roman" w:hAnsi="Times New Roman" w:cs="Times New Roman"/>
          <w:lang w:val="en-GB"/>
        </w:rPr>
        <w:t xml:space="preserve">data on </w:t>
      </w:r>
      <w:r w:rsidRPr="00F10F30">
        <w:rPr>
          <w:rFonts w:ascii="Times New Roman" w:hAnsi="Times New Roman" w:cs="Times New Roman"/>
          <w:lang w:val="en-GB"/>
        </w:rPr>
        <w:t>young people in the age of 17 to 25 years</w:t>
      </w:r>
      <w:r w:rsidR="007C7B3C" w:rsidRPr="00F10F30">
        <w:rPr>
          <w:rFonts w:ascii="Times New Roman" w:hAnsi="Times New Roman" w:cs="Times New Roman"/>
          <w:lang w:val="en-GB"/>
        </w:rPr>
        <w:t xml:space="preserve"> for every year in the period</w:t>
      </w:r>
      <w:r w:rsidRPr="00F10F30">
        <w:rPr>
          <w:rFonts w:ascii="Times New Roman" w:hAnsi="Times New Roman" w:cs="Times New Roman"/>
          <w:lang w:val="en-GB"/>
        </w:rPr>
        <w:t>. The selected group has been divided into four cohorts after what year they became 17</w:t>
      </w:r>
      <w:r w:rsidR="006E6245">
        <w:rPr>
          <w:rFonts w:ascii="Times New Roman" w:hAnsi="Times New Roman" w:cs="Times New Roman"/>
          <w:lang w:val="en-GB"/>
        </w:rPr>
        <w:t xml:space="preserve"> years old</w:t>
      </w:r>
      <w:r w:rsidRPr="00F10F30">
        <w:rPr>
          <w:rFonts w:ascii="Times New Roman" w:hAnsi="Times New Roman" w:cs="Times New Roman"/>
          <w:lang w:val="en-GB"/>
        </w:rPr>
        <w:t>. It contains also data on parents and the household where the young ones were living when they were 17. Their place of upbringing is defined as the place where they lived in the age of 17.  Fringe areas in Denmark are defined as municipalities with a decline or a somewhat smaller growth than average for the country 1990 to 2013.</w:t>
      </w:r>
    </w:p>
    <w:p w:rsidR="003B225E" w:rsidRPr="003B225E" w:rsidRDefault="003B225E" w:rsidP="003B225E">
      <w:pPr>
        <w:spacing w:after="0"/>
        <w:rPr>
          <w:rFonts w:ascii="Times New Roman" w:hAnsi="Times New Roman" w:cs="Times New Roman"/>
          <w:lang w:val="en-GB"/>
        </w:rPr>
      </w:pPr>
    </w:p>
    <w:p w:rsidR="00BA5833" w:rsidRDefault="00BA5833"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t>Fringe areas in Denmark</w:t>
      </w:r>
    </w:p>
    <w:p w:rsidR="006E6245" w:rsidRPr="00F10F30" w:rsidRDefault="006E6245" w:rsidP="00F10F30">
      <w:pPr>
        <w:spacing w:after="0"/>
        <w:rPr>
          <w:rFonts w:ascii="Times New Roman" w:hAnsi="Times New Roman" w:cs="Times New Roman"/>
          <w:b/>
          <w:sz w:val="24"/>
          <w:szCs w:val="24"/>
          <w:lang w:val="en-GB"/>
        </w:rPr>
      </w:pPr>
    </w:p>
    <w:p w:rsidR="004A2B37" w:rsidRDefault="004A2B37" w:rsidP="00F10F30">
      <w:pPr>
        <w:spacing w:after="0"/>
        <w:rPr>
          <w:rFonts w:ascii="Times New Roman" w:hAnsi="Times New Roman" w:cs="Times New Roman"/>
          <w:lang w:val="en-GB"/>
        </w:rPr>
      </w:pPr>
      <w:r w:rsidRPr="00F10F30">
        <w:rPr>
          <w:rFonts w:ascii="Times New Roman" w:hAnsi="Times New Roman" w:cs="Times New Roman"/>
          <w:lang w:val="en-GB"/>
        </w:rPr>
        <w:t>As in most othe</w:t>
      </w:r>
      <w:r w:rsidR="00C63750" w:rsidRPr="00F10F30">
        <w:rPr>
          <w:rFonts w:ascii="Times New Roman" w:hAnsi="Times New Roman" w:cs="Times New Roman"/>
          <w:lang w:val="en-GB"/>
        </w:rPr>
        <w:t>r countries economic growth and</w:t>
      </w:r>
      <w:r w:rsidRPr="00F10F30">
        <w:rPr>
          <w:rFonts w:ascii="Times New Roman" w:hAnsi="Times New Roman" w:cs="Times New Roman"/>
          <w:lang w:val="en-GB"/>
        </w:rPr>
        <w:t xml:space="preserve"> population increase in Denmark</w:t>
      </w:r>
      <w:r w:rsidR="006E6245">
        <w:rPr>
          <w:rFonts w:ascii="Times New Roman" w:hAnsi="Times New Roman" w:cs="Times New Roman"/>
          <w:lang w:val="en-GB"/>
        </w:rPr>
        <w:t xml:space="preserve"> in the last 20 years</w:t>
      </w:r>
      <w:r w:rsidRPr="00F10F30">
        <w:rPr>
          <w:rFonts w:ascii="Times New Roman" w:hAnsi="Times New Roman" w:cs="Times New Roman"/>
          <w:lang w:val="en-GB"/>
        </w:rPr>
        <w:t xml:space="preserve"> has taken place in the more urbanised parts of the country. The Copenhagen area is the largest urban conglomeration with about 1.3 mi</w:t>
      </w:r>
      <w:r w:rsidR="00C63750" w:rsidRPr="00F10F30">
        <w:rPr>
          <w:rFonts w:ascii="Times New Roman" w:hAnsi="Times New Roman" w:cs="Times New Roman"/>
          <w:lang w:val="en-GB"/>
        </w:rPr>
        <w:t>lli</w:t>
      </w:r>
      <w:r w:rsidRPr="00F10F30">
        <w:rPr>
          <w:rFonts w:ascii="Times New Roman" w:hAnsi="Times New Roman" w:cs="Times New Roman"/>
          <w:lang w:val="en-GB"/>
        </w:rPr>
        <w:t>o</w:t>
      </w:r>
      <w:r w:rsidR="00C63750" w:rsidRPr="00F10F30">
        <w:rPr>
          <w:rFonts w:ascii="Times New Roman" w:hAnsi="Times New Roman" w:cs="Times New Roman"/>
          <w:lang w:val="en-GB"/>
        </w:rPr>
        <w:t>n</w:t>
      </w:r>
      <w:r w:rsidRPr="00F10F30">
        <w:rPr>
          <w:rFonts w:ascii="Times New Roman" w:hAnsi="Times New Roman" w:cs="Times New Roman"/>
          <w:lang w:val="en-GB"/>
        </w:rPr>
        <w:t xml:space="preserve"> citizens. The next largest cities are Aarhus in eastern Jutland, Odense on Funen (the island in the middle), Aalborg in north Jutland and Esbjerg in the south-west. Moreover, a conglomeration of three cities south of Aarhus has been growing.</w:t>
      </w:r>
    </w:p>
    <w:p w:rsidR="00F10F30" w:rsidRPr="00F10F30" w:rsidRDefault="00F10F30" w:rsidP="00F10F30">
      <w:pPr>
        <w:spacing w:after="0"/>
        <w:rPr>
          <w:rFonts w:ascii="Times New Roman" w:hAnsi="Times New Roman" w:cs="Times New Roman"/>
          <w:lang w:val="en-GB"/>
        </w:rPr>
      </w:pPr>
    </w:p>
    <w:p w:rsidR="00857078" w:rsidRPr="00F10F30" w:rsidRDefault="00857078" w:rsidP="00E6506C">
      <w:pPr>
        <w:spacing w:after="0"/>
        <w:jc w:val="center"/>
        <w:rPr>
          <w:rFonts w:ascii="Times New Roman" w:hAnsi="Times New Roman" w:cs="Times New Roman"/>
          <w:b/>
          <w:lang w:val="en-GB"/>
        </w:rPr>
      </w:pPr>
      <w:r w:rsidRPr="00F10F30">
        <w:rPr>
          <w:rFonts w:ascii="Times New Roman" w:hAnsi="Times New Roman" w:cs="Times New Roman"/>
          <w:noProof/>
          <w:lang w:eastAsia="da-DK"/>
        </w:rPr>
        <w:drawing>
          <wp:inline distT="0" distB="0" distL="0" distR="0" wp14:anchorId="58E9297C" wp14:editId="03E95563">
            <wp:extent cx="4209803" cy="2968831"/>
            <wp:effectExtent l="0" t="0" r="635"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grupper.png"/>
                    <pic:cNvPicPr/>
                  </pic:nvPicPr>
                  <pic:blipFill>
                    <a:blip r:embed="rId8">
                      <a:extLst>
                        <a:ext uri="{28A0092B-C50C-407E-A947-70E740481C1C}">
                          <a14:useLocalDpi xmlns:a14="http://schemas.microsoft.com/office/drawing/2010/main" val="0"/>
                        </a:ext>
                      </a:extLst>
                    </a:blip>
                    <a:stretch>
                      <a:fillRect/>
                    </a:stretch>
                  </pic:blipFill>
                  <pic:spPr>
                    <a:xfrm>
                      <a:off x="0" y="0"/>
                      <a:ext cx="4213222" cy="2971242"/>
                    </a:xfrm>
                    <a:prstGeom prst="rect">
                      <a:avLst/>
                    </a:prstGeom>
                  </pic:spPr>
                </pic:pic>
              </a:graphicData>
            </a:graphic>
          </wp:inline>
        </w:drawing>
      </w:r>
    </w:p>
    <w:p w:rsidR="004A2B37" w:rsidRPr="00F10F30" w:rsidRDefault="004A2B37" w:rsidP="00E6506C">
      <w:pPr>
        <w:pStyle w:val="Billedtekst"/>
        <w:spacing w:after="0"/>
        <w:jc w:val="center"/>
        <w:rPr>
          <w:rFonts w:ascii="Times New Roman" w:hAnsi="Times New Roman" w:cs="Times New Roman"/>
          <w:color w:val="auto"/>
          <w:sz w:val="20"/>
          <w:szCs w:val="20"/>
          <w:lang w:val="en-GB"/>
        </w:rPr>
      </w:pPr>
      <w:bookmarkStart w:id="0" w:name="_Ref448742235"/>
      <w:proofErr w:type="gramStart"/>
      <w:r w:rsidRPr="00F10F30">
        <w:rPr>
          <w:rFonts w:ascii="Times New Roman" w:hAnsi="Times New Roman" w:cs="Times New Roman"/>
          <w:color w:val="auto"/>
          <w:sz w:val="20"/>
          <w:szCs w:val="20"/>
          <w:lang w:val="en-GB"/>
        </w:rPr>
        <w:t xml:space="preserve">Figure </w:t>
      </w:r>
      <w:r w:rsidRPr="00F10F30">
        <w:rPr>
          <w:rFonts w:ascii="Times New Roman" w:hAnsi="Times New Roman" w:cs="Times New Roman"/>
          <w:color w:val="auto"/>
          <w:sz w:val="20"/>
          <w:szCs w:val="20"/>
          <w:lang w:val="en-GB"/>
        </w:rPr>
        <w:fldChar w:fldCharType="begin"/>
      </w:r>
      <w:r w:rsidRPr="00F10F30">
        <w:rPr>
          <w:rFonts w:ascii="Times New Roman" w:hAnsi="Times New Roman" w:cs="Times New Roman"/>
          <w:color w:val="auto"/>
          <w:sz w:val="20"/>
          <w:szCs w:val="20"/>
          <w:lang w:val="en-GB"/>
        </w:rPr>
        <w:instrText xml:space="preserve"> SEQ Figure \* ARABIC </w:instrText>
      </w:r>
      <w:r w:rsidRPr="00F10F30">
        <w:rPr>
          <w:rFonts w:ascii="Times New Roman" w:hAnsi="Times New Roman" w:cs="Times New Roman"/>
          <w:color w:val="auto"/>
          <w:sz w:val="20"/>
          <w:szCs w:val="20"/>
          <w:lang w:val="en-GB"/>
        </w:rPr>
        <w:fldChar w:fldCharType="separate"/>
      </w:r>
      <w:r w:rsidR="00E64A56" w:rsidRPr="00F10F30">
        <w:rPr>
          <w:rFonts w:ascii="Times New Roman" w:hAnsi="Times New Roman" w:cs="Times New Roman"/>
          <w:noProof/>
          <w:color w:val="auto"/>
          <w:sz w:val="20"/>
          <w:szCs w:val="20"/>
          <w:lang w:val="en-GB"/>
        </w:rPr>
        <w:t>1</w:t>
      </w:r>
      <w:r w:rsidRPr="00F10F30">
        <w:rPr>
          <w:rFonts w:ascii="Times New Roman" w:hAnsi="Times New Roman" w:cs="Times New Roman"/>
          <w:color w:val="auto"/>
          <w:sz w:val="20"/>
          <w:szCs w:val="20"/>
          <w:lang w:val="en-GB"/>
        </w:rPr>
        <w:fldChar w:fldCharType="end"/>
      </w:r>
      <w:bookmarkEnd w:id="0"/>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Classification of municipalities in Denmark </w:t>
      </w:r>
      <w:r w:rsidR="00206D63" w:rsidRPr="00F10F30">
        <w:rPr>
          <w:rFonts w:ascii="Times New Roman" w:hAnsi="Times New Roman" w:cs="Times New Roman"/>
          <w:color w:val="auto"/>
          <w:sz w:val="20"/>
          <w:szCs w:val="20"/>
          <w:lang w:val="en-GB"/>
        </w:rPr>
        <w:t xml:space="preserve">in area types </w:t>
      </w:r>
      <w:r w:rsidRPr="00F10F30">
        <w:rPr>
          <w:rFonts w:ascii="Times New Roman" w:hAnsi="Times New Roman" w:cs="Times New Roman"/>
          <w:color w:val="auto"/>
          <w:sz w:val="20"/>
          <w:szCs w:val="20"/>
          <w:lang w:val="en-GB"/>
        </w:rPr>
        <w:t>after population growth 1990-2013.</w:t>
      </w:r>
    </w:p>
    <w:p w:rsidR="00F10F30" w:rsidRDefault="00F10F30" w:rsidP="00F10F30">
      <w:pPr>
        <w:spacing w:after="0"/>
        <w:rPr>
          <w:rFonts w:ascii="Times New Roman" w:hAnsi="Times New Roman" w:cs="Times New Roman"/>
          <w:lang w:val="en-GB"/>
        </w:rPr>
      </w:pPr>
    </w:p>
    <w:p w:rsidR="00206D63" w:rsidRPr="00F10F30" w:rsidRDefault="004A2B37" w:rsidP="00F10F30">
      <w:pPr>
        <w:spacing w:after="0"/>
        <w:rPr>
          <w:rFonts w:ascii="Times New Roman" w:hAnsi="Times New Roman" w:cs="Times New Roman"/>
          <w:lang w:val="en-GB"/>
        </w:rPr>
      </w:pPr>
      <w:r w:rsidRPr="00F10F30">
        <w:rPr>
          <w:rFonts w:ascii="Times New Roman" w:hAnsi="Times New Roman" w:cs="Times New Roman"/>
          <w:lang w:val="en-GB"/>
        </w:rPr>
        <w:t xml:space="preserve">In </w:t>
      </w:r>
      <w:r w:rsidRPr="00F10F30">
        <w:rPr>
          <w:rFonts w:ascii="Times New Roman" w:hAnsi="Times New Roman" w:cs="Times New Roman"/>
          <w:lang w:val="en-GB"/>
        </w:rPr>
        <w:fldChar w:fldCharType="begin"/>
      </w:r>
      <w:r w:rsidRPr="00F10F30">
        <w:rPr>
          <w:rFonts w:ascii="Times New Roman" w:hAnsi="Times New Roman" w:cs="Times New Roman"/>
          <w:lang w:val="en-GB"/>
        </w:rPr>
        <w:instrText xml:space="preserve"> REF _Ref448742235 \h </w:instrText>
      </w:r>
      <w:r w:rsidR="00383E7E" w:rsidRPr="00F10F30">
        <w:rPr>
          <w:rFonts w:ascii="Times New Roman" w:hAnsi="Times New Roman" w:cs="Times New Roman"/>
          <w:lang w:val="en-GB"/>
        </w:rPr>
        <w:instrText xml:space="preserve"> \* MERGEFORMAT </w:instrText>
      </w:r>
      <w:r w:rsidRPr="00F10F30">
        <w:rPr>
          <w:rFonts w:ascii="Times New Roman" w:hAnsi="Times New Roman" w:cs="Times New Roman"/>
          <w:lang w:val="en-GB"/>
        </w:rPr>
      </w:r>
      <w:r w:rsidRPr="00F10F30">
        <w:rPr>
          <w:rFonts w:ascii="Times New Roman" w:hAnsi="Times New Roman" w:cs="Times New Roman"/>
          <w:lang w:val="en-GB"/>
        </w:rPr>
        <w:fldChar w:fldCharType="separate"/>
      </w:r>
      <w:r w:rsidRPr="00F10F30">
        <w:rPr>
          <w:rFonts w:ascii="Times New Roman" w:hAnsi="Times New Roman" w:cs="Times New Roman"/>
          <w:lang w:val="en-GB"/>
        </w:rPr>
        <w:t xml:space="preserve">Figure </w:t>
      </w:r>
      <w:r w:rsidRPr="00F10F30">
        <w:rPr>
          <w:rFonts w:ascii="Times New Roman" w:hAnsi="Times New Roman" w:cs="Times New Roman"/>
          <w:noProof/>
          <w:lang w:val="en-GB"/>
        </w:rPr>
        <w:t>1</w:t>
      </w:r>
      <w:r w:rsidRPr="00F10F30">
        <w:rPr>
          <w:rFonts w:ascii="Times New Roman" w:hAnsi="Times New Roman" w:cs="Times New Roman"/>
          <w:lang w:val="en-GB"/>
        </w:rPr>
        <w:fldChar w:fldCharType="end"/>
      </w:r>
      <w:r w:rsidRPr="00F10F30">
        <w:rPr>
          <w:rFonts w:ascii="Times New Roman" w:hAnsi="Times New Roman" w:cs="Times New Roman"/>
          <w:lang w:val="en-GB"/>
        </w:rPr>
        <w:t xml:space="preserve"> is shown the classification of municipalities after population growth since 1990 used in the paper. The dark blue area is greater Copenhagen. The light blue areas are growth areas outside the capital. The orange municipalities are the fringe areas that have been most declining apart from the islands, which are red in the map. The light yellow municipalities are </w:t>
      </w:r>
      <w:r w:rsidR="00C63750" w:rsidRPr="00F10F30">
        <w:rPr>
          <w:rFonts w:ascii="Times New Roman" w:hAnsi="Times New Roman" w:cs="Times New Roman"/>
          <w:lang w:val="en-GB"/>
        </w:rPr>
        <w:t xml:space="preserve">medium areas with </w:t>
      </w:r>
      <w:r w:rsidRPr="00F10F30">
        <w:rPr>
          <w:rFonts w:ascii="Times New Roman" w:hAnsi="Times New Roman" w:cs="Times New Roman"/>
          <w:lang w:val="en-GB"/>
        </w:rPr>
        <w:t>neither growth nor decline.</w:t>
      </w:r>
      <w:r w:rsidR="00206D63" w:rsidRPr="00F10F30">
        <w:rPr>
          <w:rFonts w:ascii="Times New Roman" w:hAnsi="Times New Roman" w:cs="Times New Roman"/>
          <w:lang w:val="en-GB"/>
        </w:rPr>
        <w:t xml:space="preserve"> In </w:t>
      </w:r>
      <w:r w:rsidR="00206D63" w:rsidRPr="00F10F30">
        <w:rPr>
          <w:rFonts w:ascii="Times New Roman" w:hAnsi="Times New Roman" w:cs="Times New Roman"/>
          <w:lang w:val="en-GB"/>
        </w:rPr>
        <w:fldChar w:fldCharType="begin"/>
      </w:r>
      <w:r w:rsidR="00206D63" w:rsidRPr="00F10F30">
        <w:rPr>
          <w:rFonts w:ascii="Times New Roman" w:hAnsi="Times New Roman" w:cs="Times New Roman"/>
          <w:lang w:val="en-GB"/>
        </w:rPr>
        <w:instrText xml:space="preserve"> REF _Ref448744168 \h </w:instrText>
      </w:r>
      <w:r w:rsidR="00383E7E" w:rsidRPr="00F10F30">
        <w:rPr>
          <w:rFonts w:ascii="Times New Roman" w:hAnsi="Times New Roman" w:cs="Times New Roman"/>
          <w:lang w:val="en-GB"/>
        </w:rPr>
        <w:instrText xml:space="preserve"> \* MERGEFORMAT </w:instrText>
      </w:r>
      <w:r w:rsidR="00206D63" w:rsidRPr="00F10F30">
        <w:rPr>
          <w:rFonts w:ascii="Times New Roman" w:hAnsi="Times New Roman" w:cs="Times New Roman"/>
          <w:lang w:val="en-GB"/>
        </w:rPr>
      </w:r>
      <w:r w:rsidR="00206D63" w:rsidRPr="00F10F30">
        <w:rPr>
          <w:rFonts w:ascii="Times New Roman" w:hAnsi="Times New Roman" w:cs="Times New Roman"/>
          <w:lang w:val="en-GB"/>
        </w:rPr>
        <w:fldChar w:fldCharType="separate"/>
      </w:r>
      <w:r w:rsidR="00206D63" w:rsidRPr="00F10F30">
        <w:rPr>
          <w:rFonts w:ascii="Times New Roman" w:hAnsi="Times New Roman" w:cs="Times New Roman"/>
          <w:lang w:val="en-GB"/>
        </w:rPr>
        <w:t xml:space="preserve">Figure </w:t>
      </w:r>
      <w:r w:rsidR="00206D63" w:rsidRPr="00F10F30">
        <w:rPr>
          <w:rFonts w:ascii="Times New Roman" w:hAnsi="Times New Roman" w:cs="Times New Roman"/>
          <w:noProof/>
          <w:lang w:val="en-GB"/>
        </w:rPr>
        <w:t>2</w:t>
      </w:r>
      <w:r w:rsidR="00206D63" w:rsidRPr="00F10F30">
        <w:rPr>
          <w:rFonts w:ascii="Times New Roman" w:hAnsi="Times New Roman" w:cs="Times New Roman"/>
          <w:lang w:val="en-GB"/>
        </w:rPr>
        <w:fldChar w:fldCharType="end"/>
      </w:r>
      <w:r w:rsidR="00206D63" w:rsidRPr="00F10F30">
        <w:rPr>
          <w:rFonts w:ascii="Times New Roman" w:hAnsi="Times New Roman" w:cs="Times New Roman"/>
          <w:lang w:val="en-GB"/>
        </w:rPr>
        <w:t xml:space="preserve"> is shown the growth in population 1990-2013 in the five area types and how it differs from the average growth in the country.</w:t>
      </w:r>
    </w:p>
    <w:p w:rsidR="00206D63" w:rsidRPr="00F10F30" w:rsidRDefault="00206D63" w:rsidP="00E6506C">
      <w:pPr>
        <w:spacing w:after="0"/>
        <w:jc w:val="center"/>
        <w:rPr>
          <w:rFonts w:ascii="Times New Roman" w:hAnsi="Times New Roman" w:cs="Times New Roman"/>
          <w:lang w:val="en-GB"/>
        </w:rPr>
      </w:pPr>
      <w:r w:rsidRPr="00F10F30">
        <w:rPr>
          <w:rFonts w:ascii="Times New Roman" w:hAnsi="Times New Roman" w:cs="Times New Roman"/>
          <w:noProof/>
          <w:lang w:eastAsia="da-DK"/>
        </w:rPr>
        <w:lastRenderedPageBreak/>
        <w:drawing>
          <wp:inline distT="0" distB="0" distL="0" distR="0" wp14:anchorId="297D7A8D" wp14:editId="4DD346EB">
            <wp:extent cx="4572000" cy="2801721"/>
            <wp:effectExtent l="0" t="0" r="19050" b="1778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6D63" w:rsidRPr="00F10F30" w:rsidRDefault="00206D63" w:rsidP="00E6506C">
      <w:pPr>
        <w:pStyle w:val="Billedtekst"/>
        <w:spacing w:after="0"/>
        <w:jc w:val="center"/>
        <w:rPr>
          <w:rFonts w:ascii="Times New Roman" w:hAnsi="Times New Roman" w:cs="Times New Roman"/>
          <w:color w:val="auto"/>
          <w:sz w:val="20"/>
          <w:szCs w:val="20"/>
          <w:lang w:val="en-GB"/>
        </w:rPr>
      </w:pPr>
      <w:bookmarkStart w:id="1" w:name="_Ref448744168"/>
      <w:proofErr w:type="gramStart"/>
      <w:r w:rsidRPr="00F10F30">
        <w:rPr>
          <w:rFonts w:ascii="Times New Roman" w:hAnsi="Times New Roman" w:cs="Times New Roman"/>
          <w:color w:val="auto"/>
          <w:sz w:val="20"/>
          <w:szCs w:val="20"/>
          <w:lang w:val="en-GB"/>
        </w:rPr>
        <w:t xml:space="preserve">Figure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Figure \* ARABIC </w:instrText>
      </w:r>
      <w:r w:rsidRPr="00F10F30">
        <w:rPr>
          <w:rFonts w:ascii="Times New Roman" w:hAnsi="Times New Roman" w:cs="Times New Roman"/>
          <w:color w:val="auto"/>
          <w:sz w:val="20"/>
          <w:szCs w:val="20"/>
        </w:rPr>
        <w:fldChar w:fldCharType="separate"/>
      </w:r>
      <w:r w:rsidR="00E64A56" w:rsidRPr="00F10F30">
        <w:rPr>
          <w:rFonts w:ascii="Times New Roman" w:hAnsi="Times New Roman" w:cs="Times New Roman"/>
          <w:noProof/>
          <w:color w:val="auto"/>
          <w:sz w:val="20"/>
          <w:szCs w:val="20"/>
          <w:lang w:val="en-GB"/>
        </w:rPr>
        <w:t>2</w:t>
      </w:r>
      <w:r w:rsidRPr="00F10F30">
        <w:rPr>
          <w:rFonts w:ascii="Times New Roman" w:hAnsi="Times New Roman" w:cs="Times New Roman"/>
          <w:color w:val="auto"/>
          <w:sz w:val="20"/>
          <w:szCs w:val="20"/>
        </w:rPr>
        <w:fldChar w:fldCharType="end"/>
      </w:r>
      <w:bookmarkEnd w:id="1"/>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w:t>
      </w:r>
      <w:proofErr w:type="gramStart"/>
      <w:r w:rsidRPr="00F10F30">
        <w:rPr>
          <w:rFonts w:ascii="Times New Roman" w:hAnsi="Times New Roman" w:cs="Times New Roman"/>
          <w:color w:val="auto"/>
          <w:sz w:val="20"/>
          <w:szCs w:val="20"/>
          <w:lang w:val="en-GB"/>
        </w:rPr>
        <w:t>Population growth 1990-2013 in ar</w:t>
      </w:r>
      <w:r w:rsidR="006F45B7" w:rsidRPr="00F10F30">
        <w:rPr>
          <w:rFonts w:ascii="Times New Roman" w:hAnsi="Times New Roman" w:cs="Times New Roman"/>
          <w:color w:val="auto"/>
          <w:sz w:val="20"/>
          <w:szCs w:val="20"/>
          <w:lang w:val="en-GB"/>
        </w:rPr>
        <w:t>ea types and deviation from the</w:t>
      </w:r>
      <w:r w:rsidRPr="00F10F30">
        <w:rPr>
          <w:rFonts w:ascii="Times New Roman" w:hAnsi="Times New Roman" w:cs="Times New Roman"/>
          <w:color w:val="auto"/>
          <w:sz w:val="20"/>
          <w:szCs w:val="20"/>
          <w:lang w:val="en-GB"/>
        </w:rPr>
        <w:t xml:space="preserve"> development in the whole country.</w:t>
      </w:r>
      <w:proofErr w:type="gramEnd"/>
    </w:p>
    <w:p w:rsidR="00F10F30" w:rsidRDefault="00F10F30" w:rsidP="00F10F30">
      <w:pPr>
        <w:spacing w:after="0"/>
        <w:rPr>
          <w:rFonts w:ascii="Times New Roman" w:hAnsi="Times New Roman" w:cs="Times New Roman"/>
          <w:lang w:val="en-GB"/>
        </w:rPr>
      </w:pPr>
    </w:p>
    <w:p w:rsidR="00F271A1" w:rsidRDefault="00F271A1" w:rsidP="00F10F30">
      <w:pPr>
        <w:spacing w:after="0"/>
        <w:rPr>
          <w:rFonts w:ascii="Times New Roman" w:hAnsi="Times New Roman" w:cs="Times New Roman"/>
          <w:lang w:val="en-GB"/>
        </w:rPr>
      </w:pPr>
      <w:r w:rsidRPr="00F10F30">
        <w:rPr>
          <w:rFonts w:ascii="Times New Roman" w:hAnsi="Times New Roman" w:cs="Times New Roman"/>
          <w:lang w:val="en-GB"/>
        </w:rPr>
        <w:t xml:space="preserve">The population decline in the fringe areas has, however, been very unevenly distributed over age groups as can be seen from </w:t>
      </w:r>
      <w:r w:rsidRPr="00F10F30">
        <w:rPr>
          <w:rFonts w:ascii="Times New Roman" w:hAnsi="Times New Roman" w:cs="Times New Roman"/>
          <w:lang w:val="en-GB"/>
        </w:rPr>
        <w:fldChar w:fldCharType="begin"/>
      </w:r>
      <w:r w:rsidRPr="00F10F30">
        <w:rPr>
          <w:rFonts w:ascii="Times New Roman" w:hAnsi="Times New Roman" w:cs="Times New Roman"/>
          <w:lang w:val="en-GB"/>
        </w:rPr>
        <w:instrText xml:space="preserve"> REF _Ref448745485 \h </w:instrText>
      </w:r>
      <w:r w:rsidR="00383E7E" w:rsidRPr="00F10F30">
        <w:rPr>
          <w:rFonts w:ascii="Times New Roman" w:hAnsi="Times New Roman" w:cs="Times New Roman"/>
          <w:lang w:val="en-GB"/>
        </w:rPr>
        <w:instrText xml:space="preserve"> \* MERGEFORMAT </w:instrText>
      </w:r>
      <w:r w:rsidRPr="00F10F30">
        <w:rPr>
          <w:rFonts w:ascii="Times New Roman" w:hAnsi="Times New Roman" w:cs="Times New Roman"/>
          <w:lang w:val="en-GB"/>
        </w:rPr>
      </w:r>
      <w:r w:rsidRPr="00F10F30">
        <w:rPr>
          <w:rFonts w:ascii="Times New Roman" w:hAnsi="Times New Roman" w:cs="Times New Roman"/>
          <w:lang w:val="en-GB"/>
        </w:rPr>
        <w:fldChar w:fldCharType="separate"/>
      </w:r>
      <w:r w:rsidRPr="00F10F30">
        <w:rPr>
          <w:rFonts w:ascii="Times New Roman" w:hAnsi="Times New Roman" w:cs="Times New Roman"/>
          <w:lang w:val="en-GB"/>
        </w:rPr>
        <w:t xml:space="preserve">Figure </w:t>
      </w:r>
      <w:r w:rsidRPr="00F10F30">
        <w:rPr>
          <w:rFonts w:ascii="Times New Roman" w:hAnsi="Times New Roman" w:cs="Times New Roman"/>
          <w:noProof/>
          <w:lang w:val="en-GB"/>
        </w:rPr>
        <w:t>3</w:t>
      </w:r>
      <w:r w:rsidRPr="00F10F30">
        <w:rPr>
          <w:rFonts w:ascii="Times New Roman" w:hAnsi="Times New Roman" w:cs="Times New Roman"/>
          <w:lang w:val="en-GB"/>
        </w:rPr>
        <w:fldChar w:fldCharType="end"/>
      </w:r>
      <w:r w:rsidRPr="00F10F30">
        <w:rPr>
          <w:rFonts w:ascii="Times New Roman" w:hAnsi="Times New Roman" w:cs="Times New Roman"/>
          <w:lang w:val="en-GB"/>
        </w:rPr>
        <w:t>.</w:t>
      </w:r>
    </w:p>
    <w:p w:rsidR="00F10F30" w:rsidRPr="00F10F30" w:rsidRDefault="00F10F30" w:rsidP="00F10F30">
      <w:pPr>
        <w:spacing w:after="0"/>
        <w:rPr>
          <w:rFonts w:ascii="Times New Roman" w:hAnsi="Times New Roman" w:cs="Times New Roman"/>
          <w:lang w:val="en-GB"/>
        </w:rPr>
      </w:pPr>
    </w:p>
    <w:p w:rsidR="00F271A1" w:rsidRPr="00F10F30" w:rsidRDefault="00F271A1" w:rsidP="00E6506C">
      <w:pPr>
        <w:spacing w:after="0"/>
        <w:jc w:val="center"/>
        <w:rPr>
          <w:rFonts w:ascii="Times New Roman" w:hAnsi="Times New Roman" w:cs="Times New Roman"/>
          <w:lang w:val="en-GB"/>
        </w:rPr>
      </w:pPr>
      <w:r w:rsidRPr="00F10F30">
        <w:rPr>
          <w:rFonts w:ascii="Times New Roman" w:hAnsi="Times New Roman" w:cs="Times New Roman"/>
          <w:noProof/>
          <w:lang w:eastAsia="da-DK"/>
        </w:rPr>
        <w:drawing>
          <wp:inline distT="0" distB="0" distL="0" distR="0" wp14:anchorId="3D547B17" wp14:editId="6D02F366">
            <wp:extent cx="4572000" cy="3075709"/>
            <wp:effectExtent l="0" t="0" r="19050" b="1079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71A1" w:rsidRPr="00F10F30" w:rsidRDefault="00F271A1" w:rsidP="00E6506C">
      <w:pPr>
        <w:pStyle w:val="Billedtekst"/>
        <w:spacing w:after="0"/>
        <w:jc w:val="center"/>
        <w:rPr>
          <w:rFonts w:ascii="Times New Roman" w:hAnsi="Times New Roman" w:cs="Times New Roman"/>
          <w:color w:val="auto"/>
          <w:sz w:val="20"/>
          <w:szCs w:val="20"/>
          <w:lang w:val="en-GB"/>
        </w:rPr>
      </w:pPr>
      <w:bookmarkStart w:id="2" w:name="_Ref448745485"/>
      <w:proofErr w:type="gramStart"/>
      <w:r w:rsidRPr="00F10F30">
        <w:rPr>
          <w:rFonts w:ascii="Times New Roman" w:hAnsi="Times New Roman" w:cs="Times New Roman"/>
          <w:color w:val="auto"/>
          <w:sz w:val="20"/>
          <w:szCs w:val="20"/>
          <w:lang w:val="en-GB"/>
        </w:rPr>
        <w:t xml:space="preserve">Figure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Figure \* ARABIC </w:instrText>
      </w:r>
      <w:r w:rsidRPr="00F10F30">
        <w:rPr>
          <w:rFonts w:ascii="Times New Roman" w:hAnsi="Times New Roman" w:cs="Times New Roman"/>
          <w:color w:val="auto"/>
          <w:sz w:val="20"/>
          <w:szCs w:val="20"/>
        </w:rPr>
        <w:fldChar w:fldCharType="separate"/>
      </w:r>
      <w:r w:rsidR="00E64A56" w:rsidRPr="00F10F30">
        <w:rPr>
          <w:rFonts w:ascii="Times New Roman" w:hAnsi="Times New Roman" w:cs="Times New Roman"/>
          <w:noProof/>
          <w:color w:val="auto"/>
          <w:sz w:val="20"/>
          <w:szCs w:val="20"/>
          <w:lang w:val="en-GB"/>
        </w:rPr>
        <w:t>3</w:t>
      </w:r>
      <w:r w:rsidRPr="00F10F30">
        <w:rPr>
          <w:rFonts w:ascii="Times New Roman" w:hAnsi="Times New Roman" w:cs="Times New Roman"/>
          <w:color w:val="auto"/>
          <w:sz w:val="20"/>
          <w:szCs w:val="20"/>
        </w:rPr>
        <w:fldChar w:fldCharType="end"/>
      </w:r>
      <w:bookmarkEnd w:id="2"/>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Growth in age groups in area types 1990-2013.</w:t>
      </w:r>
    </w:p>
    <w:p w:rsidR="00F10F30" w:rsidRPr="00F10F30" w:rsidRDefault="00F10F30" w:rsidP="00F10F30">
      <w:pPr>
        <w:spacing w:after="0"/>
        <w:rPr>
          <w:lang w:val="en-GB"/>
        </w:rPr>
      </w:pPr>
    </w:p>
    <w:p w:rsidR="00F271A1" w:rsidRPr="00F10F30" w:rsidRDefault="00F271A1" w:rsidP="00F10F30">
      <w:pPr>
        <w:spacing w:after="0"/>
        <w:rPr>
          <w:rFonts w:ascii="Times New Roman" w:hAnsi="Times New Roman" w:cs="Times New Roman"/>
          <w:lang w:val="en-GB"/>
        </w:rPr>
      </w:pPr>
      <w:r w:rsidRPr="00F10F30">
        <w:rPr>
          <w:rFonts w:ascii="Times New Roman" w:hAnsi="Times New Roman" w:cs="Times New Roman"/>
          <w:lang w:val="en-GB"/>
        </w:rPr>
        <w:t xml:space="preserve">In general there has been a decline in Denmark in the number of people in the age 16-30 years and an increase in people more than 45 years old. This decline in the number of young people has, however, mostly hit fringe areas and to some degree the medium areas, while the growth areas have nearby kept their young population. On the other hand all area types have had a growth in the older population. This development has resulted in a marked change in the population structure in the fringe areas with a much larger proportion of older people, many on pension, and a much smaller proportion of younger people and wage earners. These </w:t>
      </w:r>
      <w:r w:rsidRPr="00F10F30">
        <w:rPr>
          <w:rFonts w:ascii="Times New Roman" w:hAnsi="Times New Roman" w:cs="Times New Roman"/>
          <w:lang w:val="en-GB"/>
        </w:rPr>
        <w:lastRenderedPageBreak/>
        <w:t>municipaliti</w:t>
      </w:r>
      <w:r w:rsidR="006F45B7" w:rsidRPr="00F10F30">
        <w:rPr>
          <w:rFonts w:ascii="Times New Roman" w:hAnsi="Times New Roman" w:cs="Times New Roman"/>
          <w:lang w:val="en-GB"/>
        </w:rPr>
        <w:t>es have</w:t>
      </w:r>
      <w:r w:rsidRPr="00F10F30">
        <w:rPr>
          <w:rFonts w:ascii="Times New Roman" w:hAnsi="Times New Roman" w:cs="Times New Roman"/>
          <w:lang w:val="en-GB"/>
        </w:rPr>
        <w:t xml:space="preserve"> </w:t>
      </w:r>
      <w:r w:rsidR="006F45B7" w:rsidRPr="00F10F30">
        <w:rPr>
          <w:rFonts w:ascii="Times New Roman" w:hAnsi="Times New Roman" w:cs="Times New Roman"/>
          <w:lang w:val="en-GB"/>
        </w:rPr>
        <w:t>come into a situation where they have big troubles in collecting taxes. It has been difficult to sell vacant houses and house prices have declined much.</w:t>
      </w:r>
    </w:p>
    <w:p w:rsidR="00F10F30" w:rsidRDefault="00F10F30" w:rsidP="00F10F30">
      <w:pPr>
        <w:spacing w:after="0"/>
        <w:rPr>
          <w:rFonts w:ascii="Times New Roman" w:hAnsi="Times New Roman" w:cs="Times New Roman"/>
          <w:b/>
          <w:lang w:val="en-GB"/>
        </w:rPr>
      </w:pPr>
    </w:p>
    <w:p w:rsidR="00BA5833" w:rsidRPr="00F10F30" w:rsidRDefault="00BA5833" w:rsidP="00F10F30">
      <w:pPr>
        <w:spacing w:after="0"/>
        <w:rPr>
          <w:rFonts w:ascii="Times New Roman" w:hAnsi="Times New Roman" w:cs="Times New Roman"/>
          <w:b/>
          <w:color w:val="000000"/>
          <w:sz w:val="24"/>
          <w:szCs w:val="24"/>
          <w:lang w:val="en-GB"/>
        </w:rPr>
      </w:pPr>
      <w:r w:rsidRPr="00F10F30">
        <w:rPr>
          <w:rFonts w:ascii="Times New Roman" w:hAnsi="Times New Roman" w:cs="Times New Roman"/>
          <w:b/>
          <w:sz w:val="24"/>
          <w:szCs w:val="24"/>
          <w:lang w:val="en-GB"/>
        </w:rPr>
        <w:t xml:space="preserve">The development in the location of education </w:t>
      </w:r>
      <w:r w:rsidRPr="00F10F30">
        <w:rPr>
          <w:rFonts w:ascii="Times New Roman" w:hAnsi="Times New Roman" w:cs="Times New Roman"/>
          <w:b/>
          <w:color w:val="000000"/>
          <w:sz w:val="24"/>
          <w:szCs w:val="24"/>
          <w:lang w:val="en-GB"/>
        </w:rPr>
        <w:t>providing a formal qualification</w:t>
      </w:r>
    </w:p>
    <w:p w:rsidR="00F10F30" w:rsidRDefault="00F10F30" w:rsidP="00F10F30">
      <w:pPr>
        <w:spacing w:after="0"/>
        <w:rPr>
          <w:rFonts w:ascii="Times New Roman" w:hAnsi="Times New Roman" w:cs="Times New Roman"/>
          <w:color w:val="000000"/>
          <w:lang w:val="en-GB"/>
        </w:rPr>
      </w:pPr>
    </w:p>
    <w:p w:rsidR="006F45B7" w:rsidRDefault="006F45B7" w:rsidP="00F10F30">
      <w:pPr>
        <w:spacing w:after="0"/>
        <w:rPr>
          <w:rFonts w:ascii="Times New Roman" w:hAnsi="Times New Roman" w:cs="Times New Roman"/>
          <w:color w:val="000000"/>
          <w:lang w:val="en-GB"/>
        </w:rPr>
      </w:pPr>
      <w:r w:rsidRPr="00F10F30">
        <w:rPr>
          <w:rFonts w:ascii="Times New Roman" w:hAnsi="Times New Roman" w:cs="Times New Roman"/>
          <w:color w:val="000000"/>
          <w:lang w:val="en-GB"/>
        </w:rPr>
        <w:t xml:space="preserve">Educations providing formal qualifications in Denmark have been divided into </w:t>
      </w:r>
      <w:r w:rsidR="006E6245">
        <w:rPr>
          <w:rFonts w:ascii="Times New Roman" w:hAnsi="Times New Roman" w:cs="Times New Roman"/>
          <w:color w:val="000000"/>
          <w:lang w:val="en-GB"/>
        </w:rPr>
        <w:t>three</w:t>
      </w:r>
      <w:r w:rsidRPr="00F10F30">
        <w:rPr>
          <w:rFonts w:ascii="Times New Roman" w:hAnsi="Times New Roman" w:cs="Times New Roman"/>
          <w:color w:val="000000"/>
          <w:lang w:val="en-GB"/>
        </w:rPr>
        <w:t xml:space="preserve"> groups. In </w:t>
      </w:r>
      <w:r w:rsidRPr="00F10F30">
        <w:rPr>
          <w:rFonts w:ascii="Times New Roman" w:hAnsi="Times New Roman" w:cs="Times New Roman"/>
          <w:color w:val="000000"/>
          <w:lang w:val="en-GB"/>
        </w:rPr>
        <w:fldChar w:fldCharType="begin"/>
      </w:r>
      <w:r w:rsidRPr="00F10F30">
        <w:rPr>
          <w:rFonts w:ascii="Times New Roman" w:hAnsi="Times New Roman" w:cs="Times New Roman"/>
          <w:color w:val="000000"/>
          <w:lang w:val="en-GB"/>
        </w:rPr>
        <w:instrText xml:space="preserve"> REF _Ref448747042 \h </w:instrText>
      </w:r>
      <w:r w:rsidR="00383E7E" w:rsidRPr="00F10F30">
        <w:rPr>
          <w:rFonts w:ascii="Times New Roman" w:hAnsi="Times New Roman" w:cs="Times New Roman"/>
          <w:color w:val="000000"/>
          <w:lang w:val="en-GB"/>
        </w:rPr>
        <w:instrText xml:space="preserve"> \* MERGEFORMAT </w:instrText>
      </w:r>
      <w:r w:rsidRPr="00F10F30">
        <w:rPr>
          <w:rFonts w:ascii="Times New Roman" w:hAnsi="Times New Roman" w:cs="Times New Roman"/>
          <w:color w:val="000000"/>
          <w:lang w:val="en-GB"/>
        </w:rPr>
      </w:r>
      <w:r w:rsidRPr="00F10F30">
        <w:rPr>
          <w:rFonts w:ascii="Times New Roman" w:hAnsi="Times New Roman" w:cs="Times New Roman"/>
          <w:color w:val="000000"/>
          <w:lang w:val="en-GB"/>
        </w:rPr>
        <w:fldChar w:fldCharType="separate"/>
      </w:r>
      <w:r w:rsidRPr="00F10F30">
        <w:rPr>
          <w:rFonts w:ascii="Times New Roman" w:hAnsi="Times New Roman" w:cs="Times New Roman"/>
          <w:lang w:val="en-GB"/>
        </w:rPr>
        <w:t xml:space="preserve">Table </w:t>
      </w:r>
      <w:r w:rsidRPr="00F10F30">
        <w:rPr>
          <w:rFonts w:ascii="Times New Roman" w:hAnsi="Times New Roman" w:cs="Times New Roman"/>
          <w:noProof/>
          <w:lang w:val="en-GB"/>
        </w:rPr>
        <w:t>1</w:t>
      </w:r>
      <w:r w:rsidRPr="00F10F30">
        <w:rPr>
          <w:rFonts w:ascii="Times New Roman" w:hAnsi="Times New Roman" w:cs="Times New Roman"/>
          <w:color w:val="000000"/>
          <w:lang w:val="en-GB"/>
        </w:rPr>
        <w:fldChar w:fldCharType="end"/>
      </w:r>
      <w:r w:rsidRPr="00F10F30">
        <w:rPr>
          <w:rFonts w:ascii="Times New Roman" w:hAnsi="Times New Roman" w:cs="Times New Roman"/>
          <w:color w:val="000000"/>
          <w:lang w:val="en-GB"/>
        </w:rPr>
        <w:t xml:space="preserve"> is shown the number of students in these groups in 1990 and 2012.</w:t>
      </w:r>
    </w:p>
    <w:p w:rsidR="00F10F30" w:rsidRPr="00F10F30" w:rsidRDefault="00F10F30" w:rsidP="00F10F30">
      <w:pPr>
        <w:spacing w:after="0"/>
        <w:rPr>
          <w:rFonts w:ascii="Times New Roman" w:hAnsi="Times New Roman" w:cs="Times New Roman"/>
          <w:color w:val="000000"/>
          <w:lang w:val="en-GB"/>
        </w:rPr>
      </w:pPr>
    </w:p>
    <w:p w:rsidR="006F45B7" w:rsidRPr="00F10F30" w:rsidRDefault="006F45B7" w:rsidP="00E6506C">
      <w:pPr>
        <w:pStyle w:val="Billedtekst"/>
        <w:spacing w:after="0"/>
        <w:jc w:val="center"/>
        <w:rPr>
          <w:rFonts w:ascii="Times New Roman" w:hAnsi="Times New Roman" w:cs="Times New Roman"/>
          <w:color w:val="auto"/>
          <w:sz w:val="20"/>
          <w:szCs w:val="20"/>
          <w:lang w:val="en-GB"/>
        </w:rPr>
      </w:pPr>
      <w:bookmarkStart w:id="3" w:name="_Ref448747042"/>
      <w:proofErr w:type="gramStart"/>
      <w:r w:rsidRPr="00F10F30">
        <w:rPr>
          <w:rFonts w:ascii="Times New Roman" w:hAnsi="Times New Roman" w:cs="Times New Roman"/>
          <w:color w:val="auto"/>
          <w:sz w:val="20"/>
          <w:szCs w:val="20"/>
          <w:lang w:val="en-GB"/>
        </w:rPr>
        <w:t xml:space="preserve">Table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Table \* ARABIC </w:instrText>
      </w:r>
      <w:r w:rsidRPr="00F10F30">
        <w:rPr>
          <w:rFonts w:ascii="Times New Roman" w:hAnsi="Times New Roman" w:cs="Times New Roman"/>
          <w:color w:val="auto"/>
          <w:sz w:val="20"/>
          <w:szCs w:val="20"/>
        </w:rPr>
        <w:fldChar w:fldCharType="separate"/>
      </w:r>
      <w:r w:rsidR="007C7B3C" w:rsidRPr="00F10F30">
        <w:rPr>
          <w:rFonts w:ascii="Times New Roman" w:hAnsi="Times New Roman" w:cs="Times New Roman"/>
          <w:noProof/>
          <w:color w:val="auto"/>
          <w:sz w:val="20"/>
          <w:szCs w:val="20"/>
          <w:lang w:val="en-GB"/>
        </w:rPr>
        <w:t>1</w:t>
      </w:r>
      <w:r w:rsidRPr="00F10F30">
        <w:rPr>
          <w:rFonts w:ascii="Times New Roman" w:hAnsi="Times New Roman" w:cs="Times New Roman"/>
          <w:color w:val="auto"/>
          <w:sz w:val="20"/>
          <w:szCs w:val="20"/>
        </w:rPr>
        <w:fldChar w:fldCharType="end"/>
      </w:r>
      <w:bookmarkEnd w:id="3"/>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Number of students in </w:t>
      </w:r>
      <w:r w:rsidR="00C869EC" w:rsidRPr="00F10F30">
        <w:rPr>
          <w:rFonts w:ascii="Times New Roman" w:hAnsi="Times New Roman" w:cs="Times New Roman"/>
          <w:color w:val="auto"/>
          <w:sz w:val="20"/>
          <w:szCs w:val="20"/>
          <w:lang w:val="en-GB"/>
        </w:rPr>
        <w:t xml:space="preserve">institutions in different </w:t>
      </w:r>
      <w:r w:rsidRPr="00F10F30">
        <w:rPr>
          <w:rFonts w:ascii="Times New Roman" w:hAnsi="Times New Roman" w:cs="Times New Roman"/>
          <w:color w:val="auto"/>
          <w:sz w:val="20"/>
          <w:szCs w:val="20"/>
          <w:lang w:val="en-GB"/>
        </w:rPr>
        <w:t>educational groups in 1990 and 2012</w:t>
      </w:r>
    </w:p>
    <w:tbl>
      <w:tblPr>
        <w:tblW w:w="5940" w:type="dxa"/>
        <w:jc w:val="center"/>
        <w:tblInd w:w="55" w:type="dxa"/>
        <w:tblCellMar>
          <w:left w:w="70" w:type="dxa"/>
          <w:right w:w="70" w:type="dxa"/>
        </w:tblCellMar>
        <w:tblLook w:val="04A0" w:firstRow="1" w:lastRow="0" w:firstColumn="1" w:lastColumn="0" w:noHBand="0" w:noVBand="1"/>
      </w:tblPr>
      <w:tblGrid>
        <w:gridCol w:w="2992"/>
        <w:gridCol w:w="828"/>
        <w:gridCol w:w="960"/>
        <w:gridCol w:w="1160"/>
      </w:tblGrid>
      <w:tr w:rsidR="006F45B7" w:rsidRPr="00F10F30" w:rsidTr="00E6506C">
        <w:trPr>
          <w:trHeight w:val="270"/>
          <w:jc w:val="center"/>
        </w:trPr>
        <w:tc>
          <w:tcPr>
            <w:tcW w:w="2992" w:type="dxa"/>
            <w:tcBorders>
              <w:top w:val="single" w:sz="4" w:space="0" w:color="auto"/>
              <w:left w:val="nil"/>
              <w:bottom w:val="single" w:sz="4" w:space="0" w:color="auto"/>
              <w:right w:val="nil"/>
            </w:tcBorders>
            <w:shd w:val="clear" w:color="auto" w:fill="auto"/>
            <w:noWrap/>
            <w:vAlign w:val="bottom"/>
            <w:hideMark/>
          </w:tcPr>
          <w:p w:rsidR="006F45B7" w:rsidRPr="00F10F30" w:rsidRDefault="006F45B7" w:rsidP="00F10F30">
            <w:pPr>
              <w:spacing w:after="0" w:line="240" w:lineRule="auto"/>
              <w:rPr>
                <w:rFonts w:ascii="Times New Roman" w:eastAsia="Times New Roman" w:hAnsi="Times New Roman" w:cs="Times New Roman"/>
                <w:sz w:val="20"/>
                <w:szCs w:val="20"/>
                <w:lang w:val="en-GB" w:eastAsia="da-DK"/>
              </w:rPr>
            </w:pPr>
            <w:r w:rsidRPr="00F10F30">
              <w:rPr>
                <w:rFonts w:ascii="Times New Roman" w:eastAsia="Times New Roman" w:hAnsi="Times New Roman" w:cs="Times New Roman"/>
                <w:sz w:val="20"/>
                <w:szCs w:val="20"/>
                <w:lang w:val="en-GB" w:eastAsia="da-DK"/>
              </w:rPr>
              <w:t> </w:t>
            </w:r>
          </w:p>
        </w:tc>
        <w:tc>
          <w:tcPr>
            <w:tcW w:w="828" w:type="dxa"/>
            <w:tcBorders>
              <w:top w:val="single" w:sz="4" w:space="0" w:color="auto"/>
              <w:left w:val="nil"/>
              <w:bottom w:val="single" w:sz="4" w:space="0" w:color="auto"/>
              <w:right w:val="nil"/>
            </w:tcBorders>
            <w:shd w:val="clear" w:color="auto" w:fill="auto"/>
            <w:noWrap/>
            <w:vAlign w:val="bottom"/>
            <w:hideMark/>
          </w:tcPr>
          <w:p w:rsidR="006F45B7" w:rsidRPr="00F10F30" w:rsidRDefault="006F45B7" w:rsidP="00F10F30">
            <w:pPr>
              <w:spacing w:after="0" w:line="240" w:lineRule="auto"/>
              <w:jc w:val="right"/>
              <w:rPr>
                <w:rFonts w:ascii="Times New Roman" w:eastAsia="Times New Roman" w:hAnsi="Times New Roman" w:cs="Times New Roman"/>
                <w:sz w:val="20"/>
                <w:szCs w:val="20"/>
                <w:lang w:eastAsia="da-DK"/>
              </w:rPr>
            </w:pPr>
            <w:r w:rsidRPr="00F10F30">
              <w:rPr>
                <w:rFonts w:ascii="Times New Roman" w:eastAsia="Times New Roman" w:hAnsi="Times New Roman" w:cs="Times New Roman"/>
                <w:sz w:val="20"/>
                <w:szCs w:val="20"/>
                <w:lang w:eastAsia="da-DK"/>
              </w:rPr>
              <w:t>1990</w:t>
            </w:r>
          </w:p>
        </w:tc>
        <w:tc>
          <w:tcPr>
            <w:tcW w:w="960" w:type="dxa"/>
            <w:tcBorders>
              <w:top w:val="single" w:sz="4" w:space="0" w:color="auto"/>
              <w:left w:val="nil"/>
              <w:bottom w:val="single" w:sz="4" w:space="0" w:color="auto"/>
              <w:right w:val="nil"/>
            </w:tcBorders>
            <w:shd w:val="clear" w:color="auto" w:fill="auto"/>
            <w:noWrap/>
            <w:vAlign w:val="bottom"/>
            <w:hideMark/>
          </w:tcPr>
          <w:p w:rsidR="006F45B7" w:rsidRPr="00F10F30" w:rsidRDefault="006F45B7" w:rsidP="00F10F30">
            <w:pPr>
              <w:spacing w:after="0" w:line="240" w:lineRule="auto"/>
              <w:jc w:val="right"/>
              <w:rPr>
                <w:rFonts w:ascii="Times New Roman" w:eastAsia="Times New Roman" w:hAnsi="Times New Roman" w:cs="Times New Roman"/>
                <w:sz w:val="20"/>
                <w:szCs w:val="20"/>
                <w:lang w:eastAsia="da-DK"/>
              </w:rPr>
            </w:pPr>
            <w:r w:rsidRPr="00F10F30">
              <w:rPr>
                <w:rFonts w:ascii="Times New Roman" w:eastAsia="Times New Roman" w:hAnsi="Times New Roman" w:cs="Times New Roman"/>
                <w:sz w:val="20"/>
                <w:szCs w:val="20"/>
                <w:lang w:eastAsia="da-DK"/>
              </w:rPr>
              <w:t>2012</w:t>
            </w:r>
          </w:p>
        </w:tc>
        <w:tc>
          <w:tcPr>
            <w:tcW w:w="1160" w:type="dxa"/>
            <w:tcBorders>
              <w:top w:val="single" w:sz="4" w:space="0" w:color="auto"/>
              <w:left w:val="nil"/>
              <w:bottom w:val="single" w:sz="4" w:space="0" w:color="auto"/>
              <w:right w:val="nil"/>
            </w:tcBorders>
            <w:shd w:val="clear" w:color="auto" w:fill="auto"/>
            <w:noWrap/>
            <w:vAlign w:val="bottom"/>
            <w:hideMark/>
          </w:tcPr>
          <w:p w:rsidR="006F45B7" w:rsidRPr="00F10F30" w:rsidRDefault="006F45B7" w:rsidP="00F10F30">
            <w:pPr>
              <w:spacing w:after="0" w:line="240" w:lineRule="auto"/>
              <w:jc w:val="right"/>
              <w:rPr>
                <w:rFonts w:ascii="Times New Roman" w:eastAsia="Times New Roman" w:hAnsi="Times New Roman" w:cs="Times New Roman"/>
                <w:sz w:val="20"/>
                <w:szCs w:val="20"/>
                <w:lang w:eastAsia="da-DK"/>
              </w:rPr>
            </w:pPr>
            <w:r w:rsidRPr="00F10F30">
              <w:rPr>
                <w:rFonts w:ascii="Times New Roman" w:eastAsia="Times New Roman" w:hAnsi="Times New Roman" w:cs="Times New Roman"/>
                <w:sz w:val="20"/>
                <w:szCs w:val="20"/>
                <w:lang w:eastAsia="da-DK"/>
              </w:rPr>
              <w:t>Growth</w:t>
            </w:r>
          </w:p>
          <w:p w:rsidR="006F45B7" w:rsidRPr="00F10F30" w:rsidRDefault="006F45B7" w:rsidP="00F10F30">
            <w:pPr>
              <w:spacing w:after="0" w:line="240" w:lineRule="auto"/>
              <w:jc w:val="right"/>
              <w:rPr>
                <w:rFonts w:ascii="Times New Roman" w:eastAsia="Times New Roman" w:hAnsi="Times New Roman" w:cs="Times New Roman"/>
                <w:sz w:val="20"/>
                <w:szCs w:val="20"/>
                <w:lang w:eastAsia="da-DK"/>
              </w:rPr>
            </w:pPr>
            <w:r w:rsidRPr="00F10F30">
              <w:rPr>
                <w:rFonts w:ascii="Times New Roman" w:eastAsia="Times New Roman" w:hAnsi="Times New Roman" w:cs="Times New Roman"/>
                <w:sz w:val="20"/>
                <w:szCs w:val="20"/>
                <w:lang w:eastAsia="da-DK"/>
              </w:rPr>
              <w:t>1990-2012</w:t>
            </w:r>
          </w:p>
        </w:tc>
      </w:tr>
      <w:tr w:rsidR="001D7966" w:rsidRPr="00F10F30" w:rsidTr="00E6506C">
        <w:trPr>
          <w:trHeight w:val="283"/>
          <w:jc w:val="center"/>
        </w:trPr>
        <w:tc>
          <w:tcPr>
            <w:tcW w:w="2992" w:type="dxa"/>
            <w:tcBorders>
              <w:top w:val="nil"/>
              <w:left w:val="nil"/>
              <w:bottom w:val="nil"/>
              <w:right w:val="nil"/>
            </w:tcBorders>
            <w:shd w:val="clear" w:color="auto" w:fill="auto"/>
            <w:noWrap/>
            <w:vAlign w:val="center"/>
            <w:hideMark/>
          </w:tcPr>
          <w:p w:rsidR="001D7966" w:rsidRPr="00F10F30" w:rsidRDefault="001D7966" w:rsidP="00F10F30">
            <w:pPr>
              <w:spacing w:after="0" w:line="240" w:lineRule="auto"/>
              <w:rPr>
                <w:rFonts w:ascii="Times New Roman" w:eastAsia="Times New Roman" w:hAnsi="Times New Roman" w:cs="Times New Roman"/>
                <w:sz w:val="20"/>
                <w:szCs w:val="20"/>
                <w:lang w:val="en-GB" w:eastAsia="da-DK"/>
              </w:rPr>
            </w:pPr>
            <w:r w:rsidRPr="00F10F30">
              <w:rPr>
                <w:rFonts w:ascii="Times New Roman" w:eastAsia="Times New Roman" w:hAnsi="Times New Roman" w:cs="Times New Roman"/>
                <w:sz w:val="20"/>
                <w:szCs w:val="20"/>
                <w:lang w:val="en-GB" w:eastAsia="da-DK"/>
              </w:rPr>
              <w:t>Vocational training and shorter ed.</w:t>
            </w:r>
          </w:p>
        </w:tc>
        <w:tc>
          <w:tcPr>
            <w:tcW w:w="828" w:type="dxa"/>
            <w:tcBorders>
              <w:top w:val="nil"/>
              <w:left w:val="nil"/>
              <w:bottom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189.594</w:t>
            </w:r>
          </w:p>
        </w:tc>
        <w:tc>
          <w:tcPr>
            <w:tcW w:w="960" w:type="dxa"/>
            <w:tcBorders>
              <w:top w:val="nil"/>
              <w:left w:val="nil"/>
              <w:bottom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237.250</w:t>
            </w:r>
          </w:p>
        </w:tc>
        <w:tc>
          <w:tcPr>
            <w:tcW w:w="1160" w:type="dxa"/>
            <w:tcBorders>
              <w:top w:val="nil"/>
              <w:left w:val="nil"/>
              <w:bottom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47.656</w:t>
            </w:r>
          </w:p>
        </w:tc>
      </w:tr>
      <w:tr w:rsidR="001D7966" w:rsidRPr="00F10F30" w:rsidTr="00E6506C">
        <w:trPr>
          <w:trHeight w:val="283"/>
          <w:jc w:val="center"/>
        </w:trPr>
        <w:tc>
          <w:tcPr>
            <w:tcW w:w="2992" w:type="dxa"/>
            <w:tcBorders>
              <w:top w:val="nil"/>
              <w:left w:val="nil"/>
              <w:bottom w:val="nil"/>
              <w:right w:val="nil"/>
            </w:tcBorders>
            <w:shd w:val="clear" w:color="auto" w:fill="auto"/>
            <w:noWrap/>
            <w:vAlign w:val="center"/>
            <w:hideMark/>
          </w:tcPr>
          <w:p w:rsidR="001D7966" w:rsidRPr="00F10F30" w:rsidRDefault="003E3C79" w:rsidP="00F10F30">
            <w:pPr>
              <w:spacing w:after="0" w:line="240" w:lineRule="auto"/>
              <w:rPr>
                <w:rFonts w:ascii="Times New Roman" w:eastAsia="Times New Roman" w:hAnsi="Times New Roman" w:cs="Times New Roman"/>
                <w:sz w:val="20"/>
                <w:szCs w:val="20"/>
                <w:lang w:eastAsia="da-DK"/>
              </w:rPr>
            </w:pPr>
            <w:r w:rsidRPr="00F10F30">
              <w:rPr>
                <w:rFonts w:ascii="Times New Roman" w:eastAsia="Times New Roman" w:hAnsi="Times New Roman" w:cs="Times New Roman"/>
                <w:sz w:val="20"/>
                <w:szCs w:val="20"/>
                <w:lang w:eastAsia="da-DK"/>
              </w:rPr>
              <w:t>Medium term</w:t>
            </w:r>
          </w:p>
        </w:tc>
        <w:tc>
          <w:tcPr>
            <w:tcW w:w="828" w:type="dxa"/>
            <w:tcBorders>
              <w:top w:val="nil"/>
              <w:left w:val="nil"/>
              <w:bottom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54.994</w:t>
            </w:r>
          </w:p>
        </w:tc>
        <w:tc>
          <w:tcPr>
            <w:tcW w:w="960" w:type="dxa"/>
            <w:tcBorders>
              <w:top w:val="nil"/>
              <w:left w:val="nil"/>
              <w:bottom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101.924</w:t>
            </w:r>
          </w:p>
        </w:tc>
        <w:tc>
          <w:tcPr>
            <w:tcW w:w="1160" w:type="dxa"/>
            <w:tcBorders>
              <w:top w:val="nil"/>
              <w:left w:val="nil"/>
              <w:bottom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46.930</w:t>
            </w:r>
          </w:p>
        </w:tc>
      </w:tr>
      <w:tr w:rsidR="001D7966" w:rsidRPr="00F10F30" w:rsidTr="00E6506C">
        <w:trPr>
          <w:trHeight w:val="283"/>
          <w:jc w:val="center"/>
        </w:trPr>
        <w:tc>
          <w:tcPr>
            <w:tcW w:w="2992" w:type="dxa"/>
            <w:tcBorders>
              <w:top w:val="nil"/>
              <w:left w:val="nil"/>
              <w:right w:val="nil"/>
            </w:tcBorders>
            <w:shd w:val="clear" w:color="auto" w:fill="auto"/>
            <w:noWrap/>
            <w:vAlign w:val="center"/>
            <w:hideMark/>
          </w:tcPr>
          <w:p w:rsidR="001D7966" w:rsidRPr="00F10F30" w:rsidRDefault="001D7966" w:rsidP="00F10F30">
            <w:pPr>
              <w:spacing w:after="0" w:line="240" w:lineRule="auto"/>
              <w:rPr>
                <w:rFonts w:ascii="Times New Roman" w:eastAsia="Times New Roman" w:hAnsi="Times New Roman" w:cs="Times New Roman"/>
                <w:sz w:val="20"/>
                <w:szCs w:val="20"/>
                <w:lang w:val="en-GB" w:eastAsia="da-DK"/>
              </w:rPr>
            </w:pPr>
            <w:r w:rsidRPr="00F10F30">
              <w:rPr>
                <w:rFonts w:ascii="Times New Roman" w:eastAsia="Times New Roman" w:hAnsi="Times New Roman" w:cs="Times New Roman"/>
                <w:sz w:val="20"/>
                <w:szCs w:val="20"/>
                <w:lang w:val="en-GB" w:eastAsia="da-DK"/>
              </w:rPr>
              <w:t>Higher education</w:t>
            </w:r>
          </w:p>
        </w:tc>
        <w:tc>
          <w:tcPr>
            <w:tcW w:w="828" w:type="dxa"/>
            <w:tcBorders>
              <w:top w:val="nil"/>
              <w:left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97.769</w:t>
            </w:r>
          </w:p>
        </w:tc>
        <w:tc>
          <w:tcPr>
            <w:tcW w:w="960" w:type="dxa"/>
            <w:tcBorders>
              <w:top w:val="nil"/>
              <w:left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171.393</w:t>
            </w:r>
          </w:p>
        </w:tc>
        <w:tc>
          <w:tcPr>
            <w:tcW w:w="1160" w:type="dxa"/>
            <w:tcBorders>
              <w:top w:val="nil"/>
              <w:left w:val="nil"/>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73.624</w:t>
            </w:r>
          </w:p>
        </w:tc>
      </w:tr>
      <w:tr w:rsidR="001D7966" w:rsidRPr="00F10F30" w:rsidTr="00E6506C">
        <w:trPr>
          <w:trHeight w:val="283"/>
          <w:jc w:val="center"/>
        </w:trPr>
        <w:tc>
          <w:tcPr>
            <w:tcW w:w="2992" w:type="dxa"/>
            <w:tcBorders>
              <w:top w:val="nil"/>
              <w:left w:val="nil"/>
              <w:bottom w:val="single" w:sz="4" w:space="0" w:color="auto"/>
              <w:right w:val="nil"/>
            </w:tcBorders>
            <w:shd w:val="clear" w:color="auto" w:fill="auto"/>
            <w:noWrap/>
            <w:vAlign w:val="center"/>
            <w:hideMark/>
          </w:tcPr>
          <w:p w:rsidR="001D7966" w:rsidRPr="00F10F30" w:rsidRDefault="001D7966" w:rsidP="00F10F30">
            <w:pPr>
              <w:spacing w:after="0" w:line="240" w:lineRule="auto"/>
              <w:rPr>
                <w:rFonts w:ascii="Times New Roman" w:eastAsia="Times New Roman" w:hAnsi="Times New Roman" w:cs="Times New Roman"/>
                <w:sz w:val="20"/>
                <w:szCs w:val="20"/>
                <w:lang w:eastAsia="da-DK"/>
              </w:rPr>
            </w:pPr>
            <w:r w:rsidRPr="00F10F30">
              <w:rPr>
                <w:rFonts w:ascii="Times New Roman" w:eastAsia="Times New Roman" w:hAnsi="Times New Roman" w:cs="Times New Roman"/>
                <w:sz w:val="20"/>
                <w:szCs w:val="20"/>
                <w:lang w:eastAsia="da-DK"/>
              </w:rPr>
              <w:t>All</w:t>
            </w:r>
          </w:p>
        </w:tc>
        <w:tc>
          <w:tcPr>
            <w:tcW w:w="828" w:type="dxa"/>
            <w:tcBorders>
              <w:top w:val="nil"/>
              <w:left w:val="nil"/>
              <w:bottom w:val="single" w:sz="4" w:space="0" w:color="auto"/>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342.357</w:t>
            </w:r>
          </w:p>
        </w:tc>
        <w:tc>
          <w:tcPr>
            <w:tcW w:w="960" w:type="dxa"/>
            <w:tcBorders>
              <w:top w:val="nil"/>
              <w:left w:val="nil"/>
              <w:bottom w:val="single" w:sz="4" w:space="0" w:color="auto"/>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510.567</w:t>
            </w:r>
          </w:p>
        </w:tc>
        <w:tc>
          <w:tcPr>
            <w:tcW w:w="1160" w:type="dxa"/>
            <w:tcBorders>
              <w:top w:val="nil"/>
              <w:left w:val="nil"/>
              <w:bottom w:val="single" w:sz="4" w:space="0" w:color="auto"/>
              <w:right w:val="nil"/>
            </w:tcBorders>
            <w:shd w:val="clear" w:color="auto" w:fill="auto"/>
            <w:noWrap/>
            <w:vAlign w:val="center"/>
            <w:hideMark/>
          </w:tcPr>
          <w:p w:rsidR="001D7966" w:rsidRPr="00F10F30" w:rsidRDefault="001D7966" w:rsidP="00F10F30">
            <w:pPr>
              <w:spacing w:after="0" w:line="240" w:lineRule="auto"/>
              <w:jc w:val="right"/>
              <w:rPr>
                <w:rFonts w:ascii="Times New Roman" w:hAnsi="Times New Roman" w:cs="Times New Roman"/>
                <w:color w:val="000000"/>
                <w:sz w:val="20"/>
                <w:szCs w:val="20"/>
              </w:rPr>
            </w:pPr>
            <w:r w:rsidRPr="00F10F30">
              <w:rPr>
                <w:rFonts w:ascii="Times New Roman" w:hAnsi="Times New Roman" w:cs="Times New Roman"/>
                <w:color w:val="000000"/>
                <w:sz w:val="20"/>
                <w:szCs w:val="20"/>
              </w:rPr>
              <w:t>168.210</w:t>
            </w:r>
          </w:p>
        </w:tc>
      </w:tr>
    </w:tbl>
    <w:p w:rsidR="006F45B7" w:rsidRPr="00F10F30" w:rsidRDefault="006F45B7" w:rsidP="00F10F30">
      <w:pPr>
        <w:spacing w:after="0"/>
        <w:rPr>
          <w:rFonts w:ascii="Times New Roman" w:hAnsi="Times New Roman" w:cs="Times New Roman"/>
          <w:lang w:eastAsia="da-DK"/>
        </w:rPr>
      </w:pPr>
    </w:p>
    <w:p w:rsidR="001D7966" w:rsidRDefault="006F45B7" w:rsidP="00F10F30">
      <w:pPr>
        <w:spacing w:after="0"/>
        <w:rPr>
          <w:rFonts w:ascii="Times New Roman" w:hAnsi="Times New Roman" w:cs="Times New Roman"/>
          <w:color w:val="000000"/>
          <w:lang w:val="en-GB"/>
        </w:rPr>
      </w:pPr>
      <w:r w:rsidRPr="00F10F30">
        <w:rPr>
          <w:rFonts w:ascii="Times New Roman" w:hAnsi="Times New Roman" w:cs="Times New Roman"/>
          <w:color w:val="000000"/>
          <w:lang w:val="en-GB"/>
        </w:rPr>
        <w:t>There has been a dramatic increase in education during the period 1990-2012 from 340 to 510 thousands students</w:t>
      </w:r>
      <w:r w:rsidR="006E6245">
        <w:rPr>
          <w:rFonts w:ascii="Times New Roman" w:hAnsi="Times New Roman" w:cs="Times New Roman"/>
          <w:color w:val="000000"/>
          <w:lang w:val="en-GB"/>
        </w:rPr>
        <w:t xml:space="preserve"> in</w:t>
      </w:r>
      <w:r w:rsidR="001D7966" w:rsidRPr="00F10F30">
        <w:rPr>
          <w:rFonts w:ascii="Times New Roman" w:hAnsi="Times New Roman" w:cs="Times New Roman"/>
          <w:color w:val="000000"/>
          <w:lang w:val="en-GB"/>
        </w:rPr>
        <w:t xml:space="preserve"> educations providing formal qualifications</w:t>
      </w:r>
      <w:r w:rsidRPr="00F10F30">
        <w:rPr>
          <w:rFonts w:ascii="Times New Roman" w:hAnsi="Times New Roman" w:cs="Times New Roman"/>
          <w:color w:val="000000"/>
          <w:lang w:val="en-GB"/>
        </w:rPr>
        <w:t xml:space="preserve">. </w:t>
      </w:r>
      <w:r w:rsidR="001D7966" w:rsidRPr="00F10F30">
        <w:rPr>
          <w:rFonts w:ascii="Times New Roman" w:hAnsi="Times New Roman" w:cs="Times New Roman"/>
          <w:color w:val="000000"/>
          <w:lang w:val="en-GB"/>
        </w:rPr>
        <w:t xml:space="preserve">It is especially higher education that has been growing, but also the medium educations like teachers, nurses etc. </w:t>
      </w:r>
      <w:r w:rsidR="00E6506C">
        <w:rPr>
          <w:rFonts w:ascii="Times New Roman" w:hAnsi="Times New Roman" w:cs="Times New Roman"/>
          <w:color w:val="000000"/>
          <w:lang w:val="en-GB"/>
        </w:rPr>
        <w:t>Higher education has somewhat restructured in the period. S</w:t>
      </w:r>
      <w:r w:rsidR="00E6506C">
        <w:rPr>
          <w:rFonts w:ascii="Times New Roman" w:hAnsi="Times New Roman" w:cs="Times New Roman"/>
          <w:lang w:val="en-GB"/>
        </w:rPr>
        <w:t>ome studies have been divided into a bachelor degree and a more advanced part. Some of the bachelor studies could be more geographically dispersed the master studies.</w:t>
      </w:r>
    </w:p>
    <w:p w:rsidR="00F10F30" w:rsidRPr="00F10F30" w:rsidRDefault="00F10F30" w:rsidP="00F10F30">
      <w:pPr>
        <w:spacing w:after="0"/>
        <w:rPr>
          <w:rFonts w:ascii="Times New Roman" w:hAnsi="Times New Roman" w:cs="Times New Roman"/>
          <w:color w:val="000000"/>
          <w:lang w:val="en-GB"/>
        </w:rPr>
      </w:pPr>
    </w:p>
    <w:p w:rsidR="00C869EC" w:rsidRDefault="00C869EC" w:rsidP="00F10F30">
      <w:pPr>
        <w:spacing w:after="0"/>
        <w:rPr>
          <w:rFonts w:ascii="Times New Roman" w:hAnsi="Times New Roman" w:cs="Times New Roman"/>
          <w:color w:val="000000"/>
          <w:lang w:val="en-GB"/>
        </w:rPr>
      </w:pPr>
      <w:r w:rsidRPr="00F10F30">
        <w:rPr>
          <w:rFonts w:ascii="Times New Roman" w:hAnsi="Times New Roman" w:cs="Times New Roman"/>
          <w:color w:val="000000"/>
          <w:lang w:val="en-GB"/>
        </w:rPr>
        <w:t xml:space="preserve">In </w:t>
      </w:r>
      <w:r w:rsidRPr="00F10F30">
        <w:rPr>
          <w:rFonts w:ascii="Times New Roman" w:hAnsi="Times New Roman" w:cs="Times New Roman"/>
          <w:color w:val="000000"/>
          <w:lang w:val="en-GB"/>
        </w:rPr>
        <w:fldChar w:fldCharType="begin"/>
      </w:r>
      <w:r w:rsidRPr="00F10F30">
        <w:rPr>
          <w:rFonts w:ascii="Times New Roman" w:hAnsi="Times New Roman" w:cs="Times New Roman"/>
          <w:color w:val="000000"/>
          <w:lang w:val="en-GB"/>
        </w:rPr>
        <w:instrText xml:space="preserve"> REF _Ref448752290 \h </w:instrText>
      </w:r>
      <w:r w:rsidR="00383E7E" w:rsidRPr="00F10F30">
        <w:rPr>
          <w:rFonts w:ascii="Times New Roman" w:hAnsi="Times New Roman" w:cs="Times New Roman"/>
          <w:color w:val="000000"/>
          <w:lang w:val="en-GB"/>
        </w:rPr>
        <w:instrText xml:space="preserve"> \* MERGEFORMAT </w:instrText>
      </w:r>
      <w:r w:rsidRPr="00F10F30">
        <w:rPr>
          <w:rFonts w:ascii="Times New Roman" w:hAnsi="Times New Roman" w:cs="Times New Roman"/>
          <w:color w:val="000000"/>
          <w:lang w:val="en-GB"/>
        </w:rPr>
      </w:r>
      <w:r w:rsidRPr="00F10F30">
        <w:rPr>
          <w:rFonts w:ascii="Times New Roman" w:hAnsi="Times New Roman" w:cs="Times New Roman"/>
          <w:color w:val="000000"/>
          <w:lang w:val="en-GB"/>
        </w:rPr>
        <w:fldChar w:fldCharType="separate"/>
      </w:r>
      <w:r w:rsidRPr="00F10F30">
        <w:rPr>
          <w:rFonts w:ascii="Times New Roman" w:hAnsi="Times New Roman" w:cs="Times New Roman"/>
          <w:lang w:val="en-GB"/>
        </w:rPr>
        <w:t xml:space="preserve">Table </w:t>
      </w:r>
      <w:r w:rsidRPr="00F10F30">
        <w:rPr>
          <w:rFonts w:ascii="Times New Roman" w:hAnsi="Times New Roman" w:cs="Times New Roman"/>
          <w:noProof/>
          <w:lang w:val="en-GB"/>
        </w:rPr>
        <w:t>2</w:t>
      </w:r>
      <w:r w:rsidRPr="00F10F30">
        <w:rPr>
          <w:rFonts w:ascii="Times New Roman" w:hAnsi="Times New Roman" w:cs="Times New Roman"/>
          <w:color w:val="000000"/>
          <w:lang w:val="en-GB"/>
        </w:rPr>
        <w:fldChar w:fldCharType="end"/>
      </w:r>
      <w:r w:rsidRPr="00F10F30">
        <w:rPr>
          <w:rFonts w:ascii="Times New Roman" w:hAnsi="Times New Roman" w:cs="Times New Roman"/>
          <w:color w:val="000000"/>
          <w:lang w:val="en-GB"/>
        </w:rPr>
        <w:t xml:space="preserve"> is shown the capacity</w:t>
      </w:r>
      <w:r w:rsidR="006E6245">
        <w:rPr>
          <w:rFonts w:ascii="Times New Roman" w:hAnsi="Times New Roman" w:cs="Times New Roman"/>
          <w:color w:val="000000"/>
          <w:lang w:val="en-GB"/>
        </w:rPr>
        <w:t xml:space="preserve"> of education in different area</w:t>
      </w:r>
      <w:r w:rsidRPr="00F10F30">
        <w:rPr>
          <w:rFonts w:ascii="Times New Roman" w:hAnsi="Times New Roman" w:cs="Times New Roman"/>
          <w:color w:val="000000"/>
          <w:lang w:val="en-GB"/>
        </w:rPr>
        <w:t xml:space="preserve"> types in 2012 compared to the number of residents in the age of 17 years, which can be assumed to be the potential </w:t>
      </w:r>
      <w:r w:rsidR="006E6245">
        <w:rPr>
          <w:rFonts w:ascii="Times New Roman" w:hAnsi="Times New Roman" w:cs="Times New Roman"/>
          <w:color w:val="000000"/>
          <w:lang w:val="en-GB"/>
        </w:rPr>
        <w:t xml:space="preserve">students </w:t>
      </w:r>
      <w:r w:rsidRPr="00F10F30">
        <w:rPr>
          <w:rFonts w:ascii="Times New Roman" w:hAnsi="Times New Roman" w:cs="Times New Roman"/>
          <w:color w:val="000000"/>
          <w:lang w:val="en-GB"/>
        </w:rPr>
        <w:t>in the areas preparing to start an education.</w:t>
      </w:r>
    </w:p>
    <w:p w:rsidR="00F10F30" w:rsidRPr="00F10F30" w:rsidRDefault="00F10F30" w:rsidP="00F10F30">
      <w:pPr>
        <w:spacing w:after="0"/>
        <w:rPr>
          <w:rFonts w:ascii="Times New Roman" w:hAnsi="Times New Roman" w:cs="Times New Roman"/>
          <w:color w:val="000000"/>
          <w:lang w:val="en-GB"/>
        </w:rPr>
      </w:pPr>
    </w:p>
    <w:p w:rsidR="00C869EC" w:rsidRPr="00F10F30" w:rsidRDefault="00C869EC" w:rsidP="00E6506C">
      <w:pPr>
        <w:pStyle w:val="Billedtekst"/>
        <w:spacing w:after="0"/>
        <w:jc w:val="center"/>
        <w:rPr>
          <w:rFonts w:ascii="Times New Roman" w:hAnsi="Times New Roman" w:cs="Times New Roman"/>
          <w:color w:val="auto"/>
          <w:sz w:val="20"/>
          <w:szCs w:val="20"/>
          <w:lang w:val="en-GB"/>
        </w:rPr>
      </w:pPr>
      <w:bookmarkStart w:id="4" w:name="_Ref448752290"/>
      <w:proofErr w:type="gramStart"/>
      <w:r w:rsidRPr="00F10F30">
        <w:rPr>
          <w:rFonts w:ascii="Times New Roman" w:hAnsi="Times New Roman" w:cs="Times New Roman"/>
          <w:color w:val="auto"/>
          <w:sz w:val="20"/>
          <w:szCs w:val="20"/>
          <w:lang w:val="en-GB"/>
        </w:rPr>
        <w:t xml:space="preserve">Table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Table \* ARABIC </w:instrText>
      </w:r>
      <w:r w:rsidRPr="00F10F30">
        <w:rPr>
          <w:rFonts w:ascii="Times New Roman" w:hAnsi="Times New Roman" w:cs="Times New Roman"/>
          <w:color w:val="auto"/>
          <w:sz w:val="20"/>
          <w:szCs w:val="20"/>
        </w:rPr>
        <w:fldChar w:fldCharType="separate"/>
      </w:r>
      <w:r w:rsidR="007C7B3C" w:rsidRPr="00F10F30">
        <w:rPr>
          <w:rFonts w:ascii="Times New Roman" w:hAnsi="Times New Roman" w:cs="Times New Roman"/>
          <w:noProof/>
          <w:color w:val="auto"/>
          <w:sz w:val="20"/>
          <w:szCs w:val="20"/>
          <w:lang w:val="en-GB"/>
        </w:rPr>
        <w:t>2</w:t>
      </w:r>
      <w:r w:rsidRPr="00F10F30">
        <w:rPr>
          <w:rFonts w:ascii="Times New Roman" w:hAnsi="Times New Roman" w:cs="Times New Roman"/>
          <w:color w:val="auto"/>
          <w:sz w:val="20"/>
          <w:szCs w:val="20"/>
        </w:rPr>
        <w:fldChar w:fldCharType="end"/>
      </w:r>
      <w:bookmarkEnd w:id="4"/>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Number of students in educational institutions localised in area types 2012 compared with number of residents in the age of 17.</w:t>
      </w:r>
    </w:p>
    <w:tbl>
      <w:tblPr>
        <w:tblW w:w="7245" w:type="dxa"/>
        <w:jc w:val="center"/>
        <w:tblInd w:w="55" w:type="dxa"/>
        <w:tblCellMar>
          <w:left w:w="70" w:type="dxa"/>
          <w:right w:w="70" w:type="dxa"/>
        </w:tblCellMar>
        <w:tblLook w:val="04A0" w:firstRow="1" w:lastRow="0" w:firstColumn="1" w:lastColumn="0" w:noHBand="0" w:noVBand="1"/>
      </w:tblPr>
      <w:tblGrid>
        <w:gridCol w:w="1840"/>
        <w:gridCol w:w="1096"/>
        <w:gridCol w:w="1096"/>
        <w:gridCol w:w="1096"/>
        <w:gridCol w:w="960"/>
        <w:gridCol w:w="1157"/>
      </w:tblGrid>
      <w:tr w:rsidR="00C869EC" w:rsidRPr="00F10F30" w:rsidTr="00E6506C">
        <w:trPr>
          <w:trHeight w:val="300"/>
          <w:jc w:val="center"/>
        </w:trPr>
        <w:tc>
          <w:tcPr>
            <w:tcW w:w="1840" w:type="dxa"/>
            <w:tcBorders>
              <w:top w:val="single" w:sz="4" w:space="0" w:color="auto"/>
              <w:left w:val="nil"/>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w:t>
            </w:r>
          </w:p>
        </w:tc>
        <w:tc>
          <w:tcPr>
            <w:tcW w:w="1096" w:type="dxa"/>
            <w:tcBorders>
              <w:top w:val="single" w:sz="4" w:space="0" w:color="auto"/>
              <w:left w:val="nil"/>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Vocational training etc.</w:t>
            </w:r>
          </w:p>
        </w:tc>
        <w:tc>
          <w:tcPr>
            <w:tcW w:w="1096" w:type="dxa"/>
            <w:tcBorders>
              <w:top w:val="single" w:sz="4" w:space="0" w:color="auto"/>
              <w:left w:val="nil"/>
              <w:bottom w:val="single" w:sz="4" w:space="0" w:color="auto"/>
              <w:right w:val="nil"/>
            </w:tcBorders>
            <w:shd w:val="clear" w:color="auto" w:fill="auto"/>
            <w:noWrap/>
            <w:vAlign w:val="center"/>
            <w:hideMark/>
          </w:tcPr>
          <w:p w:rsidR="00C869EC" w:rsidRPr="00F10F30" w:rsidRDefault="003E3C79"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Medium term</w:t>
            </w:r>
          </w:p>
        </w:tc>
        <w:tc>
          <w:tcPr>
            <w:tcW w:w="1096" w:type="dxa"/>
            <w:tcBorders>
              <w:top w:val="single" w:sz="4" w:space="0" w:color="auto"/>
              <w:left w:val="nil"/>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Higher education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Total</w:t>
            </w:r>
          </w:p>
        </w:tc>
        <w:tc>
          <w:tcPr>
            <w:tcW w:w="1157" w:type="dxa"/>
            <w:tcBorders>
              <w:top w:val="single" w:sz="4" w:space="0" w:color="auto"/>
              <w:left w:val="single" w:sz="4" w:space="0" w:color="auto"/>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Residents 17 years old</w:t>
            </w:r>
          </w:p>
        </w:tc>
      </w:tr>
      <w:tr w:rsidR="00C869EC" w:rsidRPr="00F10F30" w:rsidTr="00E6506C">
        <w:trPr>
          <w:trHeight w:val="300"/>
          <w:jc w:val="center"/>
        </w:trPr>
        <w:tc>
          <w:tcPr>
            <w:tcW w:w="1840" w:type="dxa"/>
            <w:tcBorders>
              <w:top w:val="nil"/>
              <w:left w:val="nil"/>
              <w:bottom w:val="nil"/>
              <w:right w:val="nil"/>
            </w:tcBorders>
            <w:shd w:val="clear" w:color="auto" w:fill="auto"/>
            <w:noWrap/>
            <w:vAlign w:val="bottom"/>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p>
        </w:tc>
        <w:tc>
          <w:tcPr>
            <w:tcW w:w="4248" w:type="dxa"/>
            <w:gridSpan w:val="4"/>
            <w:tcBorders>
              <w:top w:val="nil"/>
              <w:left w:val="nil"/>
              <w:bottom w:val="nil"/>
              <w:right w:val="single" w:sz="4" w:space="0" w:color="auto"/>
            </w:tcBorders>
            <w:shd w:val="clear" w:color="auto" w:fill="auto"/>
            <w:noWrap/>
            <w:vAlign w:val="center"/>
            <w:hideMark/>
          </w:tcPr>
          <w:p w:rsidR="00C869EC" w:rsidRPr="00F10F30" w:rsidRDefault="00C869EC" w:rsidP="00F10F30">
            <w:pPr>
              <w:spacing w:after="0" w:line="240" w:lineRule="auto"/>
              <w:jc w:val="center"/>
              <w:rPr>
                <w:rFonts w:ascii="Times New Roman" w:eastAsia="Times New Roman" w:hAnsi="Times New Roman" w:cs="Times New Roman"/>
                <w:b/>
                <w:bCs/>
                <w:color w:val="000000"/>
                <w:sz w:val="20"/>
                <w:szCs w:val="20"/>
                <w:lang w:val="en-GB" w:eastAsia="da-DK"/>
              </w:rPr>
            </w:pPr>
            <w:r w:rsidRPr="00F10F30">
              <w:rPr>
                <w:rFonts w:ascii="Times New Roman" w:eastAsia="Times New Roman" w:hAnsi="Times New Roman" w:cs="Times New Roman"/>
                <w:b/>
                <w:bCs/>
                <w:color w:val="000000"/>
                <w:sz w:val="20"/>
                <w:szCs w:val="20"/>
                <w:lang w:val="en-GB" w:eastAsia="da-DK"/>
              </w:rPr>
              <w:t>Number of students</w:t>
            </w:r>
          </w:p>
        </w:tc>
        <w:tc>
          <w:tcPr>
            <w:tcW w:w="1157" w:type="dxa"/>
            <w:tcBorders>
              <w:top w:val="nil"/>
              <w:left w:val="single" w:sz="4" w:space="0" w:color="auto"/>
              <w:bottom w:val="nil"/>
              <w:right w:val="nil"/>
            </w:tcBorders>
            <w:shd w:val="clear" w:color="auto" w:fill="auto"/>
            <w:noWrap/>
            <w:vAlign w:val="bottom"/>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Copenhagen area</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72.263</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38.043</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44.129</w:t>
            </w:r>
          </w:p>
        </w:tc>
        <w:tc>
          <w:tcPr>
            <w:tcW w:w="960" w:type="dxa"/>
            <w:tcBorders>
              <w:top w:val="nil"/>
              <w:left w:val="nil"/>
              <w:bottom w:val="nil"/>
              <w:right w:val="single" w:sz="4" w:space="0" w:color="auto"/>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154.435</w:t>
            </w:r>
          </w:p>
        </w:tc>
        <w:tc>
          <w:tcPr>
            <w:tcW w:w="1157" w:type="dxa"/>
            <w:tcBorders>
              <w:top w:val="nil"/>
              <w:left w:val="single" w:sz="4" w:space="0" w:color="auto"/>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20.460</w:t>
            </w: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Other growth areas</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77.254</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41.772</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78.196</w:t>
            </w:r>
          </w:p>
        </w:tc>
        <w:tc>
          <w:tcPr>
            <w:tcW w:w="960" w:type="dxa"/>
            <w:tcBorders>
              <w:top w:val="nil"/>
              <w:left w:val="nil"/>
              <w:bottom w:val="nil"/>
              <w:right w:val="single" w:sz="4" w:space="0" w:color="auto"/>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197.222</w:t>
            </w:r>
          </w:p>
        </w:tc>
        <w:tc>
          <w:tcPr>
            <w:tcW w:w="1157" w:type="dxa"/>
            <w:tcBorders>
              <w:top w:val="nil"/>
              <w:left w:val="single" w:sz="4" w:space="0" w:color="auto"/>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14.998</w:t>
            </w: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Medium areas</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61.335</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15.332</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2.406</w:t>
            </w:r>
          </w:p>
        </w:tc>
        <w:tc>
          <w:tcPr>
            <w:tcW w:w="960" w:type="dxa"/>
            <w:tcBorders>
              <w:top w:val="nil"/>
              <w:left w:val="nil"/>
              <w:bottom w:val="nil"/>
              <w:right w:val="single" w:sz="4" w:space="0" w:color="auto"/>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79.073</w:t>
            </w:r>
          </w:p>
        </w:tc>
        <w:tc>
          <w:tcPr>
            <w:tcW w:w="1157" w:type="dxa"/>
            <w:tcBorders>
              <w:top w:val="nil"/>
              <w:left w:val="single" w:sz="4" w:space="0" w:color="auto"/>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26.735</w:t>
            </w: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Fringe areas</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24.802</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5.407</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1.415</w:t>
            </w:r>
          </w:p>
        </w:tc>
        <w:tc>
          <w:tcPr>
            <w:tcW w:w="960" w:type="dxa"/>
            <w:tcBorders>
              <w:top w:val="nil"/>
              <w:left w:val="nil"/>
              <w:bottom w:val="nil"/>
              <w:right w:val="single" w:sz="4" w:space="0" w:color="auto"/>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31.624</w:t>
            </w:r>
          </w:p>
        </w:tc>
        <w:tc>
          <w:tcPr>
            <w:tcW w:w="1157" w:type="dxa"/>
            <w:tcBorders>
              <w:top w:val="nil"/>
              <w:left w:val="single" w:sz="4" w:space="0" w:color="auto"/>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9.601</w:t>
            </w: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Islands</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1.395</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395</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0</w:t>
            </w:r>
          </w:p>
        </w:tc>
        <w:tc>
          <w:tcPr>
            <w:tcW w:w="960" w:type="dxa"/>
            <w:tcBorders>
              <w:top w:val="nil"/>
              <w:left w:val="nil"/>
              <w:bottom w:val="nil"/>
              <w:right w:val="single" w:sz="4" w:space="0" w:color="auto"/>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1.790</w:t>
            </w:r>
          </w:p>
        </w:tc>
        <w:tc>
          <w:tcPr>
            <w:tcW w:w="1157" w:type="dxa"/>
            <w:tcBorders>
              <w:top w:val="nil"/>
              <w:left w:val="single" w:sz="4" w:space="0" w:color="auto"/>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946</w:t>
            </w:r>
          </w:p>
        </w:tc>
      </w:tr>
      <w:tr w:rsidR="00F10F30" w:rsidRPr="00905764" w:rsidTr="00E6506C">
        <w:trPr>
          <w:trHeight w:val="485"/>
          <w:jc w:val="center"/>
        </w:trPr>
        <w:tc>
          <w:tcPr>
            <w:tcW w:w="1840" w:type="dxa"/>
            <w:tcBorders>
              <w:top w:val="single" w:sz="4" w:space="0" w:color="auto"/>
              <w:left w:val="nil"/>
              <w:bottom w:val="nil"/>
              <w:right w:val="nil"/>
            </w:tcBorders>
            <w:shd w:val="clear" w:color="auto" w:fill="auto"/>
            <w:hideMark/>
          </w:tcPr>
          <w:p w:rsidR="00F10F30" w:rsidRPr="00F10F30" w:rsidRDefault="00F10F30"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w:t>
            </w:r>
          </w:p>
        </w:tc>
        <w:tc>
          <w:tcPr>
            <w:tcW w:w="4248" w:type="dxa"/>
            <w:gridSpan w:val="4"/>
            <w:tcBorders>
              <w:top w:val="single" w:sz="4" w:space="0" w:color="auto"/>
              <w:left w:val="nil"/>
              <w:bottom w:val="nil"/>
              <w:right w:val="nil"/>
            </w:tcBorders>
            <w:shd w:val="clear" w:color="auto" w:fill="auto"/>
            <w:noWrap/>
            <w:vAlign w:val="center"/>
            <w:hideMark/>
          </w:tcPr>
          <w:p w:rsidR="00F10F30" w:rsidRPr="00F10F30" w:rsidRDefault="00F10F30" w:rsidP="00F10F30">
            <w:pPr>
              <w:spacing w:after="0" w:line="240" w:lineRule="auto"/>
              <w:jc w:val="center"/>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b/>
                <w:color w:val="000000"/>
                <w:sz w:val="20"/>
                <w:szCs w:val="20"/>
                <w:lang w:val="en-GB" w:eastAsia="da-DK"/>
              </w:rPr>
              <w:t>Relative deviation (%) between educational capacity and residents</w:t>
            </w:r>
            <w:r w:rsidR="006E6245">
              <w:rPr>
                <w:rFonts w:ascii="Times New Roman" w:eastAsia="Times New Roman" w:hAnsi="Times New Roman" w:cs="Times New Roman"/>
                <w:b/>
                <w:color w:val="000000"/>
                <w:sz w:val="20"/>
                <w:szCs w:val="20"/>
                <w:lang w:val="en-GB" w:eastAsia="da-DK"/>
              </w:rPr>
              <w:t xml:space="preserve"> </w:t>
            </w:r>
            <w:r w:rsidRPr="00F10F30">
              <w:rPr>
                <w:rFonts w:ascii="Times New Roman" w:eastAsia="Times New Roman" w:hAnsi="Times New Roman" w:cs="Times New Roman"/>
                <w:b/>
                <w:color w:val="000000"/>
                <w:sz w:val="20"/>
                <w:szCs w:val="20"/>
                <w:lang w:val="en-GB" w:eastAsia="da-DK"/>
              </w:rPr>
              <w:t>17 years</w:t>
            </w:r>
            <w:r w:rsidRPr="00F10F30">
              <w:rPr>
                <w:rFonts w:ascii="Times New Roman" w:eastAsia="Times New Roman" w:hAnsi="Times New Roman" w:cs="Times New Roman"/>
                <w:color w:val="000000"/>
                <w:sz w:val="20"/>
                <w:szCs w:val="20"/>
                <w:lang w:val="en-GB" w:eastAsia="da-DK"/>
              </w:rPr>
              <w:t xml:space="preserve"> </w:t>
            </w:r>
            <w:r w:rsidRPr="00F10F30">
              <w:rPr>
                <w:rFonts w:ascii="Times New Roman" w:eastAsia="Times New Roman" w:hAnsi="Times New Roman" w:cs="Times New Roman"/>
                <w:b/>
                <w:color w:val="000000"/>
                <w:sz w:val="20"/>
                <w:szCs w:val="20"/>
                <w:lang w:val="en-GB" w:eastAsia="da-DK"/>
              </w:rPr>
              <w:t>old</w:t>
            </w:r>
            <w:r w:rsidRPr="00F10F30">
              <w:rPr>
                <w:rFonts w:ascii="Times New Roman" w:eastAsia="Times New Roman" w:hAnsi="Times New Roman" w:cs="Times New Roman"/>
                <w:color w:val="000000"/>
                <w:sz w:val="20"/>
                <w:szCs w:val="20"/>
                <w:lang w:val="en-GB" w:eastAsia="da-DK"/>
              </w:rPr>
              <w:t> </w:t>
            </w:r>
          </w:p>
        </w:tc>
        <w:tc>
          <w:tcPr>
            <w:tcW w:w="1157" w:type="dxa"/>
            <w:tcBorders>
              <w:top w:val="single" w:sz="4" w:space="0" w:color="auto"/>
              <w:left w:val="nil"/>
              <w:bottom w:val="nil"/>
              <w:right w:val="nil"/>
            </w:tcBorders>
            <w:shd w:val="clear" w:color="auto" w:fill="auto"/>
            <w:noWrap/>
            <w:vAlign w:val="bottom"/>
            <w:hideMark/>
          </w:tcPr>
          <w:p w:rsidR="00F10F30" w:rsidRPr="00F10F30" w:rsidRDefault="00F10F30" w:rsidP="00F10F30">
            <w:pPr>
              <w:spacing w:after="0" w:line="240" w:lineRule="auto"/>
              <w:rPr>
                <w:rFonts w:ascii="Times New Roman" w:eastAsia="Times New Roman" w:hAnsi="Times New Roman" w:cs="Times New Roman"/>
                <w:color w:val="000000"/>
                <w:lang w:val="en-GB" w:eastAsia="da-DK"/>
              </w:rPr>
            </w:pPr>
            <w:r w:rsidRPr="00F10F30">
              <w:rPr>
                <w:rFonts w:ascii="Times New Roman" w:eastAsia="Times New Roman" w:hAnsi="Times New Roman" w:cs="Times New Roman"/>
                <w:color w:val="000000"/>
                <w:lang w:val="en-GB" w:eastAsia="da-DK"/>
              </w:rPr>
              <w:t> </w:t>
            </w: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Copenhagen area</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9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35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25 </w:t>
            </w:r>
          </w:p>
        </w:tc>
        <w:tc>
          <w:tcPr>
            <w:tcW w:w="960"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19 </w:t>
            </w:r>
          </w:p>
        </w:tc>
        <w:tc>
          <w:tcPr>
            <w:tcW w:w="1157" w:type="dxa"/>
            <w:tcBorders>
              <w:top w:val="nil"/>
              <w:left w:val="nil"/>
              <w:bottom w:val="nil"/>
              <w:right w:val="nil"/>
            </w:tcBorders>
            <w:shd w:val="clear" w:color="auto" w:fill="auto"/>
            <w:noWrap/>
            <w:vAlign w:val="bottom"/>
            <w:hideMark/>
          </w:tcPr>
          <w:p w:rsidR="00C869EC" w:rsidRPr="00F10F30" w:rsidRDefault="00C869EC" w:rsidP="00F10F30">
            <w:pPr>
              <w:spacing w:after="0" w:line="240" w:lineRule="auto"/>
              <w:rPr>
                <w:rFonts w:ascii="Times New Roman" w:eastAsia="Times New Roman" w:hAnsi="Times New Roman" w:cs="Times New Roman"/>
                <w:color w:val="000000"/>
                <w:lang w:val="en-GB" w:eastAsia="da-DK"/>
              </w:rPr>
            </w:pP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Other growth areas</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55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97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195 </w:t>
            </w:r>
          </w:p>
        </w:tc>
        <w:tc>
          <w:tcPr>
            <w:tcW w:w="960"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102 </w:t>
            </w:r>
          </w:p>
        </w:tc>
        <w:tc>
          <w:tcPr>
            <w:tcW w:w="1157" w:type="dxa"/>
            <w:tcBorders>
              <w:top w:val="nil"/>
              <w:left w:val="nil"/>
              <w:bottom w:val="nil"/>
              <w:right w:val="nil"/>
            </w:tcBorders>
            <w:shd w:val="clear" w:color="auto" w:fill="auto"/>
            <w:noWrap/>
            <w:vAlign w:val="bottom"/>
            <w:hideMark/>
          </w:tcPr>
          <w:p w:rsidR="00C869EC" w:rsidRPr="00F10F30" w:rsidRDefault="00C869EC" w:rsidP="00F10F30">
            <w:pPr>
              <w:spacing w:after="0" w:line="240" w:lineRule="auto"/>
              <w:rPr>
                <w:rFonts w:ascii="Times New Roman" w:eastAsia="Times New Roman" w:hAnsi="Times New Roman" w:cs="Times New Roman"/>
                <w:color w:val="000000"/>
                <w:lang w:val="en-GB" w:eastAsia="da-DK"/>
              </w:rPr>
            </w:pP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Medium areas</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-30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-59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-95 </w:t>
            </w:r>
          </w:p>
        </w:tc>
        <w:tc>
          <w:tcPr>
            <w:tcW w:w="960"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-54 </w:t>
            </w:r>
          </w:p>
        </w:tc>
        <w:tc>
          <w:tcPr>
            <w:tcW w:w="1157" w:type="dxa"/>
            <w:tcBorders>
              <w:top w:val="nil"/>
              <w:left w:val="nil"/>
              <w:bottom w:val="nil"/>
              <w:right w:val="nil"/>
            </w:tcBorders>
            <w:shd w:val="clear" w:color="auto" w:fill="auto"/>
            <w:noWrap/>
            <w:vAlign w:val="bottom"/>
            <w:hideMark/>
          </w:tcPr>
          <w:p w:rsidR="00C869EC" w:rsidRPr="00F10F30" w:rsidRDefault="00C869EC" w:rsidP="00F10F30">
            <w:pPr>
              <w:spacing w:after="0" w:line="240" w:lineRule="auto"/>
              <w:rPr>
                <w:rFonts w:ascii="Times New Roman" w:eastAsia="Times New Roman" w:hAnsi="Times New Roman" w:cs="Times New Roman"/>
                <w:color w:val="000000"/>
                <w:lang w:val="en-GB" w:eastAsia="da-DK"/>
              </w:rPr>
            </w:pPr>
          </w:p>
        </w:tc>
      </w:tr>
      <w:tr w:rsidR="00C869EC" w:rsidRPr="00F10F30" w:rsidTr="00E6506C">
        <w:trPr>
          <w:trHeight w:val="300"/>
          <w:jc w:val="center"/>
        </w:trPr>
        <w:tc>
          <w:tcPr>
            <w:tcW w:w="1840" w:type="dxa"/>
            <w:tcBorders>
              <w:top w:val="nil"/>
              <w:left w:val="nil"/>
              <w:bottom w:val="nil"/>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Fringe areas</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-20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-59 </w:t>
            </w:r>
          </w:p>
        </w:tc>
        <w:tc>
          <w:tcPr>
            <w:tcW w:w="1096"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-91 </w:t>
            </w:r>
          </w:p>
        </w:tc>
        <w:tc>
          <w:tcPr>
            <w:tcW w:w="960" w:type="dxa"/>
            <w:tcBorders>
              <w:top w:val="nil"/>
              <w:left w:val="nil"/>
              <w:bottom w:val="nil"/>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-48 </w:t>
            </w:r>
          </w:p>
        </w:tc>
        <w:tc>
          <w:tcPr>
            <w:tcW w:w="1157" w:type="dxa"/>
            <w:tcBorders>
              <w:top w:val="nil"/>
              <w:left w:val="nil"/>
              <w:bottom w:val="nil"/>
              <w:right w:val="nil"/>
            </w:tcBorders>
            <w:shd w:val="clear" w:color="auto" w:fill="auto"/>
            <w:noWrap/>
            <w:vAlign w:val="bottom"/>
            <w:hideMark/>
          </w:tcPr>
          <w:p w:rsidR="00C869EC" w:rsidRPr="00F10F30" w:rsidRDefault="00C869EC" w:rsidP="00F10F30">
            <w:pPr>
              <w:spacing w:after="0" w:line="240" w:lineRule="auto"/>
              <w:rPr>
                <w:rFonts w:ascii="Times New Roman" w:eastAsia="Times New Roman" w:hAnsi="Times New Roman" w:cs="Times New Roman"/>
                <w:color w:val="000000"/>
                <w:lang w:val="en-GB" w:eastAsia="da-DK"/>
              </w:rPr>
            </w:pPr>
          </w:p>
        </w:tc>
      </w:tr>
      <w:tr w:rsidR="00C869EC" w:rsidRPr="00F10F30" w:rsidTr="00E6506C">
        <w:trPr>
          <w:trHeight w:val="300"/>
          <w:jc w:val="center"/>
        </w:trPr>
        <w:tc>
          <w:tcPr>
            <w:tcW w:w="1840" w:type="dxa"/>
            <w:tcBorders>
              <w:top w:val="nil"/>
              <w:left w:val="nil"/>
              <w:bottom w:val="single" w:sz="4" w:space="0" w:color="auto"/>
              <w:right w:val="nil"/>
            </w:tcBorders>
            <w:shd w:val="clear" w:color="auto" w:fill="auto"/>
            <w:vAlign w:val="center"/>
            <w:hideMark/>
          </w:tcPr>
          <w:p w:rsidR="00C869EC" w:rsidRPr="00F10F30" w:rsidRDefault="00C869EC"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Islands</w:t>
            </w:r>
          </w:p>
        </w:tc>
        <w:tc>
          <w:tcPr>
            <w:tcW w:w="1096" w:type="dxa"/>
            <w:tcBorders>
              <w:top w:val="nil"/>
              <w:left w:val="nil"/>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-55 </w:t>
            </w:r>
          </w:p>
        </w:tc>
        <w:tc>
          <w:tcPr>
            <w:tcW w:w="1096" w:type="dxa"/>
            <w:tcBorders>
              <w:top w:val="nil"/>
              <w:left w:val="nil"/>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-70 </w:t>
            </w:r>
          </w:p>
        </w:tc>
        <w:tc>
          <w:tcPr>
            <w:tcW w:w="1096" w:type="dxa"/>
            <w:tcBorders>
              <w:top w:val="nil"/>
              <w:left w:val="nil"/>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-100 </w:t>
            </w:r>
          </w:p>
        </w:tc>
        <w:tc>
          <w:tcPr>
            <w:tcW w:w="960" w:type="dxa"/>
            <w:tcBorders>
              <w:top w:val="nil"/>
              <w:left w:val="nil"/>
              <w:bottom w:val="single" w:sz="4" w:space="0" w:color="auto"/>
              <w:right w:val="nil"/>
            </w:tcBorders>
            <w:shd w:val="clear" w:color="auto" w:fill="auto"/>
            <w:noWrap/>
            <w:vAlign w:val="center"/>
            <w:hideMark/>
          </w:tcPr>
          <w:p w:rsidR="00C869EC" w:rsidRPr="00F10F30" w:rsidRDefault="00C869EC"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-70 </w:t>
            </w:r>
          </w:p>
        </w:tc>
        <w:tc>
          <w:tcPr>
            <w:tcW w:w="1157" w:type="dxa"/>
            <w:tcBorders>
              <w:top w:val="nil"/>
              <w:left w:val="nil"/>
              <w:bottom w:val="single" w:sz="4" w:space="0" w:color="auto"/>
              <w:right w:val="nil"/>
            </w:tcBorders>
            <w:shd w:val="clear" w:color="auto" w:fill="auto"/>
            <w:noWrap/>
            <w:vAlign w:val="bottom"/>
            <w:hideMark/>
          </w:tcPr>
          <w:p w:rsidR="00C869EC" w:rsidRPr="00F10F30" w:rsidRDefault="00C869EC" w:rsidP="00F10F30">
            <w:pPr>
              <w:spacing w:after="0" w:line="240" w:lineRule="auto"/>
              <w:rPr>
                <w:rFonts w:ascii="Times New Roman" w:eastAsia="Times New Roman" w:hAnsi="Times New Roman" w:cs="Times New Roman"/>
                <w:color w:val="000000"/>
                <w:lang w:val="en-GB" w:eastAsia="da-DK"/>
              </w:rPr>
            </w:pPr>
            <w:r w:rsidRPr="00F10F30">
              <w:rPr>
                <w:rFonts w:ascii="Times New Roman" w:eastAsia="Times New Roman" w:hAnsi="Times New Roman" w:cs="Times New Roman"/>
                <w:color w:val="000000"/>
                <w:lang w:val="en-GB" w:eastAsia="da-DK"/>
              </w:rPr>
              <w:t> </w:t>
            </w:r>
          </w:p>
        </w:tc>
      </w:tr>
    </w:tbl>
    <w:p w:rsidR="00C869EC" w:rsidRPr="00F10F30" w:rsidRDefault="00C869EC" w:rsidP="00F10F30">
      <w:pPr>
        <w:spacing w:after="0"/>
        <w:rPr>
          <w:rFonts w:ascii="Times New Roman" w:hAnsi="Times New Roman" w:cs="Times New Roman"/>
          <w:color w:val="000000"/>
          <w:lang w:val="en-GB"/>
        </w:rPr>
      </w:pPr>
    </w:p>
    <w:p w:rsidR="00C869EC" w:rsidRDefault="00C869EC" w:rsidP="00F10F30">
      <w:pPr>
        <w:spacing w:after="0"/>
        <w:rPr>
          <w:rFonts w:ascii="Times New Roman" w:hAnsi="Times New Roman" w:cs="Times New Roman"/>
          <w:color w:val="000000"/>
          <w:lang w:val="en-GB"/>
        </w:rPr>
      </w:pPr>
      <w:r w:rsidRPr="00F10F30">
        <w:rPr>
          <w:rFonts w:ascii="Times New Roman" w:hAnsi="Times New Roman" w:cs="Times New Roman"/>
          <w:color w:val="000000"/>
          <w:lang w:val="en-GB"/>
        </w:rPr>
        <w:t xml:space="preserve">Especially higher education is concentrated in the larger cities in the growth areas. Much education is found in the Copenhagen area, but </w:t>
      </w:r>
      <w:r w:rsidR="00872086" w:rsidRPr="00F10F30">
        <w:rPr>
          <w:rFonts w:ascii="Times New Roman" w:hAnsi="Times New Roman" w:cs="Times New Roman"/>
          <w:color w:val="000000"/>
          <w:lang w:val="en-GB"/>
        </w:rPr>
        <w:t xml:space="preserve">compared to the number of young people in the area </w:t>
      </w:r>
      <w:r w:rsidRPr="00F10F30">
        <w:rPr>
          <w:rFonts w:ascii="Times New Roman" w:hAnsi="Times New Roman" w:cs="Times New Roman"/>
          <w:color w:val="000000"/>
          <w:lang w:val="en-GB"/>
        </w:rPr>
        <w:t xml:space="preserve">the concentration is highest in the growth areas in the provinces, especially around Aarhus, Odense and Aalborg, where universities also </w:t>
      </w:r>
      <w:r w:rsidRPr="00F10F30">
        <w:rPr>
          <w:rFonts w:ascii="Times New Roman" w:hAnsi="Times New Roman" w:cs="Times New Roman"/>
          <w:color w:val="000000"/>
          <w:lang w:val="en-GB"/>
        </w:rPr>
        <w:lastRenderedPageBreak/>
        <w:t xml:space="preserve">are located. Fringe areas are not much worse </w:t>
      </w:r>
      <w:r w:rsidR="00707A4B" w:rsidRPr="00F10F30">
        <w:rPr>
          <w:rFonts w:ascii="Times New Roman" w:hAnsi="Times New Roman" w:cs="Times New Roman"/>
          <w:color w:val="000000"/>
          <w:lang w:val="en-GB"/>
        </w:rPr>
        <w:t xml:space="preserve">supplied than the medium areas, but these municipalities are located </w:t>
      </w:r>
      <w:r w:rsidR="00872086" w:rsidRPr="00F10F30">
        <w:rPr>
          <w:rFonts w:ascii="Times New Roman" w:hAnsi="Times New Roman" w:cs="Times New Roman"/>
          <w:color w:val="000000"/>
          <w:lang w:val="en-GB"/>
        </w:rPr>
        <w:t xml:space="preserve">much </w:t>
      </w:r>
      <w:r w:rsidR="00707A4B" w:rsidRPr="00F10F30">
        <w:rPr>
          <w:rFonts w:ascii="Times New Roman" w:hAnsi="Times New Roman" w:cs="Times New Roman"/>
          <w:color w:val="000000"/>
          <w:lang w:val="en-GB"/>
        </w:rPr>
        <w:t>closer to the growth areas. Worst off are the Islands where very few educational institutions are found, and they are also locate</w:t>
      </w:r>
      <w:r w:rsidR="006E6245">
        <w:rPr>
          <w:rFonts w:ascii="Times New Roman" w:hAnsi="Times New Roman" w:cs="Times New Roman"/>
          <w:color w:val="000000"/>
          <w:lang w:val="en-GB"/>
        </w:rPr>
        <w:t>d furthest away from the growth</w:t>
      </w:r>
      <w:r w:rsidR="00707A4B" w:rsidRPr="00F10F30">
        <w:rPr>
          <w:rFonts w:ascii="Times New Roman" w:hAnsi="Times New Roman" w:cs="Times New Roman"/>
          <w:color w:val="000000"/>
          <w:lang w:val="en-GB"/>
        </w:rPr>
        <w:t xml:space="preserve"> centres.</w:t>
      </w:r>
    </w:p>
    <w:p w:rsidR="00F10F30" w:rsidRPr="00F10F30" w:rsidRDefault="00F10F30" w:rsidP="00F10F30">
      <w:pPr>
        <w:spacing w:after="0"/>
        <w:rPr>
          <w:rFonts w:ascii="Times New Roman" w:hAnsi="Times New Roman" w:cs="Times New Roman"/>
          <w:color w:val="000000"/>
          <w:lang w:val="en-GB"/>
        </w:rPr>
      </w:pPr>
    </w:p>
    <w:p w:rsidR="00987BAD" w:rsidRDefault="00987BAD" w:rsidP="00F10F30">
      <w:pPr>
        <w:spacing w:after="0"/>
        <w:rPr>
          <w:rFonts w:ascii="Times New Roman" w:hAnsi="Times New Roman" w:cs="Times New Roman"/>
          <w:color w:val="000000"/>
          <w:lang w:val="en-GB"/>
        </w:rPr>
      </w:pPr>
      <w:r w:rsidRPr="00F10F30">
        <w:rPr>
          <w:rFonts w:ascii="Times New Roman" w:hAnsi="Times New Roman" w:cs="Times New Roman"/>
          <w:color w:val="000000"/>
          <w:lang w:val="en-GB"/>
        </w:rPr>
        <w:t xml:space="preserve">The strong concentration of education in Denmark is partly a result of a development that </w:t>
      </w:r>
      <w:r w:rsidR="00872086" w:rsidRPr="00F10F30">
        <w:rPr>
          <w:rFonts w:ascii="Times New Roman" w:hAnsi="Times New Roman" w:cs="Times New Roman"/>
          <w:color w:val="000000"/>
          <w:lang w:val="en-GB"/>
        </w:rPr>
        <w:t>has</w:t>
      </w:r>
      <w:r w:rsidRPr="00F10F30">
        <w:rPr>
          <w:rFonts w:ascii="Times New Roman" w:hAnsi="Times New Roman" w:cs="Times New Roman"/>
          <w:color w:val="000000"/>
          <w:lang w:val="en-GB"/>
        </w:rPr>
        <w:t xml:space="preserve"> happened in the last 25 years. In </w:t>
      </w:r>
      <w:r w:rsidRPr="00F10F30">
        <w:rPr>
          <w:rFonts w:ascii="Times New Roman" w:hAnsi="Times New Roman" w:cs="Times New Roman"/>
          <w:color w:val="000000"/>
          <w:lang w:val="en-GB"/>
        </w:rPr>
        <w:fldChar w:fldCharType="begin"/>
      </w:r>
      <w:r w:rsidRPr="00F10F30">
        <w:rPr>
          <w:rFonts w:ascii="Times New Roman" w:hAnsi="Times New Roman" w:cs="Times New Roman"/>
          <w:color w:val="000000"/>
          <w:lang w:val="en-GB"/>
        </w:rPr>
        <w:instrText xml:space="preserve"> REF _Ref448755109 \h </w:instrText>
      </w:r>
      <w:r w:rsidR="00383E7E" w:rsidRPr="00F10F30">
        <w:rPr>
          <w:rFonts w:ascii="Times New Roman" w:hAnsi="Times New Roman" w:cs="Times New Roman"/>
          <w:color w:val="000000"/>
          <w:lang w:val="en-GB"/>
        </w:rPr>
        <w:instrText xml:space="preserve"> \* MERGEFORMAT </w:instrText>
      </w:r>
      <w:r w:rsidRPr="00F10F30">
        <w:rPr>
          <w:rFonts w:ascii="Times New Roman" w:hAnsi="Times New Roman" w:cs="Times New Roman"/>
          <w:color w:val="000000"/>
          <w:lang w:val="en-GB"/>
        </w:rPr>
      </w:r>
      <w:r w:rsidRPr="00F10F30">
        <w:rPr>
          <w:rFonts w:ascii="Times New Roman" w:hAnsi="Times New Roman" w:cs="Times New Roman"/>
          <w:color w:val="000000"/>
          <w:lang w:val="en-GB"/>
        </w:rPr>
        <w:fldChar w:fldCharType="separate"/>
      </w:r>
      <w:r w:rsidRPr="00F10F30">
        <w:rPr>
          <w:rFonts w:ascii="Times New Roman" w:hAnsi="Times New Roman" w:cs="Times New Roman"/>
          <w:lang w:val="en-GB"/>
        </w:rPr>
        <w:t xml:space="preserve">Table </w:t>
      </w:r>
      <w:r w:rsidRPr="00F10F30">
        <w:rPr>
          <w:rFonts w:ascii="Times New Roman" w:hAnsi="Times New Roman" w:cs="Times New Roman"/>
          <w:noProof/>
          <w:lang w:val="en-GB"/>
        </w:rPr>
        <w:t>3</w:t>
      </w:r>
      <w:r w:rsidRPr="00F10F30">
        <w:rPr>
          <w:rFonts w:ascii="Times New Roman" w:hAnsi="Times New Roman" w:cs="Times New Roman"/>
          <w:color w:val="000000"/>
          <w:lang w:val="en-GB"/>
        </w:rPr>
        <w:fldChar w:fldCharType="end"/>
      </w:r>
      <w:r w:rsidRPr="00F10F30">
        <w:rPr>
          <w:rFonts w:ascii="Times New Roman" w:hAnsi="Times New Roman" w:cs="Times New Roman"/>
          <w:color w:val="000000"/>
          <w:lang w:val="en-GB"/>
        </w:rPr>
        <w:t xml:space="preserve"> is shown the growth from 1990 to 2012 in the number of students at institutions located in in the different area types.</w:t>
      </w:r>
    </w:p>
    <w:p w:rsidR="00F10F30" w:rsidRPr="00F10F30" w:rsidRDefault="00F10F30" w:rsidP="00F10F30">
      <w:pPr>
        <w:spacing w:after="0"/>
        <w:rPr>
          <w:rFonts w:ascii="Times New Roman" w:hAnsi="Times New Roman" w:cs="Times New Roman"/>
          <w:color w:val="000000"/>
          <w:lang w:val="en-GB"/>
        </w:rPr>
      </w:pPr>
    </w:p>
    <w:p w:rsidR="00987BAD" w:rsidRPr="00F10F30" w:rsidRDefault="00987BAD" w:rsidP="00E6506C">
      <w:pPr>
        <w:pStyle w:val="Billedtekst"/>
        <w:spacing w:after="0"/>
        <w:jc w:val="center"/>
        <w:rPr>
          <w:rFonts w:ascii="Times New Roman" w:hAnsi="Times New Roman" w:cs="Times New Roman"/>
          <w:color w:val="auto"/>
          <w:sz w:val="20"/>
          <w:szCs w:val="20"/>
          <w:lang w:val="en-GB"/>
        </w:rPr>
      </w:pPr>
      <w:bookmarkStart w:id="5" w:name="_Ref448755109"/>
      <w:proofErr w:type="gramStart"/>
      <w:r w:rsidRPr="00F10F30">
        <w:rPr>
          <w:rFonts w:ascii="Times New Roman" w:hAnsi="Times New Roman" w:cs="Times New Roman"/>
          <w:color w:val="auto"/>
          <w:sz w:val="20"/>
          <w:szCs w:val="20"/>
          <w:lang w:val="en-GB"/>
        </w:rPr>
        <w:t xml:space="preserve">Table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Table \* ARABIC </w:instrText>
      </w:r>
      <w:r w:rsidRPr="00F10F30">
        <w:rPr>
          <w:rFonts w:ascii="Times New Roman" w:hAnsi="Times New Roman" w:cs="Times New Roman"/>
          <w:color w:val="auto"/>
          <w:sz w:val="20"/>
          <w:szCs w:val="20"/>
        </w:rPr>
        <w:fldChar w:fldCharType="separate"/>
      </w:r>
      <w:r w:rsidR="007C7B3C" w:rsidRPr="00F10F30">
        <w:rPr>
          <w:rFonts w:ascii="Times New Roman" w:hAnsi="Times New Roman" w:cs="Times New Roman"/>
          <w:noProof/>
          <w:color w:val="auto"/>
          <w:sz w:val="20"/>
          <w:szCs w:val="20"/>
          <w:lang w:val="en-GB"/>
        </w:rPr>
        <w:t>3</w:t>
      </w:r>
      <w:r w:rsidRPr="00F10F30">
        <w:rPr>
          <w:rFonts w:ascii="Times New Roman" w:hAnsi="Times New Roman" w:cs="Times New Roman"/>
          <w:color w:val="auto"/>
          <w:sz w:val="20"/>
          <w:szCs w:val="20"/>
        </w:rPr>
        <w:fldChar w:fldCharType="end"/>
      </w:r>
      <w:bookmarkEnd w:id="5"/>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Growth in educational capacity in area types 1990-2012 (%)</w:t>
      </w:r>
    </w:p>
    <w:tbl>
      <w:tblPr>
        <w:tblW w:w="5738" w:type="dxa"/>
        <w:jc w:val="center"/>
        <w:tblInd w:w="55" w:type="dxa"/>
        <w:tblCellMar>
          <w:left w:w="70" w:type="dxa"/>
          <w:right w:w="70" w:type="dxa"/>
        </w:tblCellMar>
        <w:tblLook w:val="04A0" w:firstRow="1" w:lastRow="0" w:firstColumn="1" w:lastColumn="0" w:noHBand="0" w:noVBand="1"/>
      </w:tblPr>
      <w:tblGrid>
        <w:gridCol w:w="1840"/>
        <w:gridCol w:w="1152"/>
        <w:gridCol w:w="992"/>
        <w:gridCol w:w="993"/>
        <w:gridCol w:w="761"/>
      </w:tblGrid>
      <w:tr w:rsidR="00987BAD" w:rsidRPr="00F10F30" w:rsidTr="00E6506C">
        <w:trPr>
          <w:trHeight w:val="300"/>
          <w:jc w:val="center"/>
        </w:trPr>
        <w:tc>
          <w:tcPr>
            <w:tcW w:w="1840" w:type="dxa"/>
            <w:tcBorders>
              <w:top w:val="single" w:sz="4" w:space="0" w:color="auto"/>
              <w:left w:val="nil"/>
              <w:bottom w:val="single" w:sz="4" w:space="0" w:color="auto"/>
              <w:right w:val="nil"/>
            </w:tcBorders>
            <w:shd w:val="clear" w:color="auto" w:fill="auto"/>
            <w:noWrap/>
            <w:vAlign w:val="bottom"/>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w:t>
            </w:r>
          </w:p>
        </w:tc>
        <w:tc>
          <w:tcPr>
            <w:tcW w:w="1152" w:type="dxa"/>
            <w:tcBorders>
              <w:top w:val="single" w:sz="4" w:space="0" w:color="auto"/>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Vocational training etc.</w:t>
            </w:r>
          </w:p>
        </w:tc>
        <w:tc>
          <w:tcPr>
            <w:tcW w:w="992" w:type="dxa"/>
            <w:tcBorders>
              <w:top w:val="single" w:sz="4" w:space="0" w:color="auto"/>
              <w:left w:val="nil"/>
              <w:bottom w:val="single" w:sz="4" w:space="0" w:color="auto"/>
              <w:right w:val="nil"/>
            </w:tcBorders>
            <w:shd w:val="clear" w:color="auto" w:fill="auto"/>
            <w:noWrap/>
            <w:vAlign w:val="center"/>
            <w:hideMark/>
          </w:tcPr>
          <w:p w:rsidR="00987BAD" w:rsidRPr="00F10F30" w:rsidRDefault="003E3C79"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Medium term</w:t>
            </w:r>
          </w:p>
        </w:tc>
        <w:tc>
          <w:tcPr>
            <w:tcW w:w="993" w:type="dxa"/>
            <w:tcBorders>
              <w:top w:val="single" w:sz="4" w:space="0" w:color="auto"/>
              <w:left w:val="nil"/>
              <w:bottom w:val="single" w:sz="4" w:space="0" w:color="auto"/>
              <w:right w:val="nil"/>
            </w:tcBorders>
            <w:shd w:val="clear" w:color="auto" w:fill="auto"/>
            <w:noWrap/>
            <w:vAlign w:val="bottom"/>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Higher education</w:t>
            </w:r>
          </w:p>
        </w:tc>
        <w:tc>
          <w:tcPr>
            <w:tcW w:w="761" w:type="dxa"/>
            <w:tcBorders>
              <w:top w:val="single" w:sz="4" w:space="0" w:color="auto"/>
              <w:left w:val="nil"/>
              <w:bottom w:val="single" w:sz="4" w:space="0" w:color="auto"/>
              <w:right w:val="nil"/>
            </w:tcBorders>
            <w:shd w:val="clear" w:color="auto" w:fill="auto"/>
            <w:noWrap/>
            <w:vAlign w:val="bottom"/>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Total</w:t>
            </w:r>
          </w:p>
        </w:tc>
      </w:tr>
      <w:tr w:rsidR="00987BAD" w:rsidRPr="00F10F30" w:rsidTr="00E6506C">
        <w:trPr>
          <w:trHeight w:val="300"/>
          <w:jc w:val="center"/>
        </w:trPr>
        <w:tc>
          <w:tcPr>
            <w:tcW w:w="1840" w:type="dxa"/>
            <w:tcBorders>
              <w:top w:val="nil"/>
              <w:left w:val="nil"/>
              <w:bottom w:val="nil"/>
              <w:right w:val="nil"/>
            </w:tcBorders>
            <w:shd w:val="clear" w:color="auto" w:fill="auto"/>
            <w:noWrap/>
            <w:vAlign w:val="bottom"/>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w:t>
            </w:r>
          </w:p>
        </w:tc>
        <w:tc>
          <w:tcPr>
            <w:tcW w:w="3898" w:type="dxa"/>
            <w:gridSpan w:val="4"/>
            <w:tcBorders>
              <w:top w:val="single" w:sz="4" w:space="0" w:color="auto"/>
              <w:left w:val="nil"/>
              <w:bottom w:val="nil"/>
              <w:right w:val="nil"/>
            </w:tcBorders>
            <w:shd w:val="clear" w:color="auto" w:fill="auto"/>
            <w:noWrap/>
            <w:vAlign w:val="center"/>
            <w:hideMark/>
          </w:tcPr>
          <w:p w:rsidR="00987BAD" w:rsidRPr="00F10F30" w:rsidRDefault="00987BAD" w:rsidP="00F10F30">
            <w:pPr>
              <w:spacing w:after="0" w:line="240" w:lineRule="auto"/>
              <w:jc w:val="center"/>
              <w:rPr>
                <w:rFonts w:ascii="Times New Roman" w:eastAsia="Times New Roman" w:hAnsi="Times New Roman" w:cs="Times New Roman"/>
                <w:b/>
                <w:color w:val="000000"/>
                <w:sz w:val="20"/>
                <w:szCs w:val="20"/>
                <w:lang w:val="en-GB" w:eastAsia="da-DK"/>
              </w:rPr>
            </w:pPr>
            <w:r w:rsidRPr="00F10F30">
              <w:rPr>
                <w:rFonts w:ascii="Times New Roman" w:eastAsia="Times New Roman" w:hAnsi="Times New Roman" w:cs="Times New Roman"/>
                <w:b/>
                <w:color w:val="000000"/>
                <w:sz w:val="20"/>
                <w:szCs w:val="20"/>
                <w:lang w:val="en-GB" w:eastAsia="da-DK"/>
              </w:rPr>
              <w:t>Growth 1990-2012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Copenhagen area</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24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81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46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41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Other growth areas</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46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99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105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76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Medium areas</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24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85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47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34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Fringe areas</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-10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39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15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-3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Islands</w:t>
            </w:r>
          </w:p>
        </w:tc>
        <w:tc>
          <w:tcPr>
            <w:tcW w:w="1152"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-3 </w:t>
            </w:r>
          </w:p>
        </w:tc>
        <w:tc>
          <w:tcPr>
            <w:tcW w:w="992"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132 </w:t>
            </w:r>
          </w:p>
        </w:tc>
        <w:tc>
          <w:tcPr>
            <w:tcW w:w="993"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0 </w:t>
            </w:r>
          </w:p>
        </w:tc>
        <w:tc>
          <w:tcPr>
            <w:tcW w:w="761"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11 </w:t>
            </w:r>
          </w:p>
        </w:tc>
      </w:tr>
      <w:tr w:rsidR="00987BAD" w:rsidRPr="00F10F30" w:rsidTr="00E6506C">
        <w:trPr>
          <w:trHeight w:val="300"/>
          <w:jc w:val="center"/>
        </w:trPr>
        <w:tc>
          <w:tcPr>
            <w:tcW w:w="1840" w:type="dxa"/>
            <w:tcBorders>
              <w:top w:val="single" w:sz="4" w:space="0" w:color="auto"/>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w:t>
            </w:r>
          </w:p>
        </w:tc>
        <w:tc>
          <w:tcPr>
            <w:tcW w:w="3898" w:type="dxa"/>
            <w:gridSpan w:val="4"/>
            <w:tcBorders>
              <w:top w:val="single" w:sz="4" w:space="0" w:color="auto"/>
              <w:left w:val="nil"/>
              <w:bottom w:val="nil"/>
              <w:right w:val="nil"/>
            </w:tcBorders>
            <w:shd w:val="clear" w:color="auto" w:fill="auto"/>
            <w:noWrap/>
            <w:vAlign w:val="center"/>
            <w:hideMark/>
          </w:tcPr>
          <w:p w:rsidR="00987BAD" w:rsidRPr="00F10F30" w:rsidRDefault="00987BAD" w:rsidP="00F10F30">
            <w:pPr>
              <w:spacing w:after="0" w:line="240" w:lineRule="auto"/>
              <w:jc w:val="center"/>
              <w:rPr>
                <w:rFonts w:ascii="Times New Roman" w:eastAsia="Times New Roman" w:hAnsi="Times New Roman" w:cs="Times New Roman"/>
                <w:b/>
                <w:color w:val="000000"/>
                <w:sz w:val="20"/>
                <w:szCs w:val="20"/>
                <w:lang w:val="en-GB" w:eastAsia="da-DK"/>
              </w:rPr>
            </w:pPr>
            <w:r w:rsidRPr="00F10F30">
              <w:rPr>
                <w:rFonts w:ascii="Times New Roman" w:eastAsia="Times New Roman" w:hAnsi="Times New Roman" w:cs="Times New Roman"/>
                <w:b/>
                <w:color w:val="000000"/>
                <w:sz w:val="20"/>
                <w:szCs w:val="20"/>
                <w:lang w:val="en-GB" w:eastAsia="da-DK"/>
              </w:rPr>
              <w:t>Deviation from average growth</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Copenhagen area</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-1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-5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-31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-7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Other growth areas</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21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14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28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29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Medium areas</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-1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-1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-30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-14 </w:t>
            </w:r>
          </w:p>
        </w:tc>
      </w:tr>
      <w:tr w:rsidR="00987BAD" w:rsidRPr="00F10F30" w:rsidTr="00E6506C">
        <w:trPr>
          <w:trHeight w:val="300"/>
          <w:jc w:val="center"/>
        </w:trPr>
        <w:tc>
          <w:tcPr>
            <w:tcW w:w="1840" w:type="dxa"/>
            <w:tcBorders>
              <w:top w:val="nil"/>
              <w:left w:val="nil"/>
              <w:bottom w:val="nil"/>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Fringe areas</w:t>
            </w:r>
          </w:p>
        </w:tc>
        <w:tc>
          <w:tcPr>
            <w:tcW w:w="115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-35 </w:t>
            </w:r>
          </w:p>
        </w:tc>
        <w:tc>
          <w:tcPr>
            <w:tcW w:w="992"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-47 </w:t>
            </w:r>
          </w:p>
        </w:tc>
        <w:tc>
          <w:tcPr>
            <w:tcW w:w="993"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-62 </w:t>
            </w:r>
          </w:p>
        </w:tc>
        <w:tc>
          <w:tcPr>
            <w:tcW w:w="761" w:type="dxa"/>
            <w:tcBorders>
              <w:top w:val="nil"/>
              <w:left w:val="nil"/>
              <w:bottom w:val="nil"/>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-50 </w:t>
            </w:r>
          </w:p>
        </w:tc>
      </w:tr>
      <w:tr w:rsidR="00987BAD" w:rsidRPr="00F10F30" w:rsidTr="00E6506C">
        <w:trPr>
          <w:trHeight w:val="300"/>
          <w:jc w:val="center"/>
        </w:trPr>
        <w:tc>
          <w:tcPr>
            <w:tcW w:w="1840" w:type="dxa"/>
            <w:tcBorders>
              <w:top w:val="nil"/>
              <w:left w:val="nil"/>
              <w:bottom w:val="single" w:sz="4" w:space="0" w:color="auto"/>
              <w:right w:val="nil"/>
            </w:tcBorders>
            <w:shd w:val="clear" w:color="auto" w:fill="auto"/>
            <w:vAlign w:val="center"/>
            <w:hideMark/>
          </w:tcPr>
          <w:p w:rsidR="00987BAD" w:rsidRPr="00F10F30" w:rsidRDefault="00987BAD" w:rsidP="00F10F30">
            <w:pPr>
              <w:spacing w:after="0" w:line="240" w:lineRule="auto"/>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Islands</w:t>
            </w:r>
          </w:p>
        </w:tc>
        <w:tc>
          <w:tcPr>
            <w:tcW w:w="1152"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-29 </w:t>
            </w:r>
          </w:p>
        </w:tc>
        <w:tc>
          <w:tcPr>
            <w:tcW w:w="992"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000000"/>
                <w:sz w:val="20"/>
                <w:szCs w:val="20"/>
                <w:lang w:val="en-GB" w:eastAsia="da-DK"/>
              </w:rPr>
              <w:t xml:space="preserve">47 </w:t>
            </w:r>
          </w:p>
        </w:tc>
        <w:tc>
          <w:tcPr>
            <w:tcW w:w="993"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-77 </w:t>
            </w:r>
          </w:p>
        </w:tc>
        <w:tc>
          <w:tcPr>
            <w:tcW w:w="761" w:type="dxa"/>
            <w:tcBorders>
              <w:top w:val="nil"/>
              <w:left w:val="nil"/>
              <w:bottom w:val="single" w:sz="4" w:space="0" w:color="auto"/>
              <w:right w:val="nil"/>
            </w:tcBorders>
            <w:shd w:val="clear" w:color="auto" w:fill="auto"/>
            <w:noWrap/>
            <w:vAlign w:val="center"/>
            <w:hideMark/>
          </w:tcPr>
          <w:p w:rsidR="00987BAD" w:rsidRPr="00F10F30" w:rsidRDefault="00987BAD" w:rsidP="00F10F30">
            <w:pPr>
              <w:spacing w:after="0" w:line="240" w:lineRule="auto"/>
              <w:jc w:val="right"/>
              <w:rPr>
                <w:rFonts w:ascii="Times New Roman" w:eastAsia="Times New Roman" w:hAnsi="Times New Roman" w:cs="Times New Roman"/>
                <w:color w:val="000000"/>
                <w:sz w:val="20"/>
                <w:szCs w:val="20"/>
                <w:lang w:val="en-GB" w:eastAsia="da-DK"/>
              </w:rPr>
            </w:pPr>
            <w:r w:rsidRPr="00F10F30">
              <w:rPr>
                <w:rFonts w:ascii="Times New Roman" w:eastAsia="Times New Roman" w:hAnsi="Times New Roman" w:cs="Times New Roman"/>
                <w:color w:val="FF0000"/>
                <w:sz w:val="20"/>
                <w:szCs w:val="20"/>
                <w:lang w:val="en-GB" w:eastAsia="da-DK"/>
              </w:rPr>
              <w:t xml:space="preserve">-36 </w:t>
            </w:r>
          </w:p>
        </w:tc>
      </w:tr>
    </w:tbl>
    <w:p w:rsidR="00987BAD" w:rsidRPr="00F10F30" w:rsidRDefault="00987BAD" w:rsidP="00F10F30">
      <w:pPr>
        <w:spacing w:after="0"/>
        <w:rPr>
          <w:rFonts w:ascii="Times New Roman" w:hAnsi="Times New Roman" w:cs="Times New Roman"/>
          <w:color w:val="000000"/>
          <w:lang w:val="en-GB"/>
        </w:rPr>
      </w:pPr>
    </w:p>
    <w:p w:rsidR="00987BAD" w:rsidRDefault="00987BAD" w:rsidP="00F10F30">
      <w:pPr>
        <w:spacing w:after="0"/>
        <w:rPr>
          <w:rFonts w:ascii="Times New Roman" w:hAnsi="Times New Roman" w:cs="Times New Roman"/>
          <w:color w:val="000000"/>
          <w:lang w:val="en-GB"/>
        </w:rPr>
      </w:pPr>
      <w:r w:rsidRPr="00F10F30">
        <w:rPr>
          <w:rFonts w:ascii="Times New Roman" w:hAnsi="Times New Roman" w:cs="Times New Roman"/>
          <w:color w:val="000000"/>
          <w:lang w:val="en-GB"/>
        </w:rPr>
        <w:t xml:space="preserve">The growth has been quite uneven. The growth areas outside Copenhagen have </w:t>
      </w:r>
      <w:r w:rsidR="00872086" w:rsidRPr="00F10F30">
        <w:rPr>
          <w:rFonts w:ascii="Times New Roman" w:hAnsi="Times New Roman" w:cs="Times New Roman"/>
          <w:color w:val="000000"/>
          <w:lang w:val="en-GB"/>
        </w:rPr>
        <w:t>got</w:t>
      </w:r>
      <w:r w:rsidRPr="00F10F30">
        <w:rPr>
          <w:rFonts w:ascii="Times New Roman" w:hAnsi="Times New Roman" w:cs="Times New Roman"/>
          <w:color w:val="000000"/>
          <w:lang w:val="en-GB"/>
        </w:rPr>
        <w:t xml:space="preserve"> the largest part of the increase in educational capacity while Copenhagen has been stagnating. Fringe areas have been much disadvantaged.</w:t>
      </w:r>
    </w:p>
    <w:p w:rsidR="00F10F30" w:rsidRPr="00F10F30" w:rsidRDefault="00F10F30" w:rsidP="00F10F30">
      <w:pPr>
        <w:spacing w:after="0"/>
        <w:rPr>
          <w:rFonts w:ascii="Times New Roman" w:hAnsi="Times New Roman" w:cs="Times New Roman"/>
          <w:color w:val="000000"/>
          <w:lang w:val="en-GB"/>
        </w:rPr>
      </w:pPr>
    </w:p>
    <w:p w:rsidR="00BA5833" w:rsidRPr="00F10F30" w:rsidRDefault="00857078"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t>Outmigration of young people fr</w:t>
      </w:r>
      <w:r w:rsidR="0033570F">
        <w:rPr>
          <w:rFonts w:ascii="Times New Roman" w:hAnsi="Times New Roman" w:cs="Times New Roman"/>
          <w:b/>
          <w:sz w:val="24"/>
          <w:szCs w:val="24"/>
          <w:lang w:val="en-GB"/>
        </w:rPr>
        <w:t>om fringe areas in 1990 and 2011</w:t>
      </w:r>
      <w:r w:rsidR="006A072F" w:rsidRPr="00F10F30">
        <w:rPr>
          <w:rFonts w:ascii="Times New Roman" w:hAnsi="Times New Roman" w:cs="Times New Roman"/>
          <w:b/>
          <w:sz w:val="24"/>
          <w:szCs w:val="24"/>
          <w:lang w:val="en-GB"/>
        </w:rPr>
        <w:t xml:space="preserve"> in connection with start of education</w:t>
      </w:r>
      <w:r w:rsidR="00C56A52" w:rsidRPr="00F10F30">
        <w:rPr>
          <w:rFonts w:ascii="Times New Roman" w:hAnsi="Times New Roman" w:cs="Times New Roman"/>
          <w:b/>
          <w:sz w:val="24"/>
          <w:szCs w:val="24"/>
          <w:lang w:val="en-GB"/>
        </w:rPr>
        <w:t xml:space="preserve"> </w:t>
      </w:r>
      <w:r w:rsidR="00C56A52" w:rsidRPr="00F10F30">
        <w:rPr>
          <w:rFonts w:ascii="Times New Roman" w:hAnsi="Times New Roman" w:cs="Times New Roman"/>
          <w:b/>
          <w:color w:val="000000"/>
          <w:sz w:val="24"/>
          <w:szCs w:val="24"/>
          <w:lang w:val="en-GB"/>
        </w:rPr>
        <w:t>providing a formal qualification</w:t>
      </w:r>
    </w:p>
    <w:p w:rsidR="00F10F30" w:rsidRDefault="00F10F30" w:rsidP="00F10F30">
      <w:pPr>
        <w:spacing w:after="0"/>
        <w:rPr>
          <w:rFonts w:ascii="Times New Roman" w:hAnsi="Times New Roman" w:cs="Times New Roman"/>
          <w:lang w:val="en-GB"/>
        </w:rPr>
      </w:pPr>
    </w:p>
    <w:p w:rsidR="006A072F" w:rsidRPr="00F10F30" w:rsidRDefault="006A072F" w:rsidP="00F10F30">
      <w:pPr>
        <w:spacing w:after="0"/>
        <w:rPr>
          <w:rFonts w:ascii="Times New Roman" w:hAnsi="Times New Roman" w:cs="Times New Roman"/>
          <w:lang w:val="en-GB"/>
        </w:rPr>
      </w:pPr>
      <w:r w:rsidRPr="00F10F30">
        <w:rPr>
          <w:rFonts w:ascii="Times New Roman" w:hAnsi="Times New Roman" w:cs="Times New Roman"/>
          <w:lang w:val="en-GB"/>
        </w:rPr>
        <w:t xml:space="preserve">As a result of the uneven geographical distribution of educational institutions young people in fringe areas more often have to move from their home municipality when they want to obtain education. In </w:t>
      </w:r>
      <w:r w:rsidRPr="00F10F30">
        <w:rPr>
          <w:rFonts w:ascii="Times New Roman" w:hAnsi="Times New Roman" w:cs="Times New Roman"/>
          <w:lang w:val="en-GB"/>
        </w:rPr>
        <w:fldChar w:fldCharType="begin"/>
      </w:r>
      <w:r w:rsidRPr="00F10F30">
        <w:rPr>
          <w:rFonts w:ascii="Times New Roman" w:hAnsi="Times New Roman" w:cs="Times New Roman"/>
          <w:lang w:val="en-GB"/>
        </w:rPr>
        <w:instrText xml:space="preserve"> REF _Ref448833437 \h </w:instrText>
      </w:r>
      <w:r w:rsidR="00383E7E" w:rsidRPr="00F10F30">
        <w:rPr>
          <w:rFonts w:ascii="Times New Roman" w:hAnsi="Times New Roman" w:cs="Times New Roman"/>
          <w:lang w:val="en-GB"/>
        </w:rPr>
        <w:instrText xml:space="preserve"> \* MERGEFORMAT </w:instrText>
      </w:r>
      <w:r w:rsidRPr="00F10F30">
        <w:rPr>
          <w:rFonts w:ascii="Times New Roman" w:hAnsi="Times New Roman" w:cs="Times New Roman"/>
          <w:lang w:val="en-GB"/>
        </w:rPr>
      </w:r>
      <w:r w:rsidRPr="00F10F30">
        <w:rPr>
          <w:rFonts w:ascii="Times New Roman" w:hAnsi="Times New Roman" w:cs="Times New Roman"/>
          <w:lang w:val="en-GB"/>
        </w:rPr>
        <w:fldChar w:fldCharType="separate"/>
      </w:r>
      <w:r w:rsidRPr="00F10F30">
        <w:rPr>
          <w:rFonts w:ascii="Times New Roman" w:hAnsi="Times New Roman" w:cs="Times New Roman"/>
          <w:lang w:val="en-GB"/>
        </w:rPr>
        <w:t xml:space="preserve">Figure </w:t>
      </w:r>
      <w:r w:rsidRPr="00F10F30">
        <w:rPr>
          <w:rFonts w:ascii="Times New Roman" w:hAnsi="Times New Roman" w:cs="Times New Roman"/>
          <w:noProof/>
          <w:lang w:val="en-GB"/>
        </w:rPr>
        <w:t>4</w:t>
      </w:r>
      <w:r w:rsidRPr="00F10F30">
        <w:rPr>
          <w:rFonts w:ascii="Times New Roman" w:hAnsi="Times New Roman" w:cs="Times New Roman"/>
          <w:lang w:val="en-GB"/>
        </w:rPr>
        <w:fldChar w:fldCharType="end"/>
      </w:r>
      <w:r w:rsidRPr="00F10F30">
        <w:rPr>
          <w:rFonts w:ascii="Times New Roman" w:hAnsi="Times New Roman" w:cs="Times New Roman"/>
          <w:lang w:val="en-GB"/>
        </w:rPr>
        <w:t xml:space="preserve"> is shown the proportion of people</w:t>
      </w:r>
      <w:r w:rsidR="00A60BF7" w:rsidRPr="00F10F30">
        <w:rPr>
          <w:rFonts w:ascii="Times New Roman" w:hAnsi="Times New Roman" w:cs="Times New Roman"/>
          <w:lang w:val="en-GB"/>
        </w:rPr>
        <w:t xml:space="preserve"> in the age of 17 to 39</w:t>
      </w:r>
      <w:r w:rsidRPr="00F10F30">
        <w:rPr>
          <w:rFonts w:ascii="Times New Roman" w:hAnsi="Times New Roman" w:cs="Times New Roman"/>
          <w:lang w:val="en-GB"/>
        </w:rPr>
        <w:t>, starting an education providing a formal qualification in 2011, who moved away from their area type the same year. Moreover, the change in these proportions from 1990 to 2011 is shown.</w:t>
      </w:r>
    </w:p>
    <w:p w:rsidR="009C7124" w:rsidRPr="00F10F30" w:rsidRDefault="006A072F" w:rsidP="00E6506C">
      <w:pPr>
        <w:spacing w:after="0"/>
        <w:jc w:val="center"/>
        <w:rPr>
          <w:rFonts w:ascii="Times New Roman" w:hAnsi="Times New Roman" w:cs="Times New Roman"/>
          <w:lang w:val="en-GB"/>
        </w:rPr>
      </w:pPr>
      <w:r w:rsidRPr="00F10F30">
        <w:rPr>
          <w:rFonts w:ascii="Times New Roman" w:hAnsi="Times New Roman" w:cs="Times New Roman"/>
          <w:noProof/>
          <w:lang w:eastAsia="da-DK"/>
        </w:rPr>
        <w:lastRenderedPageBreak/>
        <w:drawing>
          <wp:inline distT="0" distB="0" distL="0" distR="0" wp14:anchorId="25408C4A" wp14:editId="3852AC81">
            <wp:extent cx="4572000" cy="3093522"/>
            <wp:effectExtent l="0" t="0" r="19050" b="1206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072F" w:rsidRPr="00F10F30" w:rsidRDefault="006A072F" w:rsidP="00E6506C">
      <w:pPr>
        <w:spacing w:after="0"/>
        <w:jc w:val="center"/>
        <w:rPr>
          <w:rFonts w:ascii="Times New Roman" w:hAnsi="Times New Roman" w:cs="Times New Roman"/>
          <w:lang w:val="en-GB"/>
        </w:rPr>
      </w:pPr>
      <w:r w:rsidRPr="00F10F30">
        <w:rPr>
          <w:rFonts w:ascii="Times New Roman" w:hAnsi="Times New Roman" w:cs="Times New Roman"/>
          <w:noProof/>
          <w:lang w:eastAsia="da-DK"/>
        </w:rPr>
        <w:drawing>
          <wp:inline distT="0" distB="0" distL="0" distR="0" wp14:anchorId="56B09E7D" wp14:editId="50BD0224">
            <wp:extent cx="4572000" cy="2850078"/>
            <wp:effectExtent l="0" t="0" r="19050" b="2667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072F" w:rsidRPr="00F10F30" w:rsidRDefault="006A072F" w:rsidP="00E6506C">
      <w:pPr>
        <w:pStyle w:val="Billedtekst"/>
        <w:spacing w:after="0"/>
        <w:jc w:val="center"/>
        <w:rPr>
          <w:rFonts w:ascii="Times New Roman" w:hAnsi="Times New Roman" w:cs="Times New Roman"/>
          <w:color w:val="auto"/>
          <w:sz w:val="20"/>
          <w:szCs w:val="20"/>
          <w:lang w:val="en-GB"/>
        </w:rPr>
      </w:pPr>
      <w:bookmarkStart w:id="6" w:name="_Ref448833437"/>
      <w:proofErr w:type="gramStart"/>
      <w:r w:rsidRPr="00F10F30">
        <w:rPr>
          <w:rFonts w:ascii="Times New Roman" w:hAnsi="Times New Roman" w:cs="Times New Roman"/>
          <w:color w:val="auto"/>
          <w:sz w:val="20"/>
          <w:szCs w:val="20"/>
          <w:lang w:val="en-GB"/>
        </w:rPr>
        <w:t xml:space="preserve">Figure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Figure \* ARABIC </w:instrText>
      </w:r>
      <w:r w:rsidRPr="00F10F30">
        <w:rPr>
          <w:rFonts w:ascii="Times New Roman" w:hAnsi="Times New Roman" w:cs="Times New Roman"/>
          <w:color w:val="auto"/>
          <w:sz w:val="20"/>
          <w:szCs w:val="20"/>
        </w:rPr>
        <w:fldChar w:fldCharType="separate"/>
      </w:r>
      <w:r w:rsidR="00E64A56" w:rsidRPr="00F10F30">
        <w:rPr>
          <w:rFonts w:ascii="Times New Roman" w:hAnsi="Times New Roman" w:cs="Times New Roman"/>
          <w:noProof/>
          <w:color w:val="auto"/>
          <w:sz w:val="20"/>
          <w:szCs w:val="20"/>
          <w:lang w:val="en-GB"/>
        </w:rPr>
        <w:t>4</w:t>
      </w:r>
      <w:r w:rsidRPr="00F10F30">
        <w:rPr>
          <w:rFonts w:ascii="Times New Roman" w:hAnsi="Times New Roman" w:cs="Times New Roman"/>
          <w:color w:val="auto"/>
          <w:sz w:val="20"/>
          <w:szCs w:val="20"/>
        </w:rPr>
        <w:fldChar w:fldCharType="end"/>
      </w:r>
      <w:bookmarkEnd w:id="6"/>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Proportion of young people</w:t>
      </w:r>
      <w:r w:rsidR="00A60BF7" w:rsidRPr="00F10F30">
        <w:rPr>
          <w:rFonts w:ascii="Times New Roman" w:hAnsi="Times New Roman" w:cs="Times New Roman"/>
          <w:color w:val="auto"/>
          <w:sz w:val="20"/>
          <w:szCs w:val="20"/>
          <w:lang w:val="en-GB"/>
        </w:rPr>
        <w:t xml:space="preserve"> 17-39 years old</w:t>
      </w:r>
      <w:r w:rsidRPr="00F10F30">
        <w:rPr>
          <w:rFonts w:ascii="Times New Roman" w:hAnsi="Times New Roman" w:cs="Times New Roman"/>
          <w:color w:val="auto"/>
          <w:sz w:val="20"/>
          <w:szCs w:val="20"/>
          <w:lang w:val="en-GB"/>
        </w:rPr>
        <w:t xml:space="preserve">, who in 2011 move away from their area type </w:t>
      </w:r>
      <w:r w:rsidR="005A0D84">
        <w:rPr>
          <w:rFonts w:ascii="Times New Roman" w:hAnsi="Times New Roman" w:cs="Times New Roman"/>
          <w:color w:val="auto"/>
          <w:sz w:val="20"/>
          <w:szCs w:val="20"/>
          <w:lang w:val="en-GB"/>
        </w:rPr>
        <w:t xml:space="preserve">when </w:t>
      </w:r>
      <w:r w:rsidRPr="00F10F30">
        <w:rPr>
          <w:rFonts w:ascii="Times New Roman" w:hAnsi="Times New Roman" w:cs="Times New Roman"/>
          <w:color w:val="auto"/>
          <w:sz w:val="20"/>
          <w:szCs w:val="20"/>
          <w:lang w:val="en-GB"/>
        </w:rPr>
        <w:t>start</w:t>
      </w:r>
      <w:r w:rsidR="005A0D84">
        <w:rPr>
          <w:rFonts w:ascii="Times New Roman" w:hAnsi="Times New Roman" w:cs="Times New Roman"/>
          <w:color w:val="auto"/>
          <w:sz w:val="20"/>
          <w:szCs w:val="20"/>
          <w:lang w:val="en-GB"/>
        </w:rPr>
        <w:t>ing</w:t>
      </w:r>
      <w:r w:rsidRPr="00F10F30">
        <w:rPr>
          <w:rFonts w:ascii="Times New Roman" w:hAnsi="Times New Roman" w:cs="Times New Roman"/>
          <w:color w:val="auto"/>
          <w:sz w:val="20"/>
          <w:szCs w:val="20"/>
          <w:lang w:val="en-GB"/>
        </w:rPr>
        <w:t xml:space="preserve"> education providing a formal qualification, and the change in these proportions from 1990 to 2011.</w:t>
      </w:r>
    </w:p>
    <w:p w:rsidR="00F10F30" w:rsidRDefault="00F10F30" w:rsidP="00F10F30">
      <w:pPr>
        <w:spacing w:after="0"/>
        <w:rPr>
          <w:rFonts w:ascii="Times New Roman" w:hAnsi="Times New Roman" w:cs="Times New Roman"/>
          <w:lang w:val="en-GB"/>
        </w:rPr>
      </w:pPr>
    </w:p>
    <w:p w:rsidR="00AD0ACC" w:rsidRPr="00F10F30" w:rsidRDefault="00C56A52" w:rsidP="00F10F30">
      <w:pPr>
        <w:spacing w:after="0"/>
        <w:rPr>
          <w:rFonts w:ascii="Times New Roman" w:hAnsi="Times New Roman" w:cs="Times New Roman"/>
          <w:lang w:val="en-GB"/>
        </w:rPr>
      </w:pPr>
      <w:r w:rsidRPr="00F10F30">
        <w:rPr>
          <w:rFonts w:ascii="Times New Roman" w:hAnsi="Times New Roman" w:cs="Times New Roman"/>
          <w:lang w:val="en-GB"/>
        </w:rPr>
        <w:t>In average about 35 per cent moved away from fringe areas the same year as they started education</w:t>
      </w:r>
      <w:r w:rsidR="0033570F">
        <w:rPr>
          <w:rFonts w:ascii="Times New Roman" w:hAnsi="Times New Roman" w:cs="Times New Roman"/>
          <w:lang w:val="en-GB"/>
        </w:rPr>
        <w:t xml:space="preserve"> in 2011</w:t>
      </w:r>
      <w:r w:rsidRPr="00F10F30">
        <w:rPr>
          <w:rFonts w:ascii="Times New Roman" w:hAnsi="Times New Roman" w:cs="Times New Roman"/>
          <w:lang w:val="en-GB"/>
        </w:rPr>
        <w:t xml:space="preserve">. </w:t>
      </w:r>
      <w:r w:rsidR="006A072F" w:rsidRPr="00F10F30">
        <w:rPr>
          <w:rFonts w:ascii="Times New Roman" w:hAnsi="Times New Roman" w:cs="Times New Roman"/>
          <w:lang w:val="en-GB"/>
        </w:rPr>
        <w:t xml:space="preserve">As expected there is a dramatic difference between </w:t>
      </w:r>
      <w:r w:rsidR="00AD67CC" w:rsidRPr="00F10F30">
        <w:rPr>
          <w:rFonts w:ascii="Times New Roman" w:hAnsi="Times New Roman" w:cs="Times New Roman"/>
          <w:lang w:val="en-GB"/>
        </w:rPr>
        <w:t xml:space="preserve">outmigration from </w:t>
      </w:r>
      <w:r w:rsidR="006A072F" w:rsidRPr="00F10F30">
        <w:rPr>
          <w:rFonts w:ascii="Times New Roman" w:hAnsi="Times New Roman" w:cs="Times New Roman"/>
          <w:lang w:val="en-GB"/>
        </w:rPr>
        <w:t>the central growth areas and the fringe areas and these differences depend much on the kind of education chosen.</w:t>
      </w:r>
      <w:r w:rsidR="00AD67CC" w:rsidRPr="00F10F30">
        <w:rPr>
          <w:rFonts w:ascii="Times New Roman" w:hAnsi="Times New Roman" w:cs="Times New Roman"/>
          <w:lang w:val="en-GB"/>
        </w:rPr>
        <w:t xml:space="preserve"> Only 12</w:t>
      </w:r>
      <w:r w:rsidR="003E3C79" w:rsidRPr="00F10F30">
        <w:rPr>
          <w:rFonts w:ascii="Times New Roman" w:hAnsi="Times New Roman" w:cs="Times New Roman"/>
          <w:lang w:val="en-GB"/>
        </w:rPr>
        <w:t xml:space="preserve"> % of young people in fringe areas s</w:t>
      </w:r>
      <w:r w:rsidR="00AD67CC" w:rsidRPr="00F10F30">
        <w:rPr>
          <w:rFonts w:ascii="Times New Roman" w:hAnsi="Times New Roman" w:cs="Times New Roman"/>
          <w:lang w:val="en-GB"/>
        </w:rPr>
        <w:t>tart</w:t>
      </w:r>
      <w:r w:rsidR="003E3C79" w:rsidRPr="00F10F30">
        <w:rPr>
          <w:rFonts w:ascii="Times New Roman" w:hAnsi="Times New Roman" w:cs="Times New Roman"/>
          <w:lang w:val="en-GB"/>
        </w:rPr>
        <w:t>ing</w:t>
      </w:r>
      <w:r w:rsidR="00AD67CC" w:rsidRPr="00F10F30">
        <w:rPr>
          <w:rFonts w:ascii="Times New Roman" w:hAnsi="Times New Roman" w:cs="Times New Roman"/>
          <w:lang w:val="en-GB"/>
        </w:rPr>
        <w:t xml:space="preserve"> vocational training </w:t>
      </w:r>
      <w:r w:rsidR="003E3C79" w:rsidRPr="00F10F30">
        <w:rPr>
          <w:rFonts w:ascii="Times New Roman" w:hAnsi="Times New Roman" w:cs="Times New Roman"/>
          <w:lang w:val="en-GB"/>
        </w:rPr>
        <w:t xml:space="preserve">are leaving the areas (24 % on the islands), while nearly 50 % are leaving when starting on a middle sized education. When starting higher education 85 % are leaving the fringe areas and nearly all living on the islands. A new Danish study (KRAK’s Byforskning 2015) has shown that students in fringe areas more often choose vocational training instead of higher education, but </w:t>
      </w:r>
      <w:r w:rsidR="0033570F">
        <w:rPr>
          <w:rFonts w:ascii="Times New Roman" w:hAnsi="Times New Roman" w:cs="Times New Roman"/>
          <w:lang w:val="en-GB"/>
        </w:rPr>
        <w:t xml:space="preserve">that </w:t>
      </w:r>
      <w:r w:rsidR="003E3C79" w:rsidRPr="00F10F30">
        <w:rPr>
          <w:rFonts w:ascii="Times New Roman" w:hAnsi="Times New Roman" w:cs="Times New Roman"/>
          <w:lang w:val="en-GB"/>
        </w:rPr>
        <w:t xml:space="preserve">this to a great extent </w:t>
      </w:r>
      <w:r w:rsidR="0033570F" w:rsidRPr="00F10F30">
        <w:rPr>
          <w:rFonts w:ascii="Times New Roman" w:hAnsi="Times New Roman" w:cs="Times New Roman"/>
          <w:lang w:val="en-GB"/>
        </w:rPr>
        <w:t xml:space="preserve">can </w:t>
      </w:r>
      <w:r w:rsidR="003E3C79" w:rsidRPr="00F10F30">
        <w:rPr>
          <w:rFonts w:ascii="Times New Roman" w:hAnsi="Times New Roman" w:cs="Times New Roman"/>
          <w:lang w:val="en-GB"/>
        </w:rPr>
        <w:t xml:space="preserve">be explained by family background. </w:t>
      </w:r>
    </w:p>
    <w:p w:rsidR="003E3C79" w:rsidRPr="00F10F30" w:rsidRDefault="003E3C79" w:rsidP="00F10F30">
      <w:pPr>
        <w:spacing w:after="0"/>
        <w:rPr>
          <w:rFonts w:ascii="Times New Roman" w:hAnsi="Times New Roman" w:cs="Times New Roman"/>
          <w:lang w:val="en-GB"/>
        </w:rPr>
      </w:pPr>
    </w:p>
    <w:p w:rsidR="003E3C79" w:rsidRPr="00F10F30" w:rsidRDefault="003E3C79" w:rsidP="00F10F30">
      <w:pPr>
        <w:spacing w:after="0"/>
        <w:rPr>
          <w:rFonts w:ascii="Times New Roman" w:hAnsi="Times New Roman" w:cs="Times New Roman"/>
          <w:lang w:val="en-GB"/>
        </w:rPr>
      </w:pPr>
      <w:r w:rsidRPr="00F10F30">
        <w:rPr>
          <w:rFonts w:ascii="Times New Roman" w:hAnsi="Times New Roman" w:cs="Times New Roman"/>
          <w:lang w:val="en-GB"/>
        </w:rPr>
        <w:t xml:space="preserve">As is seen from </w:t>
      </w:r>
      <w:r w:rsidR="00C928D3" w:rsidRPr="00F10F30">
        <w:rPr>
          <w:rFonts w:ascii="Times New Roman" w:hAnsi="Times New Roman" w:cs="Times New Roman"/>
          <w:lang w:val="en-GB"/>
        </w:rPr>
        <w:t xml:space="preserve">the </w:t>
      </w:r>
      <w:r w:rsidR="00C878AA" w:rsidRPr="00F10F30">
        <w:rPr>
          <w:rFonts w:ascii="Times New Roman" w:hAnsi="Times New Roman" w:cs="Times New Roman"/>
          <w:lang w:val="en-GB"/>
        </w:rPr>
        <w:t>lowest</w:t>
      </w:r>
      <w:r w:rsidRPr="00F10F30">
        <w:rPr>
          <w:rFonts w:ascii="Times New Roman" w:hAnsi="Times New Roman" w:cs="Times New Roman"/>
          <w:lang w:val="en-GB"/>
        </w:rPr>
        <w:t xml:space="preserve"> </w:t>
      </w:r>
      <w:proofErr w:type="gramStart"/>
      <w:r w:rsidR="00E17172" w:rsidRPr="00F10F30">
        <w:rPr>
          <w:rFonts w:ascii="Times New Roman" w:hAnsi="Times New Roman" w:cs="Times New Roman"/>
          <w:lang w:val="en-GB"/>
        </w:rPr>
        <w:t>section</w:t>
      </w:r>
      <w:proofErr w:type="gramEnd"/>
      <w:r w:rsidR="00E17172" w:rsidRPr="00F10F30">
        <w:rPr>
          <w:rFonts w:ascii="Times New Roman" w:hAnsi="Times New Roman" w:cs="Times New Roman"/>
          <w:lang w:val="en-GB"/>
        </w:rPr>
        <w:t xml:space="preserve"> </w:t>
      </w:r>
      <w:r w:rsidRPr="00F10F30">
        <w:rPr>
          <w:rFonts w:ascii="Times New Roman" w:hAnsi="Times New Roman" w:cs="Times New Roman"/>
          <w:lang w:val="en-GB"/>
        </w:rPr>
        <w:t xml:space="preserve">of the figure the differences between area-types in 2011 to a great extend have been created in the period since 1990. Especially the increased geographical concentration of medium </w:t>
      </w:r>
      <w:r w:rsidRPr="00F10F30">
        <w:rPr>
          <w:rFonts w:ascii="Times New Roman" w:hAnsi="Times New Roman" w:cs="Times New Roman"/>
          <w:lang w:val="en-GB"/>
        </w:rPr>
        <w:lastRenderedPageBreak/>
        <w:t>term education</w:t>
      </w:r>
      <w:r w:rsidR="0033570F">
        <w:rPr>
          <w:rFonts w:ascii="Times New Roman" w:hAnsi="Times New Roman" w:cs="Times New Roman"/>
          <w:lang w:val="en-GB"/>
        </w:rPr>
        <w:t>,</w:t>
      </w:r>
      <w:r w:rsidRPr="00F10F30">
        <w:rPr>
          <w:rFonts w:ascii="Times New Roman" w:hAnsi="Times New Roman" w:cs="Times New Roman"/>
          <w:lang w:val="en-GB"/>
        </w:rPr>
        <w:t xml:space="preserve"> as shown in </w:t>
      </w:r>
      <w:r w:rsidRPr="00F10F30">
        <w:rPr>
          <w:rFonts w:ascii="Times New Roman" w:hAnsi="Times New Roman" w:cs="Times New Roman"/>
          <w:lang w:val="en-GB"/>
        </w:rPr>
        <w:fldChar w:fldCharType="begin"/>
      </w:r>
      <w:r w:rsidRPr="00F10F30">
        <w:rPr>
          <w:rFonts w:ascii="Times New Roman" w:hAnsi="Times New Roman" w:cs="Times New Roman"/>
          <w:lang w:val="en-GB"/>
        </w:rPr>
        <w:instrText xml:space="preserve"> REF _Ref448755109 \h </w:instrText>
      </w:r>
      <w:r w:rsidR="00383E7E" w:rsidRPr="00F10F30">
        <w:rPr>
          <w:rFonts w:ascii="Times New Roman" w:hAnsi="Times New Roman" w:cs="Times New Roman"/>
          <w:lang w:val="en-GB"/>
        </w:rPr>
        <w:instrText xml:space="preserve"> \* MERGEFORMAT </w:instrText>
      </w:r>
      <w:r w:rsidRPr="00F10F30">
        <w:rPr>
          <w:rFonts w:ascii="Times New Roman" w:hAnsi="Times New Roman" w:cs="Times New Roman"/>
          <w:lang w:val="en-GB"/>
        </w:rPr>
      </w:r>
      <w:r w:rsidRPr="00F10F30">
        <w:rPr>
          <w:rFonts w:ascii="Times New Roman" w:hAnsi="Times New Roman" w:cs="Times New Roman"/>
          <w:lang w:val="en-GB"/>
        </w:rPr>
        <w:fldChar w:fldCharType="separate"/>
      </w:r>
      <w:r w:rsidRPr="00F10F30">
        <w:rPr>
          <w:rFonts w:ascii="Times New Roman" w:hAnsi="Times New Roman" w:cs="Times New Roman"/>
          <w:lang w:val="en-GB"/>
        </w:rPr>
        <w:t xml:space="preserve">Table </w:t>
      </w:r>
      <w:r w:rsidRPr="00F10F30">
        <w:rPr>
          <w:rFonts w:ascii="Times New Roman" w:hAnsi="Times New Roman" w:cs="Times New Roman"/>
          <w:noProof/>
          <w:lang w:val="en-GB"/>
        </w:rPr>
        <w:t>3</w:t>
      </w:r>
      <w:r w:rsidRPr="00F10F30">
        <w:rPr>
          <w:rFonts w:ascii="Times New Roman" w:hAnsi="Times New Roman" w:cs="Times New Roman"/>
          <w:lang w:val="en-GB"/>
        </w:rPr>
        <w:fldChar w:fldCharType="end"/>
      </w:r>
      <w:r w:rsidR="0033570F">
        <w:rPr>
          <w:rFonts w:ascii="Times New Roman" w:hAnsi="Times New Roman" w:cs="Times New Roman"/>
          <w:lang w:val="en-GB"/>
        </w:rPr>
        <w:t>,</w:t>
      </w:r>
      <w:r w:rsidRPr="00F10F30">
        <w:rPr>
          <w:rFonts w:ascii="Times New Roman" w:hAnsi="Times New Roman" w:cs="Times New Roman"/>
          <w:lang w:val="en-GB"/>
        </w:rPr>
        <w:t xml:space="preserve"> has resulted in an increased outmigration from fringe areas and islands. But also for vocational training and higher education a marked growth has happened.</w:t>
      </w:r>
    </w:p>
    <w:p w:rsidR="006A072F" w:rsidRPr="00F10F30" w:rsidRDefault="006A072F" w:rsidP="00F10F30">
      <w:pPr>
        <w:spacing w:after="0"/>
        <w:rPr>
          <w:rFonts w:ascii="Times New Roman" w:hAnsi="Times New Roman" w:cs="Times New Roman"/>
          <w:lang w:val="en-GB"/>
        </w:rPr>
      </w:pPr>
    </w:p>
    <w:p w:rsidR="00857078" w:rsidRPr="00F10F30" w:rsidRDefault="00857078"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t xml:space="preserve">Determinants of outmigration </w:t>
      </w:r>
      <w:r w:rsidR="00E17172" w:rsidRPr="00F10F30">
        <w:rPr>
          <w:rFonts w:ascii="Times New Roman" w:hAnsi="Times New Roman" w:cs="Times New Roman"/>
          <w:b/>
          <w:sz w:val="24"/>
          <w:szCs w:val="24"/>
          <w:lang w:val="en-GB"/>
        </w:rPr>
        <w:t>of young people from fringe areas</w:t>
      </w:r>
      <w:r w:rsidR="00C928D3" w:rsidRPr="00F10F30">
        <w:rPr>
          <w:rFonts w:ascii="Times New Roman" w:hAnsi="Times New Roman" w:cs="Times New Roman"/>
          <w:b/>
          <w:sz w:val="24"/>
          <w:szCs w:val="24"/>
          <w:lang w:val="en-GB"/>
        </w:rPr>
        <w:t xml:space="preserve"> </w:t>
      </w:r>
    </w:p>
    <w:p w:rsidR="00F10F30" w:rsidRDefault="00F10F30" w:rsidP="00F10F30">
      <w:pPr>
        <w:spacing w:after="0"/>
        <w:rPr>
          <w:rFonts w:ascii="Times New Roman" w:hAnsi="Times New Roman" w:cs="Times New Roman"/>
          <w:lang w:val="en-GB"/>
        </w:rPr>
      </w:pPr>
    </w:p>
    <w:p w:rsidR="00E64A56" w:rsidRDefault="00C928D3" w:rsidP="00F10F30">
      <w:pPr>
        <w:spacing w:after="0"/>
        <w:rPr>
          <w:rFonts w:ascii="Times New Roman" w:hAnsi="Times New Roman" w:cs="Times New Roman"/>
          <w:lang w:val="en-GB"/>
        </w:rPr>
      </w:pPr>
      <w:r w:rsidRPr="00F10F30">
        <w:rPr>
          <w:rFonts w:ascii="Times New Roman" w:hAnsi="Times New Roman" w:cs="Times New Roman"/>
          <w:lang w:val="en-GB"/>
        </w:rPr>
        <w:t xml:space="preserve">In this section statistical analyses are made </w:t>
      </w:r>
      <w:r w:rsidR="0033570F">
        <w:rPr>
          <w:rFonts w:ascii="Times New Roman" w:hAnsi="Times New Roman" w:cs="Times New Roman"/>
          <w:lang w:val="en-GB"/>
        </w:rPr>
        <w:t xml:space="preserve">on the longitudinal dataset </w:t>
      </w:r>
      <w:r w:rsidRPr="00F10F30">
        <w:rPr>
          <w:rFonts w:ascii="Times New Roman" w:hAnsi="Times New Roman" w:cs="Times New Roman"/>
          <w:lang w:val="en-GB"/>
        </w:rPr>
        <w:t xml:space="preserve">to examine how different factors influence the combined decision of beginning an education and move away from fringe areas and islands. </w:t>
      </w:r>
      <w:r w:rsidR="00E64A56" w:rsidRPr="00F10F30">
        <w:rPr>
          <w:rFonts w:ascii="Times New Roman" w:hAnsi="Times New Roman" w:cs="Times New Roman"/>
          <w:lang w:val="en-GB"/>
        </w:rPr>
        <w:t xml:space="preserve">In the first place is made an estimate of the causes of outmigration from fringe areas by examining what events took place in the life of young people, grown up in fringe areas, the same year as they moved away to other parts of the country. </w:t>
      </w:r>
      <w:r w:rsidR="0033570F">
        <w:rPr>
          <w:rFonts w:ascii="Times New Roman" w:hAnsi="Times New Roman" w:cs="Times New Roman"/>
          <w:lang w:val="en-GB"/>
        </w:rPr>
        <w:t xml:space="preserve">The longitudinal dataset contains </w:t>
      </w:r>
      <w:r w:rsidR="00E64A56" w:rsidRPr="00F10F30">
        <w:rPr>
          <w:rFonts w:ascii="Times New Roman" w:hAnsi="Times New Roman" w:cs="Times New Roman"/>
          <w:lang w:val="en-GB"/>
        </w:rPr>
        <w:t xml:space="preserve">data for every year on three cohorts of young people in the age of 17-25 years, who lived in the fringe areas when they were 17 years old in either1990-94, 1995-99 or 2000-2004. It is possible from our data to determine, if they started education, got their first job or changed job to a working place in another municipality the same year as they moved away. In </w:t>
      </w:r>
      <w:r w:rsidR="00E64A56" w:rsidRPr="00F10F30">
        <w:rPr>
          <w:rFonts w:ascii="Times New Roman" w:hAnsi="Times New Roman" w:cs="Times New Roman"/>
          <w:lang w:val="en-GB"/>
        </w:rPr>
        <w:fldChar w:fldCharType="begin"/>
      </w:r>
      <w:r w:rsidR="00E64A56" w:rsidRPr="00F10F30">
        <w:rPr>
          <w:rFonts w:ascii="Times New Roman" w:hAnsi="Times New Roman" w:cs="Times New Roman"/>
          <w:lang w:val="en-GB"/>
        </w:rPr>
        <w:instrText xml:space="preserve"> REF _Ref449538376 \h </w:instrText>
      </w:r>
      <w:r w:rsidR="00383E7E" w:rsidRPr="00F10F30">
        <w:rPr>
          <w:rFonts w:ascii="Times New Roman" w:hAnsi="Times New Roman" w:cs="Times New Roman"/>
          <w:lang w:val="en-GB"/>
        </w:rPr>
        <w:instrText xml:space="preserve"> \* MERGEFORMAT </w:instrText>
      </w:r>
      <w:r w:rsidR="00E64A56" w:rsidRPr="00F10F30">
        <w:rPr>
          <w:rFonts w:ascii="Times New Roman" w:hAnsi="Times New Roman" w:cs="Times New Roman"/>
          <w:lang w:val="en-GB"/>
        </w:rPr>
      </w:r>
      <w:r w:rsidR="00E64A56" w:rsidRPr="00F10F30">
        <w:rPr>
          <w:rFonts w:ascii="Times New Roman" w:hAnsi="Times New Roman" w:cs="Times New Roman"/>
          <w:lang w:val="en-GB"/>
        </w:rPr>
        <w:fldChar w:fldCharType="separate"/>
      </w:r>
      <w:r w:rsidR="00E64A56" w:rsidRPr="00F10F30">
        <w:rPr>
          <w:rFonts w:ascii="Times New Roman" w:hAnsi="Times New Roman" w:cs="Times New Roman"/>
          <w:lang w:val="en-GB"/>
        </w:rPr>
        <w:t xml:space="preserve">Figure </w:t>
      </w:r>
      <w:r w:rsidR="00E64A56" w:rsidRPr="00F10F30">
        <w:rPr>
          <w:rFonts w:ascii="Times New Roman" w:hAnsi="Times New Roman" w:cs="Times New Roman"/>
          <w:noProof/>
          <w:lang w:val="en-GB"/>
        </w:rPr>
        <w:t>5</w:t>
      </w:r>
      <w:r w:rsidR="00E64A56" w:rsidRPr="00F10F30">
        <w:rPr>
          <w:rFonts w:ascii="Times New Roman" w:hAnsi="Times New Roman" w:cs="Times New Roman"/>
          <w:lang w:val="en-GB"/>
        </w:rPr>
        <w:fldChar w:fldCharType="end"/>
      </w:r>
      <w:r w:rsidR="00E64A56" w:rsidRPr="00F10F30">
        <w:rPr>
          <w:rFonts w:ascii="Times New Roman" w:hAnsi="Times New Roman" w:cs="Times New Roman"/>
          <w:lang w:val="en-GB"/>
        </w:rPr>
        <w:t xml:space="preserve"> is shown a distribution of all persons in every cohort on not moving and estimated causes of moving.</w:t>
      </w:r>
    </w:p>
    <w:p w:rsidR="00F10F30" w:rsidRPr="00F10F30" w:rsidRDefault="00F10F30" w:rsidP="00F10F30">
      <w:pPr>
        <w:spacing w:after="0"/>
        <w:rPr>
          <w:rFonts w:ascii="Times New Roman" w:hAnsi="Times New Roman" w:cs="Times New Roman"/>
          <w:lang w:val="en-GB"/>
        </w:rPr>
      </w:pPr>
    </w:p>
    <w:p w:rsidR="00E64A56" w:rsidRPr="00F10F30" w:rsidRDefault="00905764" w:rsidP="00E6506C">
      <w:pPr>
        <w:spacing w:after="0"/>
        <w:jc w:val="center"/>
        <w:rPr>
          <w:rFonts w:ascii="Times New Roman" w:hAnsi="Times New Roman" w:cs="Times New Roman"/>
          <w:lang w:val="en-GB"/>
        </w:rPr>
      </w:pPr>
      <w:r w:rsidRPr="00ED7869">
        <w:rPr>
          <w:noProof/>
          <w:sz w:val="20"/>
          <w:szCs w:val="20"/>
          <w:lang w:eastAsia="da-DK"/>
        </w:rPr>
        <w:drawing>
          <wp:inline distT="0" distB="0" distL="0" distR="0" wp14:anchorId="63337B87" wp14:editId="4916D87D">
            <wp:extent cx="4572000" cy="3724275"/>
            <wp:effectExtent l="0" t="0" r="19050" b="952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A56" w:rsidRPr="00F10F30" w:rsidRDefault="00E64A56" w:rsidP="00F10F30">
      <w:pPr>
        <w:pStyle w:val="Billedtekst"/>
        <w:spacing w:after="0"/>
        <w:rPr>
          <w:rFonts w:ascii="Times New Roman" w:hAnsi="Times New Roman" w:cs="Times New Roman"/>
          <w:color w:val="auto"/>
          <w:sz w:val="20"/>
          <w:szCs w:val="20"/>
          <w:lang w:val="en-GB"/>
        </w:rPr>
      </w:pPr>
      <w:bookmarkStart w:id="7" w:name="_Ref449538376"/>
      <w:proofErr w:type="gramStart"/>
      <w:r w:rsidRPr="00F10F30">
        <w:rPr>
          <w:rFonts w:ascii="Times New Roman" w:hAnsi="Times New Roman" w:cs="Times New Roman"/>
          <w:color w:val="auto"/>
          <w:sz w:val="20"/>
          <w:szCs w:val="20"/>
          <w:lang w:val="en-GB"/>
        </w:rPr>
        <w:t xml:space="preserve">Figure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Figure \* ARABIC </w:instrText>
      </w:r>
      <w:r w:rsidRPr="00F10F30">
        <w:rPr>
          <w:rFonts w:ascii="Times New Roman" w:hAnsi="Times New Roman" w:cs="Times New Roman"/>
          <w:color w:val="auto"/>
          <w:sz w:val="20"/>
          <w:szCs w:val="20"/>
        </w:rPr>
        <w:fldChar w:fldCharType="separate"/>
      </w:r>
      <w:r w:rsidRPr="00F10F30">
        <w:rPr>
          <w:rFonts w:ascii="Times New Roman" w:hAnsi="Times New Roman" w:cs="Times New Roman"/>
          <w:noProof/>
          <w:color w:val="auto"/>
          <w:sz w:val="20"/>
          <w:szCs w:val="20"/>
          <w:lang w:val="en-GB"/>
        </w:rPr>
        <w:t>5</w:t>
      </w:r>
      <w:r w:rsidRPr="00F10F30">
        <w:rPr>
          <w:rFonts w:ascii="Times New Roman" w:hAnsi="Times New Roman" w:cs="Times New Roman"/>
          <w:color w:val="auto"/>
          <w:sz w:val="20"/>
          <w:szCs w:val="20"/>
        </w:rPr>
        <w:fldChar w:fldCharType="end"/>
      </w:r>
      <w:bookmarkEnd w:id="7"/>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w:t>
      </w:r>
      <w:proofErr w:type="gramStart"/>
      <w:r w:rsidRPr="00F10F30">
        <w:rPr>
          <w:rFonts w:ascii="Times New Roman" w:hAnsi="Times New Roman" w:cs="Times New Roman"/>
          <w:color w:val="auto"/>
          <w:sz w:val="20"/>
          <w:szCs w:val="20"/>
          <w:lang w:val="en-GB"/>
        </w:rPr>
        <w:t>Estimated causes of outmigration from fringe areas (and islands) for three cohorts of young people 17-25 years old.</w:t>
      </w:r>
      <w:proofErr w:type="gramEnd"/>
    </w:p>
    <w:p w:rsidR="00F10F30" w:rsidRDefault="00F10F30" w:rsidP="00F10F30">
      <w:pPr>
        <w:spacing w:after="0"/>
        <w:rPr>
          <w:rFonts w:ascii="Times New Roman" w:hAnsi="Times New Roman" w:cs="Times New Roman"/>
          <w:lang w:val="en-GB"/>
        </w:rPr>
      </w:pPr>
    </w:p>
    <w:p w:rsidR="00E64A56" w:rsidRDefault="00E64A56" w:rsidP="00F10F30">
      <w:pPr>
        <w:spacing w:after="0"/>
        <w:rPr>
          <w:rFonts w:ascii="Times New Roman" w:hAnsi="Times New Roman" w:cs="Times New Roman"/>
          <w:lang w:val="en-GB"/>
        </w:rPr>
      </w:pPr>
      <w:r w:rsidRPr="00F10F30">
        <w:rPr>
          <w:rFonts w:ascii="Times New Roman" w:hAnsi="Times New Roman" w:cs="Times New Roman"/>
          <w:lang w:val="en-GB"/>
        </w:rPr>
        <w:t xml:space="preserve">The proportion not moving away from fringe areas (and islands) declined as expected from the first to the last cohort from 47 per cent to 41. </w:t>
      </w:r>
      <w:r w:rsidR="00905764">
        <w:rPr>
          <w:rFonts w:ascii="Times New Roman" w:hAnsi="Times New Roman" w:cs="Times New Roman"/>
          <w:lang w:val="en-GB"/>
        </w:rPr>
        <w:t>T</w:t>
      </w:r>
      <w:r w:rsidRPr="00F10F30">
        <w:rPr>
          <w:rFonts w:ascii="Times New Roman" w:hAnsi="Times New Roman" w:cs="Times New Roman"/>
          <w:lang w:val="en-GB"/>
        </w:rPr>
        <w:t xml:space="preserve">he proportion of the cohorts moving in connection with start of education </w:t>
      </w:r>
      <w:r w:rsidR="00905764">
        <w:rPr>
          <w:rFonts w:ascii="Times New Roman" w:hAnsi="Times New Roman" w:cs="Times New Roman"/>
          <w:lang w:val="en-GB"/>
        </w:rPr>
        <w:t xml:space="preserve">increased from 29 to 34 </w:t>
      </w:r>
      <w:r w:rsidRPr="00F10F30">
        <w:rPr>
          <w:rFonts w:ascii="Times New Roman" w:hAnsi="Times New Roman" w:cs="Times New Roman"/>
          <w:lang w:val="en-GB"/>
        </w:rPr>
        <w:t>per cent. The share of cohorts</w:t>
      </w:r>
      <w:r w:rsidR="00905764">
        <w:rPr>
          <w:rFonts w:ascii="Times New Roman" w:hAnsi="Times New Roman" w:cs="Times New Roman"/>
          <w:lang w:val="en-GB"/>
        </w:rPr>
        <w:t>,</w:t>
      </w:r>
      <w:r w:rsidRPr="00F10F30">
        <w:rPr>
          <w:rFonts w:ascii="Times New Roman" w:hAnsi="Times New Roman" w:cs="Times New Roman"/>
          <w:lang w:val="en-GB"/>
        </w:rPr>
        <w:t xml:space="preserve"> </w:t>
      </w:r>
      <w:r w:rsidR="00905764">
        <w:rPr>
          <w:rFonts w:ascii="Times New Roman" w:hAnsi="Times New Roman" w:cs="Times New Roman"/>
          <w:lang w:val="en-GB"/>
        </w:rPr>
        <w:t xml:space="preserve">who </w:t>
      </w:r>
      <w:r w:rsidRPr="00F10F30">
        <w:rPr>
          <w:rFonts w:ascii="Times New Roman" w:hAnsi="Times New Roman" w:cs="Times New Roman"/>
          <w:lang w:val="en-GB"/>
        </w:rPr>
        <w:t xml:space="preserve">moved </w:t>
      </w:r>
      <w:r w:rsidR="00905764">
        <w:rPr>
          <w:rFonts w:ascii="Times New Roman" w:hAnsi="Times New Roman" w:cs="Times New Roman"/>
          <w:lang w:val="en-GB"/>
        </w:rPr>
        <w:t xml:space="preserve">the </w:t>
      </w:r>
      <w:r w:rsidRPr="00F10F30">
        <w:rPr>
          <w:rFonts w:ascii="Times New Roman" w:hAnsi="Times New Roman" w:cs="Times New Roman"/>
          <w:lang w:val="en-GB"/>
        </w:rPr>
        <w:t>same year as they started their first job</w:t>
      </w:r>
      <w:r w:rsidR="00905764">
        <w:rPr>
          <w:rFonts w:ascii="Times New Roman" w:hAnsi="Times New Roman" w:cs="Times New Roman"/>
          <w:lang w:val="en-GB"/>
        </w:rPr>
        <w:t>, has been quite stable on 9 per cent</w:t>
      </w:r>
      <w:r w:rsidRPr="00F10F30">
        <w:rPr>
          <w:rFonts w:ascii="Times New Roman" w:hAnsi="Times New Roman" w:cs="Times New Roman"/>
          <w:lang w:val="en-GB"/>
        </w:rPr>
        <w:t xml:space="preserve">. </w:t>
      </w:r>
      <w:r w:rsidR="00905764">
        <w:rPr>
          <w:rFonts w:ascii="Times New Roman" w:hAnsi="Times New Roman" w:cs="Times New Roman"/>
          <w:lang w:val="en-GB"/>
        </w:rPr>
        <w:t>M</w:t>
      </w:r>
      <w:r w:rsidR="007C7B3C" w:rsidRPr="00F10F30">
        <w:rPr>
          <w:rFonts w:ascii="Times New Roman" w:hAnsi="Times New Roman" w:cs="Times New Roman"/>
          <w:lang w:val="en-GB"/>
        </w:rPr>
        <w:t>oves in connection with</w:t>
      </w:r>
      <w:r w:rsidRPr="00F10F30">
        <w:rPr>
          <w:rFonts w:ascii="Times New Roman" w:hAnsi="Times New Roman" w:cs="Times New Roman"/>
          <w:lang w:val="en-GB"/>
        </w:rPr>
        <w:t xml:space="preserve"> starting a new job in another municipality, </w:t>
      </w:r>
      <w:r w:rsidR="00905764">
        <w:rPr>
          <w:rFonts w:ascii="Times New Roman" w:hAnsi="Times New Roman" w:cs="Times New Roman"/>
          <w:lang w:val="en-GB"/>
        </w:rPr>
        <w:t>only changed between cohorts from 8 to 9</w:t>
      </w:r>
      <w:r w:rsidRPr="00F10F30">
        <w:rPr>
          <w:rFonts w:ascii="Times New Roman" w:hAnsi="Times New Roman" w:cs="Times New Roman"/>
          <w:lang w:val="en-GB"/>
        </w:rPr>
        <w:t xml:space="preserve"> per cent. Moves </w:t>
      </w:r>
      <w:r w:rsidR="007C7B3C" w:rsidRPr="00F10F30">
        <w:rPr>
          <w:rFonts w:ascii="Times New Roman" w:hAnsi="Times New Roman" w:cs="Times New Roman"/>
          <w:lang w:val="en-GB"/>
        </w:rPr>
        <w:t>happening in years when none of these events happened, called ‘other motives’ in the figure, were estimated to about</w:t>
      </w:r>
      <w:r w:rsidR="00905764">
        <w:rPr>
          <w:rFonts w:ascii="Times New Roman" w:hAnsi="Times New Roman" w:cs="Times New Roman"/>
          <w:lang w:val="en-GB"/>
        </w:rPr>
        <w:t xml:space="preserve"> seven</w:t>
      </w:r>
      <w:r w:rsidR="007C7B3C" w:rsidRPr="00F10F30">
        <w:rPr>
          <w:rFonts w:ascii="Times New Roman" w:hAnsi="Times New Roman" w:cs="Times New Roman"/>
          <w:lang w:val="en-GB"/>
        </w:rPr>
        <w:t xml:space="preserve"> per cent for all three cohorts.</w:t>
      </w:r>
    </w:p>
    <w:p w:rsidR="00F10F30" w:rsidRPr="00F10F30" w:rsidRDefault="00F10F30" w:rsidP="00F10F30">
      <w:pPr>
        <w:spacing w:after="0"/>
        <w:rPr>
          <w:rFonts w:ascii="Times New Roman" w:hAnsi="Times New Roman" w:cs="Times New Roman"/>
          <w:lang w:val="en-GB"/>
        </w:rPr>
      </w:pPr>
    </w:p>
    <w:p w:rsidR="00E64A56" w:rsidRPr="00F10F30" w:rsidRDefault="007C7B3C" w:rsidP="00F10F30">
      <w:pPr>
        <w:spacing w:after="0"/>
        <w:rPr>
          <w:rFonts w:ascii="Times New Roman" w:hAnsi="Times New Roman" w:cs="Times New Roman"/>
          <w:i/>
          <w:sz w:val="24"/>
          <w:szCs w:val="24"/>
          <w:lang w:val="en-GB"/>
        </w:rPr>
      </w:pPr>
      <w:r w:rsidRPr="00F10F30">
        <w:rPr>
          <w:rFonts w:ascii="Times New Roman" w:hAnsi="Times New Roman" w:cs="Times New Roman"/>
          <w:i/>
          <w:sz w:val="24"/>
          <w:szCs w:val="24"/>
          <w:lang w:val="en-GB"/>
        </w:rPr>
        <w:lastRenderedPageBreak/>
        <w:t>Statistical analyses of factors determining moves in connection with start of education</w:t>
      </w:r>
    </w:p>
    <w:p w:rsidR="00F10F30" w:rsidRDefault="00F10F30" w:rsidP="00F10F30">
      <w:pPr>
        <w:spacing w:after="0"/>
        <w:rPr>
          <w:rFonts w:ascii="Times New Roman" w:hAnsi="Times New Roman" w:cs="Times New Roman"/>
          <w:lang w:val="en-GB"/>
        </w:rPr>
      </w:pPr>
    </w:p>
    <w:p w:rsidR="00EF1805" w:rsidRDefault="007C7B3C" w:rsidP="00F10F30">
      <w:pPr>
        <w:spacing w:after="0"/>
        <w:rPr>
          <w:rFonts w:ascii="Times New Roman" w:hAnsi="Times New Roman" w:cs="Times New Roman"/>
          <w:lang w:val="en-GB"/>
        </w:rPr>
      </w:pPr>
      <w:r w:rsidRPr="00F10F30">
        <w:rPr>
          <w:rFonts w:ascii="Times New Roman" w:hAnsi="Times New Roman" w:cs="Times New Roman"/>
          <w:lang w:val="en-GB"/>
        </w:rPr>
        <w:t>As discussed in the theoretical section choice of education and to move away from the place where one has grown up is a complex and interwoven decision, which is affected by many factors</w:t>
      </w:r>
      <w:r w:rsidR="0033570F">
        <w:rPr>
          <w:rFonts w:ascii="Times New Roman" w:hAnsi="Times New Roman" w:cs="Times New Roman"/>
          <w:lang w:val="en-GB"/>
        </w:rPr>
        <w:t xml:space="preserve"> as choice of education, family background, residential career and sex</w:t>
      </w:r>
      <w:r w:rsidRPr="00F10F30">
        <w:rPr>
          <w:rFonts w:ascii="Times New Roman" w:hAnsi="Times New Roman" w:cs="Times New Roman"/>
          <w:lang w:val="en-GB"/>
        </w:rPr>
        <w:t>.</w:t>
      </w:r>
      <w:r w:rsidR="0033570F">
        <w:rPr>
          <w:rFonts w:ascii="Times New Roman" w:hAnsi="Times New Roman" w:cs="Times New Roman"/>
          <w:lang w:val="en-GB"/>
        </w:rPr>
        <w:t xml:space="preserve"> </w:t>
      </w:r>
      <w:r w:rsidR="00EF1805" w:rsidRPr="00F10F30">
        <w:rPr>
          <w:rFonts w:ascii="Times New Roman" w:hAnsi="Times New Roman" w:cs="Times New Roman"/>
          <w:lang w:val="en-GB"/>
        </w:rPr>
        <w:t xml:space="preserve">The object of the analyses is to illuminate the influence of </w:t>
      </w:r>
      <w:r w:rsidR="0033570F">
        <w:rPr>
          <w:rFonts w:ascii="Times New Roman" w:hAnsi="Times New Roman" w:cs="Times New Roman"/>
          <w:lang w:val="en-GB"/>
        </w:rPr>
        <w:t>such</w:t>
      </w:r>
      <w:r w:rsidR="00EF1805" w:rsidRPr="00F10F30">
        <w:rPr>
          <w:rFonts w:ascii="Times New Roman" w:hAnsi="Times New Roman" w:cs="Times New Roman"/>
          <w:lang w:val="en-GB"/>
        </w:rPr>
        <w:t xml:space="preserve"> factors on the decision to move away in con</w:t>
      </w:r>
      <w:r w:rsidR="0033570F">
        <w:rPr>
          <w:rFonts w:ascii="Times New Roman" w:hAnsi="Times New Roman" w:cs="Times New Roman"/>
          <w:lang w:val="en-GB"/>
        </w:rPr>
        <w:t>nection with start of education</w:t>
      </w:r>
      <w:r w:rsidR="00EF1805" w:rsidRPr="00F10F30">
        <w:rPr>
          <w:rFonts w:ascii="Times New Roman" w:hAnsi="Times New Roman" w:cs="Times New Roman"/>
          <w:lang w:val="en-GB"/>
        </w:rPr>
        <w:t>. Moreover, to test differences between the cohorts in moving when controlled for background variables.</w:t>
      </w:r>
    </w:p>
    <w:p w:rsidR="00F10F30" w:rsidRPr="00F10F30" w:rsidRDefault="00F10F30" w:rsidP="00F10F30">
      <w:pPr>
        <w:spacing w:after="0"/>
        <w:rPr>
          <w:rFonts w:ascii="Times New Roman" w:hAnsi="Times New Roman" w:cs="Times New Roman"/>
          <w:lang w:val="en-GB"/>
        </w:rPr>
      </w:pPr>
    </w:p>
    <w:p w:rsidR="00C928D3" w:rsidRDefault="00C928D3" w:rsidP="00F10F30">
      <w:pPr>
        <w:spacing w:after="0"/>
        <w:rPr>
          <w:rFonts w:ascii="Times New Roman" w:hAnsi="Times New Roman" w:cs="Times New Roman"/>
          <w:lang w:val="en-GB"/>
        </w:rPr>
      </w:pPr>
      <w:r w:rsidRPr="00F10F30">
        <w:rPr>
          <w:rFonts w:ascii="Times New Roman" w:hAnsi="Times New Roman" w:cs="Times New Roman"/>
          <w:lang w:val="en-GB"/>
        </w:rPr>
        <w:t xml:space="preserve">The method used is </w:t>
      </w:r>
      <w:r w:rsidR="00EF1805" w:rsidRPr="00F10F30">
        <w:rPr>
          <w:rFonts w:ascii="Times New Roman" w:hAnsi="Times New Roman" w:cs="Times New Roman"/>
          <w:lang w:val="en-GB"/>
        </w:rPr>
        <w:t xml:space="preserve">to make three </w:t>
      </w:r>
      <w:r w:rsidRPr="00F10F30">
        <w:rPr>
          <w:rFonts w:ascii="Times New Roman" w:hAnsi="Times New Roman" w:cs="Times New Roman"/>
          <w:lang w:val="en-GB"/>
        </w:rPr>
        <w:t xml:space="preserve">logistic regressions of </w:t>
      </w:r>
      <w:r w:rsidR="007C7B3C" w:rsidRPr="00F10F30">
        <w:rPr>
          <w:rFonts w:ascii="Times New Roman" w:hAnsi="Times New Roman" w:cs="Times New Roman"/>
          <w:lang w:val="en-GB"/>
        </w:rPr>
        <w:t xml:space="preserve">what determines </w:t>
      </w:r>
      <w:r w:rsidR="00EF1805" w:rsidRPr="00F10F30">
        <w:rPr>
          <w:rFonts w:ascii="Times New Roman" w:hAnsi="Times New Roman" w:cs="Times New Roman"/>
          <w:lang w:val="en-GB"/>
        </w:rPr>
        <w:t xml:space="preserve">if young people in the age of 17 to 25 </w:t>
      </w:r>
      <w:r w:rsidRPr="00F10F30">
        <w:rPr>
          <w:rFonts w:ascii="Times New Roman" w:hAnsi="Times New Roman" w:cs="Times New Roman"/>
          <w:lang w:val="en-GB"/>
        </w:rPr>
        <w:t xml:space="preserve">move </w:t>
      </w:r>
      <w:r w:rsidR="007C7B3C" w:rsidRPr="00F10F30">
        <w:rPr>
          <w:rFonts w:ascii="Times New Roman" w:hAnsi="Times New Roman" w:cs="Times New Roman"/>
          <w:lang w:val="en-GB"/>
        </w:rPr>
        <w:t xml:space="preserve">away from fringe areas (and islands) </w:t>
      </w:r>
      <w:r w:rsidRPr="00F10F30">
        <w:rPr>
          <w:rFonts w:ascii="Times New Roman" w:hAnsi="Times New Roman" w:cs="Times New Roman"/>
          <w:lang w:val="en-GB"/>
        </w:rPr>
        <w:t xml:space="preserve">in connection either with starting vocational training, middle term education or higher education. Moreover an analysis is done for starting </w:t>
      </w:r>
      <w:r w:rsidR="00EF1805" w:rsidRPr="00F10F30">
        <w:rPr>
          <w:rFonts w:ascii="Times New Roman" w:hAnsi="Times New Roman" w:cs="Times New Roman"/>
          <w:lang w:val="en-GB"/>
        </w:rPr>
        <w:t xml:space="preserve">all kind of </w:t>
      </w:r>
      <w:r w:rsidRPr="00F10F30">
        <w:rPr>
          <w:rFonts w:ascii="Times New Roman" w:hAnsi="Times New Roman" w:cs="Times New Roman"/>
          <w:lang w:val="en-GB"/>
        </w:rPr>
        <w:t>education providing a formal qualification. The independent variables used are:</w:t>
      </w:r>
    </w:p>
    <w:p w:rsidR="00F10F30" w:rsidRPr="00F10F30" w:rsidRDefault="00F10F30" w:rsidP="00F10F30">
      <w:pPr>
        <w:spacing w:after="0"/>
        <w:rPr>
          <w:rFonts w:ascii="Times New Roman" w:hAnsi="Times New Roman" w:cs="Times New Roman"/>
          <w:lang w:val="en-GB"/>
        </w:rPr>
      </w:pPr>
    </w:p>
    <w:p w:rsidR="00CE778F" w:rsidRPr="00F10F30" w:rsidRDefault="00CE778F" w:rsidP="00F10F30">
      <w:pPr>
        <w:pStyle w:val="Listeafsnit"/>
        <w:numPr>
          <w:ilvl w:val="0"/>
          <w:numId w:val="2"/>
        </w:numPr>
        <w:spacing w:after="0" w:line="240" w:lineRule="auto"/>
        <w:rPr>
          <w:rFonts w:ascii="Times New Roman" w:eastAsia="Times New Roman" w:hAnsi="Times New Roman" w:cs="Times New Roman"/>
          <w:color w:val="000000"/>
          <w:lang w:val="en-GB" w:eastAsia="da-DK"/>
        </w:rPr>
      </w:pPr>
      <w:r w:rsidRPr="00F10F30">
        <w:rPr>
          <w:rFonts w:ascii="Times New Roman" w:eastAsia="Times New Roman" w:hAnsi="Times New Roman" w:cs="Times New Roman"/>
          <w:b/>
          <w:bCs/>
          <w:color w:val="000000"/>
          <w:lang w:val="en-GB" w:eastAsia="da-DK"/>
        </w:rPr>
        <w:t>Cohort</w:t>
      </w:r>
      <w:r w:rsidRPr="00F10F30">
        <w:rPr>
          <w:rFonts w:ascii="Times New Roman" w:eastAsia="Times New Roman" w:hAnsi="Times New Roman" w:cs="Times New Roman"/>
          <w:bCs/>
          <w:color w:val="000000"/>
          <w:lang w:val="en-GB" w:eastAsia="da-DK"/>
        </w:rPr>
        <w:t xml:space="preserve">: 1990-94, </w:t>
      </w:r>
      <w:r w:rsidRPr="00F10F30">
        <w:rPr>
          <w:rFonts w:ascii="Times New Roman" w:eastAsia="Times New Roman" w:hAnsi="Times New Roman" w:cs="Times New Roman"/>
          <w:color w:val="000000"/>
          <w:lang w:val="en-GB" w:eastAsia="da-DK"/>
        </w:rPr>
        <w:t>1995-99, 2000-04, 2005-</w:t>
      </w:r>
    </w:p>
    <w:p w:rsidR="00CE778F" w:rsidRPr="00F10F30" w:rsidRDefault="00CE778F" w:rsidP="00F10F30">
      <w:pPr>
        <w:spacing w:after="0" w:line="240" w:lineRule="auto"/>
        <w:rPr>
          <w:rFonts w:ascii="Times New Roman" w:eastAsia="Times New Roman" w:hAnsi="Times New Roman" w:cs="Times New Roman"/>
          <w:b/>
          <w:color w:val="000000"/>
          <w:lang w:val="en-GB" w:eastAsia="da-DK"/>
        </w:rPr>
      </w:pPr>
      <w:r w:rsidRPr="00F10F30">
        <w:rPr>
          <w:rFonts w:ascii="Times New Roman" w:eastAsia="Times New Roman" w:hAnsi="Times New Roman" w:cs="Times New Roman"/>
          <w:b/>
          <w:color w:val="000000"/>
          <w:lang w:val="en-GB" w:eastAsia="da-DK"/>
        </w:rPr>
        <w:t>Geographical location</w:t>
      </w:r>
    </w:p>
    <w:p w:rsidR="00CE778F" w:rsidRPr="00F10F30" w:rsidRDefault="00CE778F" w:rsidP="00F10F30">
      <w:pPr>
        <w:pStyle w:val="Listeafsnit"/>
        <w:numPr>
          <w:ilvl w:val="0"/>
          <w:numId w:val="2"/>
        </w:numPr>
        <w:spacing w:after="0"/>
        <w:rPr>
          <w:rFonts w:ascii="Times New Roman" w:eastAsia="Times New Roman" w:hAnsi="Times New Roman" w:cs="Times New Roman"/>
          <w:b/>
          <w:bCs/>
          <w:color w:val="000000"/>
          <w:lang w:val="en-GB" w:eastAsia="da-DK"/>
        </w:rPr>
      </w:pPr>
      <w:r w:rsidRPr="00F10F30">
        <w:rPr>
          <w:rFonts w:ascii="Times New Roman" w:eastAsia="Times New Roman" w:hAnsi="Times New Roman" w:cs="Times New Roman"/>
          <w:b/>
          <w:bCs/>
          <w:color w:val="000000"/>
          <w:lang w:val="en-GB" w:eastAsia="da-DK"/>
        </w:rPr>
        <w:t>Fringe area/Islands</w:t>
      </w:r>
    </w:p>
    <w:p w:rsidR="00CE778F" w:rsidRPr="00F10F30" w:rsidRDefault="00CE778F" w:rsidP="00F10F30">
      <w:pPr>
        <w:pStyle w:val="Listeafsnit"/>
        <w:numPr>
          <w:ilvl w:val="0"/>
          <w:numId w:val="2"/>
        </w:numPr>
        <w:spacing w:after="0"/>
        <w:rPr>
          <w:rFonts w:ascii="Times New Roman" w:eastAsia="Times New Roman" w:hAnsi="Times New Roman" w:cs="Times New Roman"/>
          <w:color w:val="000000"/>
          <w:lang w:val="en-GB" w:eastAsia="da-DK"/>
        </w:rPr>
      </w:pPr>
      <w:r w:rsidRPr="00F10F30">
        <w:rPr>
          <w:rFonts w:ascii="Times New Roman" w:eastAsia="Times New Roman" w:hAnsi="Times New Roman" w:cs="Times New Roman"/>
          <w:b/>
          <w:bCs/>
          <w:color w:val="000000"/>
          <w:lang w:val="en-GB" w:eastAsia="da-DK"/>
        </w:rPr>
        <w:t>Region</w:t>
      </w:r>
      <w:r w:rsidRPr="00F10F30">
        <w:rPr>
          <w:rFonts w:ascii="Times New Roman" w:eastAsia="Times New Roman" w:hAnsi="Times New Roman" w:cs="Times New Roman"/>
          <w:bCs/>
          <w:color w:val="000000"/>
          <w:lang w:val="en-GB" w:eastAsia="da-DK"/>
        </w:rPr>
        <w:t xml:space="preserve">: </w:t>
      </w:r>
      <w:proofErr w:type="spellStart"/>
      <w:r w:rsidRPr="00F10F30">
        <w:rPr>
          <w:rFonts w:ascii="Times New Roman" w:eastAsia="Times New Roman" w:hAnsi="Times New Roman" w:cs="Times New Roman"/>
          <w:bCs/>
          <w:color w:val="000000"/>
          <w:lang w:val="en-GB" w:eastAsia="da-DK"/>
        </w:rPr>
        <w:t>Sealand</w:t>
      </w:r>
      <w:proofErr w:type="spellEnd"/>
      <w:r w:rsidRPr="00F10F30">
        <w:rPr>
          <w:rFonts w:ascii="Times New Roman" w:eastAsia="Times New Roman" w:hAnsi="Times New Roman" w:cs="Times New Roman"/>
          <w:bCs/>
          <w:color w:val="000000"/>
          <w:lang w:val="en-GB" w:eastAsia="da-DK"/>
        </w:rPr>
        <w:t xml:space="preserve">, </w:t>
      </w:r>
      <w:proofErr w:type="spellStart"/>
      <w:r w:rsidRPr="00F10F30">
        <w:rPr>
          <w:rFonts w:ascii="Times New Roman" w:eastAsia="Times New Roman" w:hAnsi="Times New Roman" w:cs="Times New Roman"/>
          <w:color w:val="000000"/>
          <w:lang w:val="en-GB" w:eastAsia="da-DK"/>
        </w:rPr>
        <w:t>Fynen</w:t>
      </w:r>
      <w:proofErr w:type="spellEnd"/>
      <w:r w:rsidRPr="00F10F30">
        <w:rPr>
          <w:rFonts w:ascii="Times New Roman" w:eastAsia="Times New Roman" w:hAnsi="Times New Roman" w:cs="Times New Roman"/>
          <w:color w:val="000000"/>
          <w:lang w:val="en-GB" w:eastAsia="da-DK"/>
        </w:rPr>
        <w:t>, Jutland</w:t>
      </w:r>
    </w:p>
    <w:p w:rsidR="00CE778F" w:rsidRPr="00F10F30" w:rsidRDefault="00CE778F" w:rsidP="00F10F30">
      <w:pPr>
        <w:spacing w:after="0"/>
        <w:rPr>
          <w:rFonts w:ascii="Times New Roman" w:eastAsia="Times New Roman" w:hAnsi="Times New Roman" w:cs="Times New Roman"/>
          <w:b/>
          <w:color w:val="000000"/>
          <w:lang w:val="en-GB" w:eastAsia="da-DK"/>
        </w:rPr>
      </w:pPr>
      <w:r w:rsidRPr="00F10F30">
        <w:rPr>
          <w:rFonts w:ascii="Times New Roman" w:eastAsia="Times New Roman" w:hAnsi="Times New Roman" w:cs="Times New Roman"/>
          <w:b/>
          <w:color w:val="000000"/>
          <w:lang w:val="en-GB" w:eastAsia="da-DK"/>
        </w:rPr>
        <w:t>Personal variables</w:t>
      </w:r>
    </w:p>
    <w:p w:rsidR="00CE778F" w:rsidRPr="00F10F30" w:rsidRDefault="00CE778F" w:rsidP="00F10F30">
      <w:pPr>
        <w:pStyle w:val="Listeafsnit"/>
        <w:numPr>
          <w:ilvl w:val="0"/>
          <w:numId w:val="2"/>
        </w:numPr>
        <w:spacing w:after="0"/>
        <w:rPr>
          <w:rFonts w:ascii="Times New Roman" w:hAnsi="Times New Roman" w:cs="Times New Roman"/>
          <w:lang w:val="en-GB"/>
        </w:rPr>
      </w:pPr>
      <w:r w:rsidRPr="00F10F30">
        <w:rPr>
          <w:rFonts w:ascii="Times New Roman" w:hAnsi="Times New Roman" w:cs="Times New Roman"/>
          <w:b/>
          <w:lang w:val="en-GB"/>
        </w:rPr>
        <w:t>Age</w:t>
      </w:r>
      <w:r w:rsidRPr="00F10F30">
        <w:rPr>
          <w:rFonts w:ascii="Times New Roman" w:hAnsi="Times New Roman" w:cs="Times New Roman"/>
          <w:lang w:val="en-GB"/>
        </w:rPr>
        <w:t xml:space="preserve"> at </w:t>
      </w:r>
      <w:r w:rsidR="0033570F">
        <w:rPr>
          <w:rFonts w:ascii="Times New Roman" w:hAnsi="Times New Roman" w:cs="Times New Roman"/>
          <w:lang w:val="en-GB"/>
        </w:rPr>
        <w:t>end</w:t>
      </w:r>
      <w:r w:rsidRPr="00F10F30">
        <w:rPr>
          <w:rFonts w:ascii="Times New Roman" w:hAnsi="Times New Roman" w:cs="Times New Roman"/>
          <w:lang w:val="en-GB"/>
        </w:rPr>
        <w:t xml:space="preserve"> of year: every year 18-25</w:t>
      </w:r>
    </w:p>
    <w:p w:rsidR="00CE778F" w:rsidRPr="00F10F30" w:rsidRDefault="00CE778F" w:rsidP="00F10F30">
      <w:pPr>
        <w:pStyle w:val="Listeafsnit"/>
        <w:numPr>
          <w:ilvl w:val="0"/>
          <w:numId w:val="2"/>
        </w:numPr>
        <w:spacing w:after="0" w:line="240" w:lineRule="auto"/>
        <w:rPr>
          <w:rFonts w:ascii="Times New Roman" w:eastAsia="Times New Roman" w:hAnsi="Times New Roman" w:cs="Times New Roman"/>
          <w:b/>
          <w:bCs/>
          <w:color w:val="000000"/>
          <w:lang w:val="en-GB" w:eastAsia="da-DK"/>
        </w:rPr>
      </w:pPr>
      <w:r w:rsidRPr="00F10F30">
        <w:rPr>
          <w:rFonts w:ascii="Times New Roman" w:eastAsia="Times New Roman" w:hAnsi="Times New Roman" w:cs="Times New Roman"/>
          <w:b/>
          <w:bCs/>
          <w:color w:val="000000"/>
          <w:lang w:val="en-GB" w:eastAsia="da-DK"/>
        </w:rPr>
        <w:t>Man/Woman</w:t>
      </w:r>
    </w:p>
    <w:p w:rsidR="00CE778F" w:rsidRPr="00F10F30" w:rsidRDefault="00CE778F" w:rsidP="00F10F30">
      <w:pPr>
        <w:pStyle w:val="Listeafsnit"/>
        <w:numPr>
          <w:ilvl w:val="0"/>
          <w:numId w:val="2"/>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
          <w:bCs/>
          <w:color w:val="000000"/>
          <w:lang w:val="en-GB" w:eastAsia="da-DK"/>
        </w:rPr>
        <w:t>Ethnic background</w:t>
      </w:r>
      <w:r w:rsidRPr="00F10F30">
        <w:rPr>
          <w:rFonts w:ascii="Times New Roman" w:eastAsia="Times New Roman" w:hAnsi="Times New Roman" w:cs="Times New Roman"/>
          <w:bCs/>
          <w:color w:val="000000"/>
          <w:lang w:val="en-GB" w:eastAsia="da-DK"/>
        </w:rPr>
        <w:t>: Danish, Immigrant, Descendant</w:t>
      </w:r>
    </w:p>
    <w:p w:rsidR="00CE778F" w:rsidRPr="00F10F30" w:rsidRDefault="00CE778F" w:rsidP="00F10F30">
      <w:pPr>
        <w:spacing w:after="0" w:line="240" w:lineRule="auto"/>
        <w:rPr>
          <w:rFonts w:ascii="Times New Roman" w:eastAsia="Times New Roman" w:hAnsi="Times New Roman" w:cs="Times New Roman"/>
          <w:b/>
          <w:bCs/>
          <w:color w:val="000000"/>
          <w:lang w:val="en-GB" w:eastAsia="da-DK"/>
        </w:rPr>
      </w:pPr>
      <w:r w:rsidRPr="00F10F30">
        <w:rPr>
          <w:rFonts w:ascii="Times New Roman" w:eastAsia="Times New Roman" w:hAnsi="Times New Roman" w:cs="Times New Roman"/>
          <w:b/>
          <w:bCs/>
          <w:color w:val="000000"/>
          <w:lang w:val="en-GB" w:eastAsia="da-DK"/>
        </w:rPr>
        <w:t xml:space="preserve">Events during the year: </w:t>
      </w:r>
    </w:p>
    <w:p w:rsidR="00CE778F" w:rsidRPr="00F10F30" w:rsidRDefault="00CE778F" w:rsidP="00F10F30">
      <w:pPr>
        <w:pStyle w:val="Listeafsnit"/>
        <w:numPr>
          <w:ilvl w:val="0"/>
          <w:numId w:val="3"/>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Cs/>
          <w:color w:val="000000"/>
          <w:lang w:val="en-GB" w:eastAsia="da-DK"/>
        </w:rPr>
        <w:t xml:space="preserve">Lost job </w:t>
      </w:r>
    </w:p>
    <w:p w:rsidR="00CE778F" w:rsidRPr="00F10F30" w:rsidRDefault="00CE778F" w:rsidP="00F10F30">
      <w:pPr>
        <w:pStyle w:val="Listeafsnit"/>
        <w:numPr>
          <w:ilvl w:val="0"/>
          <w:numId w:val="3"/>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Cs/>
          <w:color w:val="000000"/>
          <w:lang w:val="en-GB" w:eastAsia="da-DK"/>
        </w:rPr>
        <w:t xml:space="preserve">Moved together with partner </w:t>
      </w:r>
    </w:p>
    <w:p w:rsidR="00CE778F" w:rsidRPr="00F10F30" w:rsidRDefault="00CE778F" w:rsidP="00F10F30">
      <w:pPr>
        <w:pStyle w:val="Listeafsnit"/>
        <w:numPr>
          <w:ilvl w:val="0"/>
          <w:numId w:val="3"/>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Cs/>
          <w:color w:val="000000"/>
          <w:lang w:val="en-GB" w:eastAsia="da-DK"/>
        </w:rPr>
        <w:t xml:space="preserve">Got divorced </w:t>
      </w:r>
    </w:p>
    <w:p w:rsidR="00CE778F" w:rsidRPr="00F10F30" w:rsidRDefault="00CE778F" w:rsidP="00F10F30">
      <w:pPr>
        <w:pStyle w:val="Listeafsnit"/>
        <w:numPr>
          <w:ilvl w:val="0"/>
          <w:numId w:val="3"/>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Cs/>
          <w:color w:val="000000"/>
          <w:lang w:val="en-GB" w:eastAsia="da-DK"/>
        </w:rPr>
        <w:t xml:space="preserve">Got first child birth </w:t>
      </w:r>
    </w:p>
    <w:p w:rsidR="00CE778F" w:rsidRDefault="00CE778F" w:rsidP="00F10F30">
      <w:pPr>
        <w:pStyle w:val="Listeafsnit"/>
        <w:numPr>
          <w:ilvl w:val="0"/>
          <w:numId w:val="3"/>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Cs/>
          <w:color w:val="000000"/>
          <w:lang w:val="en-GB" w:eastAsia="da-DK"/>
        </w:rPr>
        <w:t>Got second or more child birth</w:t>
      </w:r>
    </w:p>
    <w:p w:rsidR="0033570F" w:rsidRPr="0033570F" w:rsidRDefault="0033570F" w:rsidP="0033570F">
      <w:pPr>
        <w:pStyle w:val="Listeafsnit"/>
        <w:numPr>
          <w:ilvl w:val="0"/>
          <w:numId w:val="3"/>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Cs/>
          <w:color w:val="000000"/>
          <w:lang w:val="en-GB" w:eastAsia="da-DK"/>
        </w:rPr>
        <w:t xml:space="preserve">Have been abroad last year </w:t>
      </w:r>
    </w:p>
    <w:p w:rsidR="00CE778F" w:rsidRPr="00F10F30" w:rsidRDefault="00CE778F" w:rsidP="0033570F">
      <w:p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
          <w:bCs/>
          <w:color w:val="000000"/>
          <w:lang w:val="en-GB" w:eastAsia="da-DK"/>
        </w:rPr>
        <w:t>Situation at start of the year</w:t>
      </w:r>
    </w:p>
    <w:p w:rsidR="00CE778F" w:rsidRPr="00F10F30" w:rsidRDefault="00CE778F" w:rsidP="00F10F30">
      <w:pPr>
        <w:pStyle w:val="Listeafsnit"/>
        <w:numPr>
          <w:ilvl w:val="0"/>
          <w:numId w:val="2"/>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
          <w:bCs/>
          <w:color w:val="000000"/>
          <w:lang w:val="en-GB" w:eastAsia="da-DK"/>
        </w:rPr>
        <w:t>Family situation</w:t>
      </w:r>
      <w:r w:rsidRPr="00F10F30">
        <w:rPr>
          <w:rFonts w:ascii="Times New Roman" w:eastAsia="Times New Roman" w:hAnsi="Times New Roman" w:cs="Times New Roman"/>
          <w:bCs/>
          <w:color w:val="000000"/>
          <w:lang w:val="en-GB" w:eastAsia="da-DK"/>
        </w:rPr>
        <w:t>: With parents, Single without children, Single with children, Couple without children, Couple with children, Mixed families</w:t>
      </w:r>
    </w:p>
    <w:p w:rsidR="00CE778F" w:rsidRPr="00F10F30" w:rsidRDefault="00CE778F" w:rsidP="00F10F30">
      <w:pPr>
        <w:pStyle w:val="Listeafsnit"/>
        <w:numPr>
          <w:ilvl w:val="0"/>
          <w:numId w:val="2"/>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
          <w:bCs/>
          <w:color w:val="000000"/>
          <w:lang w:val="en-GB" w:eastAsia="da-DK"/>
        </w:rPr>
        <w:t>Housing situation</w:t>
      </w:r>
      <w:r w:rsidRPr="00F10F30">
        <w:rPr>
          <w:rFonts w:ascii="Times New Roman" w:eastAsia="Times New Roman" w:hAnsi="Times New Roman" w:cs="Times New Roman"/>
          <w:bCs/>
          <w:color w:val="000000"/>
          <w:lang w:val="en-GB" w:eastAsia="da-DK"/>
        </w:rPr>
        <w:t>: with parents, Owned detached, Owned flat, Co-operative, Social Housing, Private Renting</w:t>
      </w:r>
    </w:p>
    <w:p w:rsidR="00CE778F" w:rsidRPr="00F10F30" w:rsidRDefault="00CE778F" w:rsidP="00F10F30">
      <w:pPr>
        <w:spacing w:after="0" w:line="240" w:lineRule="auto"/>
        <w:rPr>
          <w:rFonts w:ascii="Times New Roman" w:eastAsia="Times New Roman" w:hAnsi="Times New Roman" w:cs="Times New Roman"/>
          <w:b/>
          <w:bCs/>
          <w:color w:val="000000"/>
          <w:lang w:val="en-GB" w:eastAsia="da-DK"/>
        </w:rPr>
      </w:pPr>
      <w:r w:rsidRPr="00F10F30">
        <w:rPr>
          <w:rFonts w:ascii="Times New Roman" w:eastAsia="Times New Roman" w:hAnsi="Times New Roman" w:cs="Times New Roman"/>
          <w:b/>
          <w:bCs/>
          <w:color w:val="000000"/>
          <w:lang w:val="en-GB" w:eastAsia="da-DK"/>
        </w:rPr>
        <w:t xml:space="preserve">Situation when living with parents in the age of 17 </w:t>
      </w:r>
    </w:p>
    <w:p w:rsidR="00CE778F" w:rsidRPr="00F10F30" w:rsidRDefault="00CE778F" w:rsidP="00E6506C">
      <w:pPr>
        <w:pStyle w:val="Listeafsnit"/>
        <w:numPr>
          <w:ilvl w:val="0"/>
          <w:numId w:val="4"/>
        </w:numPr>
        <w:spacing w:after="0" w:line="240" w:lineRule="auto"/>
        <w:rPr>
          <w:rFonts w:ascii="Times New Roman" w:eastAsia="Times New Roman" w:hAnsi="Times New Roman" w:cs="Times New Roman"/>
          <w:bCs/>
          <w:color w:val="000000"/>
          <w:lang w:val="en-GB" w:eastAsia="da-DK"/>
        </w:rPr>
      </w:pPr>
      <w:r w:rsidRPr="00F10F30">
        <w:rPr>
          <w:rFonts w:ascii="Times New Roman" w:eastAsia="Times New Roman" w:hAnsi="Times New Roman" w:cs="Times New Roman"/>
          <w:b/>
          <w:bCs/>
          <w:color w:val="000000"/>
          <w:lang w:val="en-GB" w:eastAsia="da-DK"/>
        </w:rPr>
        <w:t>Living with both parents</w:t>
      </w:r>
    </w:p>
    <w:p w:rsidR="00CE778F" w:rsidRPr="00F10F30" w:rsidRDefault="00CE778F" w:rsidP="00F10F30">
      <w:pPr>
        <w:pStyle w:val="Listeafsnit"/>
        <w:numPr>
          <w:ilvl w:val="0"/>
          <w:numId w:val="4"/>
        </w:numPr>
        <w:spacing w:after="0" w:line="240" w:lineRule="auto"/>
        <w:rPr>
          <w:rFonts w:ascii="Times New Roman" w:hAnsi="Times New Roman" w:cs="Times New Roman"/>
          <w:lang w:val="en-GB"/>
        </w:rPr>
      </w:pPr>
      <w:r w:rsidRPr="00F10F30">
        <w:rPr>
          <w:rFonts w:ascii="Times New Roman" w:eastAsia="Times New Roman" w:hAnsi="Times New Roman" w:cs="Times New Roman"/>
          <w:b/>
          <w:bCs/>
          <w:color w:val="000000"/>
          <w:lang w:val="en-GB" w:eastAsia="da-DK"/>
        </w:rPr>
        <w:t>Parents education</w:t>
      </w:r>
      <w:r w:rsidR="00E14B00" w:rsidRPr="00F10F30">
        <w:rPr>
          <w:rFonts w:ascii="Times New Roman" w:eastAsia="Times New Roman" w:hAnsi="Times New Roman" w:cs="Times New Roman"/>
          <w:b/>
          <w:bCs/>
          <w:color w:val="000000"/>
          <w:lang w:val="en-GB" w:eastAsia="da-DK"/>
        </w:rPr>
        <w:t xml:space="preserve">: </w:t>
      </w:r>
      <w:r w:rsidRPr="00F10F30">
        <w:rPr>
          <w:rFonts w:ascii="Times New Roman" w:eastAsia="Times New Roman" w:hAnsi="Times New Roman" w:cs="Times New Roman"/>
          <w:bCs/>
          <w:color w:val="000000"/>
          <w:lang w:val="en-GB" w:eastAsia="da-DK"/>
        </w:rPr>
        <w:t>Primary school</w:t>
      </w:r>
      <w:r w:rsidR="00E14B00" w:rsidRPr="00F10F30">
        <w:rPr>
          <w:rFonts w:ascii="Times New Roman" w:eastAsia="Times New Roman" w:hAnsi="Times New Roman" w:cs="Times New Roman"/>
          <w:bCs/>
          <w:color w:val="000000"/>
          <w:lang w:val="en-GB" w:eastAsia="da-DK"/>
        </w:rPr>
        <w:t xml:space="preserve">, Secondary, </w:t>
      </w:r>
      <w:r w:rsidRPr="00F10F30">
        <w:rPr>
          <w:rFonts w:ascii="Times New Roman" w:eastAsia="Times New Roman" w:hAnsi="Times New Roman" w:cs="Times New Roman"/>
          <w:bCs/>
          <w:color w:val="000000"/>
          <w:lang w:val="en-GB" w:eastAsia="da-DK"/>
        </w:rPr>
        <w:t>Vocational training etc.</w:t>
      </w:r>
      <w:r w:rsidR="00E14B00" w:rsidRPr="00F10F30">
        <w:rPr>
          <w:rFonts w:ascii="Times New Roman" w:eastAsia="Times New Roman" w:hAnsi="Times New Roman" w:cs="Times New Roman"/>
          <w:bCs/>
          <w:color w:val="000000"/>
          <w:lang w:val="en-GB" w:eastAsia="da-DK"/>
        </w:rPr>
        <w:t xml:space="preserve">, </w:t>
      </w:r>
      <w:r w:rsidRPr="00F10F30">
        <w:rPr>
          <w:rFonts w:ascii="Times New Roman" w:eastAsia="Times New Roman" w:hAnsi="Times New Roman" w:cs="Times New Roman"/>
          <w:bCs/>
          <w:color w:val="000000"/>
          <w:lang w:val="en-GB" w:eastAsia="da-DK"/>
        </w:rPr>
        <w:t>Medium term</w:t>
      </w:r>
      <w:r w:rsidR="00E14B00" w:rsidRPr="00F10F30">
        <w:rPr>
          <w:rFonts w:ascii="Times New Roman" w:eastAsia="Times New Roman" w:hAnsi="Times New Roman" w:cs="Times New Roman"/>
          <w:bCs/>
          <w:color w:val="000000"/>
          <w:lang w:val="en-GB" w:eastAsia="da-DK"/>
        </w:rPr>
        <w:t xml:space="preserve">, </w:t>
      </w:r>
      <w:r w:rsidRPr="00F10F30">
        <w:rPr>
          <w:rFonts w:ascii="Times New Roman" w:eastAsia="Times New Roman" w:hAnsi="Times New Roman" w:cs="Times New Roman"/>
          <w:bCs/>
          <w:color w:val="000000"/>
          <w:lang w:val="en-GB" w:eastAsia="da-DK"/>
        </w:rPr>
        <w:t>Bachelor</w:t>
      </w:r>
      <w:r w:rsidR="00E14B00" w:rsidRPr="00F10F30">
        <w:rPr>
          <w:rFonts w:ascii="Times New Roman" w:eastAsia="Times New Roman" w:hAnsi="Times New Roman" w:cs="Times New Roman"/>
          <w:bCs/>
          <w:color w:val="000000"/>
          <w:lang w:val="en-GB" w:eastAsia="da-DK"/>
        </w:rPr>
        <w:t>, higher education</w:t>
      </w:r>
    </w:p>
    <w:p w:rsidR="00C878AA" w:rsidRPr="00F10F30" w:rsidRDefault="00C878AA" w:rsidP="00F10F30">
      <w:pPr>
        <w:spacing w:after="0" w:line="240" w:lineRule="auto"/>
        <w:ind w:left="360"/>
        <w:rPr>
          <w:rFonts w:ascii="Times New Roman" w:hAnsi="Times New Roman" w:cs="Times New Roman"/>
          <w:lang w:val="en-GB"/>
        </w:rPr>
      </w:pPr>
    </w:p>
    <w:p w:rsidR="00F10F30" w:rsidRDefault="00EF1805" w:rsidP="00F10F30">
      <w:pPr>
        <w:spacing w:after="0" w:line="240" w:lineRule="auto"/>
        <w:ind w:left="360"/>
        <w:rPr>
          <w:rFonts w:ascii="Times New Roman" w:hAnsi="Times New Roman" w:cs="Times New Roman"/>
          <w:lang w:val="en-GB"/>
        </w:rPr>
      </w:pPr>
      <w:r w:rsidRPr="00F10F30">
        <w:rPr>
          <w:rFonts w:ascii="Times New Roman" w:hAnsi="Times New Roman" w:cs="Times New Roman"/>
          <w:lang w:val="en-GB"/>
        </w:rPr>
        <w:t xml:space="preserve">In </w:t>
      </w:r>
      <w:r w:rsidRPr="00F10F30">
        <w:rPr>
          <w:rFonts w:ascii="Times New Roman" w:hAnsi="Times New Roman" w:cs="Times New Roman"/>
          <w:lang w:val="en-GB"/>
        </w:rPr>
        <w:fldChar w:fldCharType="begin"/>
      </w:r>
      <w:r w:rsidRPr="00F10F30">
        <w:rPr>
          <w:rFonts w:ascii="Times New Roman" w:hAnsi="Times New Roman" w:cs="Times New Roman"/>
          <w:lang w:val="en-GB"/>
        </w:rPr>
        <w:instrText xml:space="preserve"> REF _Ref449961061 \h </w:instrText>
      </w:r>
      <w:r w:rsidR="00383E7E" w:rsidRPr="00F10F30">
        <w:rPr>
          <w:rFonts w:ascii="Times New Roman" w:hAnsi="Times New Roman" w:cs="Times New Roman"/>
          <w:lang w:val="en-GB"/>
        </w:rPr>
        <w:instrText xml:space="preserve"> \* MERGEFORMAT </w:instrText>
      </w:r>
      <w:r w:rsidRPr="00F10F30">
        <w:rPr>
          <w:rFonts w:ascii="Times New Roman" w:hAnsi="Times New Roman" w:cs="Times New Roman"/>
          <w:lang w:val="en-GB"/>
        </w:rPr>
      </w:r>
      <w:r w:rsidRPr="00F10F30">
        <w:rPr>
          <w:rFonts w:ascii="Times New Roman" w:hAnsi="Times New Roman" w:cs="Times New Roman"/>
          <w:lang w:val="en-GB"/>
        </w:rPr>
        <w:fldChar w:fldCharType="separate"/>
      </w:r>
      <w:r w:rsidRPr="00F10F30">
        <w:rPr>
          <w:rFonts w:ascii="Times New Roman" w:hAnsi="Times New Roman" w:cs="Times New Roman"/>
          <w:lang w:val="en-GB"/>
        </w:rPr>
        <w:t xml:space="preserve">Table </w:t>
      </w:r>
      <w:r w:rsidRPr="00F10F30">
        <w:rPr>
          <w:rFonts w:ascii="Times New Roman" w:hAnsi="Times New Roman" w:cs="Times New Roman"/>
          <w:noProof/>
          <w:lang w:val="en-GB"/>
        </w:rPr>
        <w:t>4</w:t>
      </w:r>
      <w:r w:rsidRPr="00F10F30">
        <w:rPr>
          <w:rFonts w:ascii="Times New Roman" w:hAnsi="Times New Roman" w:cs="Times New Roman"/>
          <w:lang w:val="en-GB"/>
        </w:rPr>
        <w:fldChar w:fldCharType="end"/>
      </w:r>
      <w:r w:rsidRPr="00F10F30">
        <w:rPr>
          <w:rFonts w:ascii="Times New Roman" w:hAnsi="Times New Roman" w:cs="Times New Roman"/>
          <w:lang w:val="en-GB"/>
        </w:rPr>
        <w:t xml:space="preserve"> is shown the results (odd ratios) for the four regressions.</w:t>
      </w:r>
    </w:p>
    <w:p w:rsidR="00F10F30" w:rsidRDefault="00F10F30" w:rsidP="00F10F30">
      <w:pPr>
        <w:rPr>
          <w:lang w:val="en-GB"/>
        </w:rPr>
      </w:pPr>
      <w:r>
        <w:rPr>
          <w:lang w:val="en-GB"/>
        </w:rPr>
        <w:br w:type="page"/>
      </w:r>
    </w:p>
    <w:p w:rsidR="007C7B3C" w:rsidRPr="00F10F30" w:rsidRDefault="007C7B3C" w:rsidP="00F10F30">
      <w:pPr>
        <w:spacing w:after="0" w:line="240" w:lineRule="auto"/>
        <w:ind w:left="360"/>
        <w:rPr>
          <w:rFonts w:ascii="Times New Roman" w:hAnsi="Times New Roman" w:cs="Times New Roman"/>
          <w:lang w:val="en-GB"/>
        </w:rPr>
      </w:pPr>
    </w:p>
    <w:p w:rsidR="008840B4" w:rsidRPr="00F10F30" w:rsidRDefault="008840B4" w:rsidP="00F10F30">
      <w:pPr>
        <w:spacing w:after="0" w:line="240" w:lineRule="auto"/>
        <w:ind w:left="360"/>
        <w:rPr>
          <w:rFonts w:ascii="Times New Roman" w:hAnsi="Times New Roman" w:cs="Times New Roman"/>
          <w:lang w:val="en-GB"/>
        </w:rPr>
      </w:pPr>
    </w:p>
    <w:p w:rsidR="00E80F55" w:rsidRDefault="007C7B3C" w:rsidP="00E80F55">
      <w:pPr>
        <w:pStyle w:val="Billedtekst"/>
        <w:spacing w:after="0"/>
        <w:jc w:val="center"/>
        <w:rPr>
          <w:rFonts w:ascii="Times New Roman" w:hAnsi="Times New Roman" w:cs="Times New Roman"/>
          <w:color w:val="auto"/>
          <w:sz w:val="20"/>
          <w:szCs w:val="20"/>
          <w:lang w:val="en-GB"/>
        </w:rPr>
      </w:pPr>
      <w:bookmarkStart w:id="8" w:name="_Ref449961061"/>
      <w:proofErr w:type="gramStart"/>
      <w:r w:rsidRPr="00F10F30">
        <w:rPr>
          <w:rFonts w:ascii="Times New Roman" w:hAnsi="Times New Roman" w:cs="Times New Roman"/>
          <w:color w:val="auto"/>
          <w:sz w:val="20"/>
          <w:szCs w:val="20"/>
          <w:lang w:val="en-GB"/>
        </w:rPr>
        <w:t xml:space="preserve">Table </w:t>
      </w:r>
      <w:r w:rsidRPr="00F10F30">
        <w:rPr>
          <w:rFonts w:ascii="Times New Roman" w:hAnsi="Times New Roman" w:cs="Times New Roman"/>
          <w:color w:val="auto"/>
          <w:sz w:val="20"/>
          <w:szCs w:val="20"/>
        </w:rPr>
        <w:fldChar w:fldCharType="begin"/>
      </w:r>
      <w:r w:rsidRPr="00F10F30">
        <w:rPr>
          <w:rFonts w:ascii="Times New Roman" w:hAnsi="Times New Roman" w:cs="Times New Roman"/>
          <w:color w:val="auto"/>
          <w:sz w:val="20"/>
          <w:szCs w:val="20"/>
          <w:lang w:val="en-GB"/>
        </w:rPr>
        <w:instrText xml:space="preserve"> SEQ Table \* ARABIC </w:instrText>
      </w:r>
      <w:r w:rsidRPr="00F10F30">
        <w:rPr>
          <w:rFonts w:ascii="Times New Roman" w:hAnsi="Times New Roman" w:cs="Times New Roman"/>
          <w:color w:val="auto"/>
          <w:sz w:val="20"/>
          <w:szCs w:val="20"/>
        </w:rPr>
        <w:fldChar w:fldCharType="separate"/>
      </w:r>
      <w:r w:rsidRPr="00F10F30">
        <w:rPr>
          <w:rFonts w:ascii="Times New Roman" w:hAnsi="Times New Roman" w:cs="Times New Roman"/>
          <w:noProof/>
          <w:color w:val="auto"/>
          <w:sz w:val="20"/>
          <w:szCs w:val="20"/>
          <w:lang w:val="en-GB"/>
        </w:rPr>
        <w:t>4</w:t>
      </w:r>
      <w:r w:rsidRPr="00F10F30">
        <w:rPr>
          <w:rFonts w:ascii="Times New Roman" w:hAnsi="Times New Roman" w:cs="Times New Roman"/>
          <w:color w:val="auto"/>
          <w:sz w:val="20"/>
          <w:szCs w:val="20"/>
        </w:rPr>
        <w:fldChar w:fldCharType="end"/>
      </w:r>
      <w:bookmarkEnd w:id="8"/>
      <w:r w:rsidRPr="00F10F30">
        <w:rPr>
          <w:rFonts w:ascii="Times New Roman" w:hAnsi="Times New Roman" w:cs="Times New Roman"/>
          <w:color w:val="auto"/>
          <w:sz w:val="20"/>
          <w:szCs w:val="20"/>
          <w:lang w:val="en-GB"/>
        </w:rPr>
        <w:t>.</w:t>
      </w:r>
      <w:proofErr w:type="gramEnd"/>
      <w:r w:rsidRPr="00F10F30">
        <w:rPr>
          <w:rFonts w:ascii="Times New Roman" w:hAnsi="Times New Roman" w:cs="Times New Roman"/>
          <w:color w:val="auto"/>
          <w:sz w:val="20"/>
          <w:szCs w:val="20"/>
          <w:lang w:val="en-GB"/>
        </w:rPr>
        <w:t xml:space="preserve"> Results from four logistic regressions of determinants of moving away from fringe areas in connection with start of education</w:t>
      </w:r>
    </w:p>
    <w:tbl>
      <w:tblPr>
        <w:tblW w:w="8196" w:type="dxa"/>
        <w:tblInd w:w="55" w:type="dxa"/>
        <w:tblCellMar>
          <w:left w:w="70" w:type="dxa"/>
          <w:right w:w="70" w:type="dxa"/>
        </w:tblCellMar>
        <w:tblLook w:val="04A0" w:firstRow="1" w:lastRow="0" w:firstColumn="1" w:lastColumn="0" w:noHBand="0" w:noVBand="1"/>
      </w:tblPr>
      <w:tblGrid>
        <w:gridCol w:w="2220"/>
        <w:gridCol w:w="854"/>
        <w:gridCol w:w="700"/>
        <w:gridCol w:w="860"/>
        <w:gridCol w:w="700"/>
        <w:gridCol w:w="872"/>
        <w:gridCol w:w="510"/>
        <w:gridCol w:w="936"/>
        <w:gridCol w:w="544"/>
      </w:tblGrid>
      <w:tr w:rsidR="00E80F55" w:rsidRPr="00E80F55" w:rsidTr="00E80F55">
        <w:trPr>
          <w:trHeight w:val="330"/>
        </w:trPr>
        <w:tc>
          <w:tcPr>
            <w:tcW w:w="2220" w:type="dxa"/>
            <w:tcBorders>
              <w:top w:val="single" w:sz="8" w:space="0" w:color="auto"/>
              <w:left w:val="nil"/>
              <w:bottom w:val="single" w:sz="8" w:space="0" w:color="auto"/>
              <w:right w:val="nil"/>
            </w:tcBorders>
            <w:shd w:val="clear" w:color="auto" w:fill="auto"/>
            <w:noWrap/>
            <w:vAlign w:val="center"/>
            <w:hideMark/>
          </w:tcPr>
          <w:p w:rsidR="00E80F55" w:rsidRPr="00905764"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1554" w:type="dxa"/>
            <w:gridSpan w:val="2"/>
            <w:tcBorders>
              <w:top w:val="single" w:sz="8" w:space="0" w:color="auto"/>
              <w:left w:val="nil"/>
              <w:bottom w:val="single" w:sz="8" w:space="0" w:color="auto"/>
              <w:right w:val="nil"/>
            </w:tcBorders>
            <w:shd w:val="clear" w:color="auto" w:fill="auto"/>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r w:rsidRPr="00E80F55">
              <w:rPr>
                <w:rFonts w:ascii="Arial Narrow" w:eastAsia="Times New Roman" w:hAnsi="Arial Narrow" w:cs="Times New Roman"/>
                <w:b/>
                <w:bCs/>
                <w:color w:val="000000"/>
                <w:sz w:val="18"/>
                <w:szCs w:val="18"/>
                <w:lang w:eastAsia="da-DK"/>
              </w:rPr>
              <w:t xml:space="preserve">All </w:t>
            </w:r>
            <w:proofErr w:type="spellStart"/>
            <w:r w:rsidRPr="00E80F55">
              <w:rPr>
                <w:rFonts w:ascii="Arial Narrow" w:eastAsia="Times New Roman" w:hAnsi="Arial Narrow" w:cs="Times New Roman"/>
                <w:b/>
                <w:bCs/>
                <w:color w:val="000000"/>
                <w:sz w:val="18"/>
                <w:szCs w:val="18"/>
                <w:lang w:eastAsia="da-DK"/>
              </w:rPr>
              <w:t>educations</w:t>
            </w:r>
            <w:proofErr w:type="spellEnd"/>
          </w:p>
        </w:tc>
        <w:tc>
          <w:tcPr>
            <w:tcW w:w="1560" w:type="dxa"/>
            <w:gridSpan w:val="2"/>
            <w:tcBorders>
              <w:top w:val="single" w:sz="8" w:space="0" w:color="auto"/>
              <w:left w:val="nil"/>
              <w:bottom w:val="single" w:sz="8" w:space="0" w:color="auto"/>
              <w:right w:val="nil"/>
            </w:tcBorders>
            <w:shd w:val="clear" w:color="auto" w:fill="auto"/>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roofErr w:type="spellStart"/>
            <w:r w:rsidRPr="00E80F55">
              <w:rPr>
                <w:rFonts w:ascii="Arial Narrow" w:eastAsia="Times New Roman" w:hAnsi="Arial Narrow" w:cs="Times New Roman"/>
                <w:b/>
                <w:bCs/>
                <w:color w:val="000000"/>
                <w:sz w:val="18"/>
                <w:szCs w:val="18"/>
                <w:lang w:eastAsia="da-DK"/>
              </w:rPr>
              <w:t>Vocational</w:t>
            </w:r>
            <w:proofErr w:type="spellEnd"/>
            <w:r w:rsidRPr="00E80F55">
              <w:rPr>
                <w:rFonts w:ascii="Arial Narrow" w:eastAsia="Times New Roman" w:hAnsi="Arial Narrow" w:cs="Times New Roman"/>
                <w:b/>
                <w:bCs/>
                <w:color w:val="000000"/>
                <w:sz w:val="18"/>
                <w:szCs w:val="18"/>
                <w:lang w:eastAsia="da-DK"/>
              </w:rPr>
              <w:t xml:space="preserve"> </w:t>
            </w:r>
            <w:proofErr w:type="spellStart"/>
            <w:r w:rsidRPr="00E80F55">
              <w:rPr>
                <w:rFonts w:ascii="Arial Narrow" w:eastAsia="Times New Roman" w:hAnsi="Arial Narrow" w:cs="Times New Roman"/>
                <w:b/>
                <w:bCs/>
                <w:color w:val="000000"/>
                <w:sz w:val="18"/>
                <w:szCs w:val="18"/>
                <w:lang w:eastAsia="da-DK"/>
              </w:rPr>
              <w:t>training</w:t>
            </w:r>
            <w:proofErr w:type="spellEnd"/>
          </w:p>
        </w:tc>
        <w:tc>
          <w:tcPr>
            <w:tcW w:w="1382" w:type="dxa"/>
            <w:gridSpan w:val="2"/>
            <w:tcBorders>
              <w:top w:val="single" w:sz="8" w:space="0" w:color="auto"/>
              <w:left w:val="nil"/>
              <w:bottom w:val="single" w:sz="8" w:space="0" w:color="auto"/>
              <w:right w:val="nil"/>
            </w:tcBorders>
            <w:shd w:val="clear" w:color="auto" w:fill="auto"/>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r w:rsidRPr="00E80F55">
              <w:rPr>
                <w:rFonts w:ascii="Arial Narrow" w:eastAsia="Times New Roman" w:hAnsi="Arial Narrow" w:cs="Times New Roman"/>
                <w:b/>
                <w:bCs/>
                <w:color w:val="000000"/>
                <w:sz w:val="18"/>
                <w:szCs w:val="18"/>
                <w:lang w:eastAsia="da-DK"/>
              </w:rPr>
              <w:t>Medium term</w:t>
            </w:r>
          </w:p>
        </w:tc>
        <w:tc>
          <w:tcPr>
            <w:tcW w:w="1480" w:type="dxa"/>
            <w:gridSpan w:val="2"/>
            <w:tcBorders>
              <w:top w:val="single" w:sz="8" w:space="0" w:color="auto"/>
              <w:left w:val="nil"/>
              <w:bottom w:val="single" w:sz="8" w:space="0" w:color="auto"/>
              <w:right w:val="nil"/>
            </w:tcBorders>
            <w:shd w:val="clear" w:color="auto" w:fill="auto"/>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roofErr w:type="spellStart"/>
            <w:r w:rsidRPr="00E80F55">
              <w:rPr>
                <w:rFonts w:ascii="Arial Narrow" w:eastAsia="Times New Roman" w:hAnsi="Arial Narrow" w:cs="Times New Roman"/>
                <w:b/>
                <w:bCs/>
                <w:color w:val="000000"/>
                <w:sz w:val="18"/>
                <w:szCs w:val="18"/>
                <w:lang w:eastAsia="da-DK"/>
              </w:rPr>
              <w:t>Higher</w:t>
            </w:r>
            <w:proofErr w:type="spellEnd"/>
            <w:r w:rsidRPr="00E80F55">
              <w:rPr>
                <w:rFonts w:ascii="Arial Narrow" w:eastAsia="Times New Roman" w:hAnsi="Arial Narrow" w:cs="Times New Roman"/>
                <w:b/>
                <w:bCs/>
                <w:color w:val="000000"/>
                <w:sz w:val="18"/>
                <w:szCs w:val="18"/>
                <w:lang w:eastAsia="da-DK"/>
              </w:rPr>
              <w:t xml:space="preserve"> </w:t>
            </w:r>
            <w:proofErr w:type="spellStart"/>
            <w:r w:rsidRPr="00E80F55">
              <w:rPr>
                <w:rFonts w:ascii="Arial Narrow" w:eastAsia="Times New Roman" w:hAnsi="Arial Narrow" w:cs="Times New Roman"/>
                <w:b/>
                <w:bCs/>
                <w:color w:val="000000"/>
                <w:sz w:val="18"/>
                <w:szCs w:val="18"/>
                <w:lang w:eastAsia="da-DK"/>
              </w:rPr>
              <w:t>education</w:t>
            </w:r>
            <w:proofErr w:type="spellEnd"/>
          </w:p>
        </w:tc>
      </w:tr>
      <w:tr w:rsidR="00E80F55" w:rsidRPr="00E80F55" w:rsidTr="00E80F55">
        <w:trPr>
          <w:trHeight w:val="300"/>
        </w:trPr>
        <w:tc>
          <w:tcPr>
            <w:tcW w:w="2220" w:type="dxa"/>
            <w:vMerge w:val="restart"/>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54" w:type="dxa"/>
            <w:vMerge w:val="restart"/>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Signifikans</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Odds</w:t>
            </w:r>
          </w:p>
        </w:tc>
        <w:tc>
          <w:tcPr>
            <w:tcW w:w="860" w:type="dxa"/>
            <w:vMerge w:val="restart"/>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Signifikans</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Odds</w:t>
            </w:r>
          </w:p>
        </w:tc>
        <w:tc>
          <w:tcPr>
            <w:tcW w:w="872" w:type="dxa"/>
            <w:vMerge w:val="restart"/>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Signifikans</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Odds</w:t>
            </w:r>
          </w:p>
        </w:tc>
        <w:tc>
          <w:tcPr>
            <w:tcW w:w="936" w:type="dxa"/>
            <w:vMerge w:val="restart"/>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Signifikans</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100" w:afterAutospacing="1"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Odds</w:t>
            </w:r>
          </w:p>
        </w:tc>
      </w:tr>
      <w:tr w:rsidR="00E80F55" w:rsidRPr="00E80F55" w:rsidTr="00E80F55">
        <w:trPr>
          <w:trHeight w:val="198"/>
        </w:trPr>
        <w:tc>
          <w:tcPr>
            <w:tcW w:w="2220" w:type="dxa"/>
            <w:vMerge/>
            <w:tcBorders>
              <w:top w:val="nil"/>
              <w:left w:val="nil"/>
              <w:bottom w:val="nil"/>
              <w:right w:val="nil"/>
            </w:tcBorders>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54" w:type="dxa"/>
            <w:vMerge/>
            <w:tcBorders>
              <w:top w:val="nil"/>
              <w:left w:val="nil"/>
              <w:bottom w:val="nil"/>
              <w:right w:val="nil"/>
            </w:tcBorders>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Ratios</w:t>
            </w:r>
          </w:p>
        </w:tc>
        <w:tc>
          <w:tcPr>
            <w:tcW w:w="860" w:type="dxa"/>
            <w:vMerge/>
            <w:tcBorders>
              <w:top w:val="nil"/>
              <w:left w:val="nil"/>
              <w:bottom w:val="nil"/>
              <w:right w:val="nil"/>
            </w:tcBorders>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ratios</w:t>
            </w:r>
          </w:p>
        </w:tc>
        <w:tc>
          <w:tcPr>
            <w:tcW w:w="872" w:type="dxa"/>
            <w:vMerge/>
            <w:tcBorders>
              <w:top w:val="nil"/>
              <w:left w:val="nil"/>
              <w:bottom w:val="nil"/>
              <w:right w:val="nil"/>
            </w:tcBorders>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ratios</w:t>
            </w:r>
          </w:p>
        </w:tc>
        <w:tc>
          <w:tcPr>
            <w:tcW w:w="936" w:type="dxa"/>
            <w:vMerge/>
            <w:tcBorders>
              <w:top w:val="nil"/>
              <w:left w:val="nil"/>
              <w:bottom w:val="nil"/>
              <w:right w:val="nil"/>
            </w:tcBorders>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ratios</w:t>
            </w:r>
          </w:p>
        </w:tc>
      </w:tr>
      <w:tr w:rsidR="00E80F55" w:rsidRPr="00E80F55" w:rsidTr="00E80F55">
        <w:trPr>
          <w:trHeight w:val="300"/>
        </w:trPr>
        <w:tc>
          <w:tcPr>
            <w:tcW w:w="2220" w:type="dxa"/>
            <w:tcBorders>
              <w:top w:val="single" w:sz="4" w:space="0" w:color="auto"/>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proofErr w:type="spellStart"/>
            <w:r w:rsidRPr="00E80F55">
              <w:rPr>
                <w:rFonts w:ascii="Arial Narrow" w:eastAsia="Times New Roman" w:hAnsi="Arial Narrow" w:cs="Times New Roman"/>
                <w:b/>
                <w:bCs/>
                <w:color w:val="000000"/>
                <w:sz w:val="18"/>
                <w:szCs w:val="18"/>
                <w:lang w:eastAsia="da-DK"/>
              </w:rPr>
              <w:t>Cohort</w:t>
            </w:r>
            <w:proofErr w:type="spellEnd"/>
            <w:r w:rsidRPr="00E80F55">
              <w:rPr>
                <w:rFonts w:ascii="Arial Narrow" w:eastAsia="Times New Roman" w:hAnsi="Arial Narrow" w:cs="Times New Roman"/>
                <w:b/>
                <w:bCs/>
                <w:color w:val="000000"/>
                <w:sz w:val="18"/>
                <w:szCs w:val="18"/>
                <w:lang w:eastAsia="da-DK"/>
              </w:rPr>
              <w:t xml:space="preserve"> (1990-94)</w:t>
            </w:r>
          </w:p>
        </w:tc>
        <w:tc>
          <w:tcPr>
            <w:tcW w:w="854"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6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72"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1995-99</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1,19</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1,23</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1,26</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1,09</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2000-04</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1,37</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1,40</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1,41</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1,24</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2005-</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1,69</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1,66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1,76</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1,47</w:t>
            </w:r>
          </w:p>
        </w:tc>
      </w:tr>
      <w:tr w:rsidR="00E80F55" w:rsidRPr="00E80F55" w:rsidTr="00E80F55">
        <w:trPr>
          <w:trHeight w:val="315"/>
        </w:trPr>
        <w:tc>
          <w:tcPr>
            <w:tcW w:w="222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r w:rsidRPr="00E80F55">
              <w:rPr>
                <w:rFonts w:ascii="Arial Narrow" w:eastAsia="Times New Roman" w:hAnsi="Arial Narrow" w:cs="Times New Roman"/>
                <w:b/>
                <w:bCs/>
                <w:color w:val="000000"/>
                <w:sz w:val="18"/>
                <w:szCs w:val="18"/>
                <w:lang w:eastAsia="da-DK"/>
              </w:rPr>
              <w:t>Islands</w:t>
            </w:r>
          </w:p>
        </w:tc>
        <w:tc>
          <w:tcPr>
            <w:tcW w:w="854"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1,25</w:t>
            </w:r>
          </w:p>
        </w:tc>
        <w:tc>
          <w:tcPr>
            <w:tcW w:w="86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1,49</w:t>
            </w:r>
          </w:p>
        </w:tc>
        <w:tc>
          <w:tcPr>
            <w:tcW w:w="872"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1,33</w:t>
            </w:r>
          </w:p>
        </w:tc>
        <w:tc>
          <w:tcPr>
            <w:tcW w:w="936"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,89</w:t>
            </w:r>
          </w:p>
        </w:tc>
        <w:tc>
          <w:tcPr>
            <w:tcW w:w="544"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,99</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r w:rsidRPr="00E80F55">
              <w:rPr>
                <w:rFonts w:ascii="Arial Narrow" w:eastAsia="Times New Roman" w:hAnsi="Arial Narrow" w:cs="Times New Roman"/>
                <w:b/>
                <w:bCs/>
                <w:color w:val="000000"/>
                <w:sz w:val="18"/>
                <w:szCs w:val="18"/>
                <w:lang w:eastAsia="da-DK"/>
              </w:rPr>
              <w:t>Region (</w:t>
            </w:r>
            <w:proofErr w:type="spellStart"/>
            <w:r w:rsidRPr="00E80F55">
              <w:rPr>
                <w:rFonts w:ascii="Arial Narrow" w:eastAsia="Times New Roman" w:hAnsi="Arial Narrow" w:cs="Times New Roman"/>
                <w:b/>
                <w:bCs/>
                <w:color w:val="000000"/>
                <w:sz w:val="18"/>
                <w:szCs w:val="18"/>
                <w:lang w:eastAsia="da-DK"/>
              </w:rPr>
              <w:t>Sealand</w:t>
            </w:r>
            <w:proofErr w:type="spellEnd"/>
            <w:r w:rsidRPr="00E80F55">
              <w:rPr>
                <w:rFonts w:ascii="Arial Narrow" w:eastAsia="Times New Roman" w:hAnsi="Arial Narrow" w:cs="Times New Roman"/>
                <w:b/>
                <w:bCs/>
                <w:color w:val="000000"/>
                <w:sz w:val="18"/>
                <w:szCs w:val="18"/>
                <w:lang w:eastAsia="da-DK"/>
              </w:rPr>
              <w:t>)</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Fynen</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,87</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,06</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1,13</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,01</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,79</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,71</w:t>
            </w:r>
          </w:p>
        </w:tc>
      </w:tr>
      <w:tr w:rsidR="00E80F55" w:rsidRPr="00E80F55" w:rsidTr="00E80F55">
        <w:trPr>
          <w:trHeight w:val="315"/>
        </w:trPr>
        <w:tc>
          <w:tcPr>
            <w:tcW w:w="222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Jutland</w:t>
            </w:r>
            <w:proofErr w:type="spellEnd"/>
          </w:p>
        </w:tc>
        <w:tc>
          <w:tcPr>
            <w:tcW w:w="85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1,08</w:t>
            </w:r>
          </w:p>
        </w:tc>
        <w:tc>
          <w:tcPr>
            <w:tcW w:w="86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,32</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1,03</w:t>
            </w:r>
          </w:p>
        </w:tc>
        <w:tc>
          <w:tcPr>
            <w:tcW w:w="872"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,63</w:t>
            </w:r>
          </w:p>
        </w:tc>
        <w:tc>
          <w:tcPr>
            <w:tcW w:w="51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1,02</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1,13</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val="en-GB" w:eastAsia="da-DK"/>
              </w:rPr>
            </w:pPr>
            <w:r w:rsidRPr="00E80F55">
              <w:rPr>
                <w:rFonts w:ascii="Arial Narrow" w:eastAsia="Times New Roman" w:hAnsi="Arial Narrow" w:cs="Times New Roman"/>
                <w:b/>
                <w:bCs/>
                <w:color w:val="000000"/>
                <w:sz w:val="18"/>
                <w:szCs w:val="18"/>
                <w:lang w:val="en-GB" w:eastAsia="da-DK"/>
              </w:rPr>
              <w:t>Age at beginning of year (18)</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936"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19</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3,16</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2,50</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,38</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,93</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7,04</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20</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11,05</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5,04</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5,13</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26,75</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21</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20,99</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6,81</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14,24</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45,15</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22</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23,35</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7,57</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22,81</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38,09</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23</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18,34</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7,36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21,63</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22,11</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24</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14,19</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6,52</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15,77</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15,94</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25</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12,64</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6,18</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13,27</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13,07</w:t>
            </w:r>
          </w:p>
        </w:tc>
      </w:tr>
      <w:tr w:rsidR="00E80F55" w:rsidRPr="00E80F55" w:rsidTr="00E80F55">
        <w:trPr>
          <w:trHeight w:val="315"/>
        </w:trPr>
        <w:tc>
          <w:tcPr>
            <w:tcW w:w="2220" w:type="dxa"/>
            <w:tcBorders>
              <w:top w:val="single" w:sz="4" w:space="0" w:color="auto"/>
              <w:left w:val="nil"/>
              <w:bottom w:val="single" w:sz="8" w:space="0" w:color="auto"/>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proofErr w:type="spellStart"/>
            <w:r w:rsidRPr="00E80F55">
              <w:rPr>
                <w:rFonts w:ascii="Arial Narrow" w:eastAsia="Times New Roman" w:hAnsi="Arial Narrow" w:cs="Times New Roman"/>
                <w:b/>
                <w:bCs/>
                <w:color w:val="000000"/>
                <w:sz w:val="18"/>
                <w:szCs w:val="18"/>
                <w:lang w:eastAsia="da-DK"/>
              </w:rPr>
              <w:t>Woman</w:t>
            </w:r>
            <w:proofErr w:type="spellEnd"/>
          </w:p>
        </w:tc>
        <w:tc>
          <w:tcPr>
            <w:tcW w:w="854"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1,30</w:t>
            </w:r>
          </w:p>
        </w:tc>
        <w:tc>
          <w:tcPr>
            <w:tcW w:w="86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1,08</w:t>
            </w:r>
          </w:p>
        </w:tc>
        <w:tc>
          <w:tcPr>
            <w:tcW w:w="872"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2,32</w:t>
            </w:r>
          </w:p>
        </w:tc>
        <w:tc>
          <w:tcPr>
            <w:tcW w:w="936"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,07</w:t>
            </w:r>
          </w:p>
        </w:tc>
        <w:tc>
          <w:tcPr>
            <w:tcW w:w="544"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1,03</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proofErr w:type="spellStart"/>
            <w:r w:rsidRPr="00E80F55">
              <w:rPr>
                <w:rFonts w:ascii="Arial Narrow" w:eastAsia="Times New Roman" w:hAnsi="Arial Narrow" w:cs="Times New Roman"/>
                <w:b/>
                <w:bCs/>
                <w:color w:val="000000"/>
                <w:sz w:val="18"/>
                <w:szCs w:val="18"/>
                <w:lang w:eastAsia="da-DK"/>
              </w:rPr>
              <w:t>Etnic</w:t>
            </w:r>
            <w:proofErr w:type="spellEnd"/>
            <w:r w:rsidRPr="00E80F55">
              <w:rPr>
                <w:rFonts w:ascii="Arial Narrow" w:eastAsia="Times New Roman" w:hAnsi="Arial Narrow" w:cs="Times New Roman"/>
                <w:b/>
                <w:bCs/>
                <w:color w:val="000000"/>
                <w:sz w:val="18"/>
                <w:szCs w:val="18"/>
                <w:lang w:eastAsia="da-DK"/>
              </w:rPr>
              <w:t xml:space="preserve"> </w:t>
            </w:r>
            <w:proofErr w:type="spellStart"/>
            <w:r w:rsidRPr="00E80F55">
              <w:rPr>
                <w:rFonts w:ascii="Arial Narrow" w:eastAsia="Times New Roman" w:hAnsi="Arial Narrow" w:cs="Times New Roman"/>
                <w:b/>
                <w:bCs/>
                <w:color w:val="000000"/>
                <w:sz w:val="18"/>
                <w:szCs w:val="18"/>
                <w:lang w:eastAsia="da-DK"/>
              </w:rPr>
              <w:t>background</w:t>
            </w:r>
            <w:proofErr w:type="spellEnd"/>
            <w:r w:rsidRPr="00E80F55">
              <w:rPr>
                <w:rFonts w:ascii="Arial Narrow" w:eastAsia="Times New Roman" w:hAnsi="Arial Narrow" w:cs="Times New Roman"/>
                <w:b/>
                <w:bCs/>
                <w:color w:val="000000"/>
                <w:sz w:val="18"/>
                <w:szCs w:val="18"/>
                <w:lang w:eastAsia="da-DK"/>
              </w:rPr>
              <w:t xml:space="preserve"> (Danish)</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Immigrant</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,73</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,29</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,93</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,50</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,80</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Descendant</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,31</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1,11</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,83</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,62</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1,10</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,26</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1,17</w:t>
            </w:r>
          </w:p>
        </w:tc>
      </w:tr>
      <w:tr w:rsidR="00E80F55" w:rsidRPr="00E80F55" w:rsidTr="00E80F55">
        <w:trPr>
          <w:trHeight w:val="236"/>
        </w:trPr>
        <w:tc>
          <w:tcPr>
            <w:tcW w:w="2220" w:type="dxa"/>
            <w:tcBorders>
              <w:top w:val="single" w:sz="4" w:space="0" w:color="auto"/>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r w:rsidRPr="00E80F55">
              <w:rPr>
                <w:rFonts w:ascii="Arial Narrow" w:eastAsia="Times New Roman" w:hAnsi="Arial Narrow" w:cs="Times New Roman"/>
                <w:b/>
                <w:bCs/>
                <w:color w:val="000000"/>
                <w:sz w:val="18"/>
                <w:szCs w:val="18"/>
                <w:lang w:eastAsia="da-DK"/>
              </w:rPr>
              <w:t xml:space="preserve">Events </w:t>
            </w:r>
            <w:proofErr w:type="spellStart"/>
            <w:r w:rsidRPr="00E80F55">
              <w:rPr>
                <w:rFonts w:ascii="Arial Narrow" w:eastAsia="Times New Roman" w:hAnsi="Arial Narrow" w:cs="Times New Roman"/>
                <w:b/>
                <w:bCs/>
                <w:color w:val="000000"/>
                <w:sz w:val="18"/>
                <w:szCs w:val="18"/>
                <w:lang w:eastAsia="da-DK"/>
              </w:rPr>
              <w:t>during</w:t>
            </w:r>
            <w:proofErr w:type="spellEnd"/>
            <w:r w:rsidRPr="00E80F55">
              <w:rPr>
                <w:rFonts w:ascii="Arial Narrow" w:eastAsia="Times New Roman" w:hAnsi="Arial Narrow" w:cs="Times New Roman"/>
                <w:b/>
                <w:bCs/>
                <w:color w:val="000000"/>
                <w:sz w:val="18"/>
                <w:szCs w:val="18"/>
                <w:lang w:eastAsia="da-DK"/>
              </w:rPr>
              <w:t xml:space="preserve"> the </w:t>
            </w:r>
            <w:proofErr w:type="spellStart"/>
            <w:r w:rsidRPr="00E80F55">
              <w:rPr>
                <w:rFonts w:ascii="Arial Narrow" w:eastAsia="Times New Roman" w:hAnsi="Arial Narrow" w:cs="Times New Roman"/>
                <w:b/>
                <w:bCs/>
                <w:color w:val="000000"/>
                <w:sz w:val="18"/>
                <w:szCs w:val="18"/>
                <w:lang w:eastAsia="da-DK"/>
              </w:rPr>
              <w:t>year</w:t>
            </w:r>
            <w:proofErr w:type="spellEnd"/>
          </w:p>
        </w:tc>
        <w:tc>
          <w:tcPr>
            <w:tcW w:w="854"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6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70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72"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val="en-GB" w:eastAsia="da-DK"/>
              </w:rPr>
            </w:pPr>
            <w:r w:rsidRPr="00E80F55">
              <w:rPr>
                <w:rFonts w:ascii="Arial Narrow" w:eastAsia="Times New Roman" w:hAnsi="Arial Narrow" w:cs="Times New Roman"/>
                <w:color w:val="000000"/>
                <w:sz w:val="18"/>
                <w:szCs w:val="18"/>
                <w:lang w:val="en-GB" w:eastAsia="da-DK"/>
              </w:rPr>
              <w:t>Have been abroad last year</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,15</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,05</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,86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,06</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,04</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Lost job</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,13</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,37</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,08</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,07</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Moved</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together</w:t>
            </w:r>
            <w:proofErr w:type="spellEnd"/>
            <w:r w:rsidRPr="00E80F55">
              <w:rPr>
                <w:rFonts w:ascii="Arial Narrow" w:eastAsia="Times New Roman" w:hAnsi="Arial Narrow" w:cs="Times New Roman"/>
                <w:color w:val="000000"/>
                <w:sz w:val="18"/>
                <w:szCs w:val="18"/>
                <w:lang w:eastAsia="da-DK"/>
              </w:rPr>
              <w:t xml:space="preserve"> with partner</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2,98</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3,00</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2,41</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2,78</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 xml:space="preserve">Got </w:t>
            </w:r>
            <w:proofErr w:type="spellStart"/>
            <w:r w:rsidRPr="00E80F55">
              <w:rPr>
                <w:rFonts w:ascii="Arial Narrow" w:eastAsia="Times New Roman" w:hAnsi="Arial Narrow" w:cs="Times New Roman"/>
                <w:color w:val="000000"/>
                <w:sz w:val="18"/>
                <w:szCs w:val="18"/>
                <w:lang w:eastAsia="da-DK"/>
              </w:rPr>
              <w:t>divorced</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4,67</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3,45</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3,62</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4,33</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 xml:space="preserve">Got </w:t>
            </w:r>
            <w:proofErr w:type="spellStart"/>
            <w:r w:rsidRPr="00E80F55">
              <w:rPr>
                <w:rFonts w:ascii="Arial Narrow" w:eastAsia="Times New Roman" w:hAnsi="Arial Narrow" w:cs="Times New Roman"/>
                <w:color w:val="000000"/>
                <w:sz w:val="18"/>
                <w:szCs w:val="18"/>
                <w:lang w:eastAsia="da-DK"/>
              </w:rPr>
              <w:t>first</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child</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birth</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,29</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,43</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,21</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,15</w:t>
            </w:r>
          </w:p>
        </w:tc>
      </w:tr>
      <w:tr w:rsidR="00E80F55" w:rsidRPr="00E80F55" w:rsidTr="00E80F55">
        <w:trPr>
          <w:trHeight w:val="315"/>
        </w:trPr>
        <w:tc>
          <w:tcPr>
            <w:tcW w:w="2220" w:type="dxa"/>
            <w:tcBorders>
              <w:top w:val="nil"/>
              <w:left w:val="nil"/>
              <w:bottom w:val="single" w:sz="8" w:space="0" w:color="auto"/>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val="en-GB" w:eastAsia="da-DK"/>
              </w:rPr>
            </w:pPr>
            <w:r w:rsidRPr="00E80F55">
              <w:rPr>
                <w:rFonts w:ascii="Arial Narrow" w:eastAsia="Times New Roman" w:hAnsi="Arial Narrow" w:cs="Times New Roman"/>
                <w:color w:val="000000"/>
                <w:sz w:val="18"/>
                <w:szCs w:val="18"/>
                <w:lang w:val="en-GB" w:eastAsia="da-DK"/>
              </w:rPr>
              <w:t>Got second or more child birth</w:t>
            </w:r>
          </w:p>
        </w:tc>
        <w:tc>
          <w:tcPr>
            <w:tcW w:w="85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,48</w:t>
            </w:r>
          </w:p>
        </w:tc>
        <w:tc>
          <w:tcPr>
            <w:tcW w:w="86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,04</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,81</w:t>
            </w:r>
          </w:p>
        </w:tc>
        <w:tc>
          <w:tcPr>
            <w:tcW w:w="872"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,35</w:t>
            </w:r>
          </w:p>
        </w:tc>
        <w:tc>
          <w:tcPr>
            <w:tcW w:w="936"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,18</w:t>
            </w:r>
          </w:p>
        </w:tc>
      </w:tr>
      <w:tr w:rsidR="00E80F55" w:rsidRPr="00E80F55" w:rsidTr="00E80F55">
        <w:trPr>
          <w:trHeight w:val="300"/>
        </w:trPr>
        <w:tc>
          <w:tcPr>
            <w:tcW w:w="3774" w:type="dxa"/>
            <w:gridSpan w:val="3"/>
            <w:tcBorders>
              <w:top w:val="nil"/>
              <w:left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r w:rsidRPr="00E80F55">
              <w:rPr>
                <w:rFonts w:ascii="Arial Narrow" w:eastAsia="Times New Roman" w:hAnsi="Arial Narrow" w:cs="Times New Roman"/>
                <w:b/>
                <w:bCs/>
                <w:color w:val="000000"/>
                <w:sz w:val="18"/>
                <w:szCs w:val="18"/>
                <w:lang w:eastAsia="da-DK"/>
              </w:rPr>
              <w:t xml:space="preserve">Family situation (With </w:t>
            </w:r>
            <w:proofErr w:type="spellStart"/>
            <w:r w:rsidRPr="00E80F55">
              <w:rPr>
                <w:rFonts w:ascii="Arial Narrow" w:eastAsia="Times New Roman" w:hAnsi="Arial Narrow" w:cs="Times New Roman"/>
                <w:b/>
                <w:bCs/>
                <w:color w:val="000000"/>
                <w:sz w:val="18"/>
                <w:szCs w:val="18"/>
                <w:lang w:eastAsia="da-DK"/>
              </w:rPr>
              <w:t>parents</w:t>
            </w:r>
            <w:proofErr w:type="spellEnd"/>
            <w:r w:rsidRPr="00E80F55">
              <w:rPr>
                <w:rFonts w:ascii="Arial Narrow" w:eastAsia="Times New Roman" w:hAnsi="Arial Narrow" w:cs="Times New Roman"/>
                <w:b/>
                <w:bCs/>
                <w:color w:val="000000"/>
                <w:sz w:val="18"/>
                <w:szCs w:val="18"/>
                <w:lang w:eastAsia="da-DK"/>
              </w:rPr>
              <w:t>)</w:t>
            </w:r>
          </w:p>
        </w:tc>
        <w:tc>
          <w:tcPr>
            <w:tcW w:w="860" w:type="dxa"/>
            <w:tcBorders>
              <w:top w:val="nil"/>
              <w:left w:val="nil"/>
              <w:right w:val="nil"/>
            </w:tcBorders>
            <w:shd w:val="clear" w:color="auto" w:fill="auto"/>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
        </w:tc>
        <w:tc>
          <w:tcPr>
            <w:tcW w:w="700" w:type="dxa"/>
            <w:tcBorders>
              <w:top w:val="nil"/>
              <w:left w:val="nil"/>
              <w:right w:val="nil"/>
            </w:tcBorders>
            <w:shd w:val="clear" w:color="auto" w:fill="auto"/>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
        </w:tc>
        <w:tc>
          <w:tcPr>
            <w:tcW w:w="872" w:type="dxa"/>
            <w:tcBorders>
              <w:top w:val="nil"/>
              <w:left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nil"/>
              <w:left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nil"/>
              <w:left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nil"/>
              <w:left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 xml:space="preserve">Single </w:t>
            </w:r>
            <w:proofErr w:type="spellStart"/>
            <w:r w:rsidRPr="00E80F55">
              <w:rPr>
                <w:rFonts w:ascii="Arial Narrow" w:eastAsia="Times New Roman" w:hAnsi="Arial Narrow" w:cs="Times New Roman"/>
                <w:color w:val="000000"/>
                <w:sz w:val="18"/>
                <w:szCs w:val="18"/>
                <w:lang w:eastAsia="da-DK"/>
              </w:rPr>
              <w:t>without</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children</w:t>
            </w:r>
            <w:proofErr w:type="spellEnd"/>
          </w:p>
        </w:tc>
        <w:tc>
          <w:tcPr>
            <w:tcW w:w="854"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,43</w:t>
            </w:r>
          </w:p>
        </w:tc>
        <w:tc>
          <w:tcPr>
            <w:tcW w:w="860"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,58</w:t>
            </w:r>
          </w:p>
        </w:tc>
        <w:tc>
          <w:tcPr>
            <w:tcW w:w="872"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,37</w:t>
            </w:r>
          </w:p>
        </w:tc>
        <w:tc>
          <w:tcPr>
            <w:tcW w:w="936"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,40</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 xml:space="preserve">Single with </w:t>
            </w:r>
            <w:proofErr w:type="spellStart"/>
            <w:r w:rsidRPr="00E80F55">
              <w:rPr>
                <w:rFonts w:ascii="Arial Narrow" w:eastAsia="Times New Roman" w:hAnsi="Arial Narrow" w:cs="Times New Roman"/>
                <w:color w:val="000000"/>
                <w:sz w:val="18"/>
                <w:szCs w:val="18"/>
                <w:lang w:eastAsia="da-DK"/>
              </w:rPr>
              <w:t>children</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,04</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,08</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Couple</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without</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children</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,30</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,45</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,26</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,28</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Couple</w:t>
            </w:r>
            <w:proofErr w:type="spellEnd"/>
            <w:r w:rsidRPr="00E80F55">
              <w:rPr>
                <w:rFonts w:ascii="Arial Narrow" w:eastAsia="Times New Roman" w:hAnsi="Arial Narrow" w:cs="Times New Roman"/>
                <w:color w:val="000000"/>
                <w:sz w:val="18"/>
                <w:szCs w:val="18"/>
                <w:lang w:eastAsia="da-DK"/>
              </w:rPr>
              <w:t xml:space="preserve"> with </w:t>
            </w:r>
            <w:proofErr w:type="spellStart"/>
            <w:r w:rsidRPr="00E80F55">
              <w:rPr>
                <w:rFonts w:ascii="Arial Narrow" w:eastAsia="Times New Roman" w:hAnsi="Arial Narrow" w:cs="Times New Roman"/>
                <w:color w:val="000000"/>
                <w:sz w:val="18"/>
                <w:szCs w:val="18"/>
                <w:lang w:eastAsia="da-DK"/>
              </w:rPr>
              <w:t>children</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,07</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,03</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,03</w:t>
            </w:r>
          </w:p>
        </w:tc>
      </w:tr>
      <w:tr w:rsidR="00E80F55" w:rsidRPr="00E80F55" w:rsidTr="00E80F55">
        <w:trPr>
          <w:trHeight w:val="315"/>
        </w:trPr>
        <w:tc>
          <w:tcPr>
            <w:tcW w:w="2220" w:type="dxa"/>
            <w:tcBorders>
              <w:top w:val="nil"/>
              <w:left w:val="nil"/>
              <w:bottom w:val="single" w:sz="8" w:space="0" w:color="auto"/>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Mixed families</w:t>
            </w:r>
          </w:p>
        </w:tc>
        <w:tc>
          <w:tcPr>
            <w:tcW w:w="85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,58</w:t>
            </w:r>
          </w:p>
        </w:tc>
        <w:tc>
          <w:tcPr>
            <w:tcW w:w="86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,18</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,92</w:t>
            </w:r>
          </w:p>
        </w:tc>
        <w:tc>
          <w:tcPr>
            <w:tcW w:w="872"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,47</w:t>
            </w:r>
          </w:p>
        </w:tc>
        <w:tc>
          <w:tcPr>
            <w:tcW w:w="936"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,50</w:t>
            </w:r>
          </w:p>
        </w:tc>
      </w:tr>
    </w:tbl>
    <w:p w:rsidR="00E80F55" w:rsidRDefault="00E80F55">
      <w:r>
        <w:br w:type="page"/>
      </w:r>
    </w:p>
    <w:tbl>
      <w:tblPr>
        <w:tblW w:w="8196" w:type="dxa"/>
        <w:tblInd w:w="55" w:type="dxa"/>
        <w:tblCellMar>
          <w:left w:w="70" w:type="dxa"/>
          <w:right w:w="70" w:type="dxa"/>
        </w:tblCellMar>
        <w:tblLook w:val="04A0" w:firstRow="1" w:lastRow="0" w:firstColumn="1" w:lastColumn="0" w:noHBand="0" w:noVBand="1"/>
      </w:tblPr>
      <w:tblGrid>
        <w:gridCol w:w="2220"/>
        <w:gridCol w:w="854"/>
        <w:gridCol w:w="700"/>
        <w:gridCol w:w="860"/>
        <w:gridCol w:w="700"/>
        <w:gridCol w:w="872"/>
        <w:gridCol w:w="510"/>
        <w:gridCol w:w="936"/>
        <w:gridCol w:w="544"/>
      </w:tblGrid>
      <w:tr w:rsidR="00E80F55" w:rsidRPr="00E80F55" w:rsidTr="00E80F55">
        <w:trPr>
          <w:trHeight w:val="330"/>
        </w:trPr>
        <w:tc>
          <w:tcPr>
            <w:tcW w:w="3074" w:type="dxa"/>
            <w:gridSpan w:val="2"/>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r w:rsidRPr="00E80F55">
              <w:rPr>
                <w:rFonts w:ascii="Arial Narrow" w:eastAsia="Times New Roman" w:hAnsi="Arial Narrow" w:cs="Times New Roman"/>
                <w:b/>
                <w:bCs/>
                <w:color w:val="000000"/>
                <w:sz w:val="18"/>
                <w:szCs w:val="18"/>
                <w:lang w:eastAsia="da-DK"/>
              </w:rPr>
              <w:lastRenderedPageBreak/>
              <w:t xml:space="preserve">Housing situation (with </w:t>
            </w:r>
            <w:proofErr w:type="spellStart"/>
            <w:r w:rsidRPr="00E80F55">
              <w:rPr>
                <w:rFonts w:ascii="Arial Narrow" w:eastAsia="Times New Roman" w:hAnsi="Arial Narrow" w:cs="Times New Roman"/>
                <w:b/>
                <w:bCs/>
                <w:color w:val="000000"/>
                <w:sz w:val="18"/>
                <w:szCs w:val="18"/>
                <w:lang w:eastAsia="da-DK"/>
              </w:rPr>
              <w:t>parents</w:t>
            </w:r>
            <w:proofErr w:type="spellEnd"/>
            <w:r w:rsidRPr="00E80F55">
              <w:rPr>
                <w:rFonts w:ascii="Arial Narrow" w:eastAsia="Times New Roman" w:hAnsi="Arial Narrow" w:cs="Times New Roman"/>
                <w:b/>
                <w:bCs/>
                <w:color w:val="000000"/>
                <w:sz w:val="18"/>
                <w:szCs w:val="18"/>
                <w:lang w:eastAsia="da-DK"/>
              </w:rPr>
              <w:t>)</w:t>
            </w:r>
          </w:p>
        </w:tc>
        <w:tc>
          <w:tcPr>
            <w:tcW w:w="70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
        </w:tc>
        <w:tc>
          <w:tcPr>
            <w:tcW w:w="86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
        </w:tc>
        <w:tc>
          <w:tcPr>
            <w:tcW w:w="70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
        </w:tc>
        <w:tc>
          <w:tcPr>
            <w:tcW w:w="872"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Owned</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de</w:t>
            </w:r>
            <w:r w:rsidRPr="00E80F55">
              <w:rPr>
                <w:rFonts w:ascii="Arial Narrow" w:eastAsia="Times New Roman" w:hAnsi="Arial Narrow" w:cs="Times New Roman"/>
                <w:i/>
                <w:iCs/>
                <w:color w:val="000000"/>
                <w:sz w:val="18"/>
                <w:szCs w:val="18"/>
                <w:lang w:eastAsia="da-DK"/>
              </w:rPr>
              <w:t>ttached</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,77</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,79</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,76</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,77</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Owned</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flat</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,82</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1,02</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,48</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1,10</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,53</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,90</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,40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1,13</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Co-operative</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,64</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,95</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,77</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1,05</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,22</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,74</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,65</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1,09</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 xml:space="preserve">Social </w:t>
            </w:r>
            <w:proofErr w:type="spellStart"/>
            <w:r w:rsidRPr="00E80F55">
              <w:rPr>
                <w:rFonts w:ascii="Arial Narrow" w:eastAsia="Times New Roman" w:hAnsi="Arial Narrow" w:cs="Times New Roman"/>
                <w:color w:val="000000"/>
                <w:sz w:val="18"/>
                <w:szCs w:val="18"/>
                <w:lang w:eastAsia="da-DK"/>
              </w:rPr>
              <w:t>housing</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,79</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,06</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,87</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,38</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,92</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,71</w:t>
            </w:r>
          </w:p>
        </w:tc>
      </w:tr>
      <w:tr w:rsidR="00E80F55" w:rsidRPr="00E80F55" w:rsidTr="00E80F55">
        <w:trPr>
          <w:trHeight w:val="315"/>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 xml:space="preserve">Privat </w:t>
            </w:r>
            <w:proofErr w:type="spellStart"/>
            <w:r w:rsidRPr="00E80F55">
              <w:rPr>
                <w:rFonts w:ascii="Arial Narrow" w:eastAsia="Times New Roman" w:hAnsi="Arial Narrow" w:cs="Times New Roman"/>
                <w:color w:val="000000"/>
                <w:sz w:val="18"/>
                <w:szCs w:val="18"/>
                <w:lang w:eastAsia="da-DK"/>
              </w:rPr>
              <w:t>renting</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,51</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1,03</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,07</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1,12</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,05</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1,16</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,18</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,92</w:t>
            </w:r>
          </w:p>
        </w:tc>
      </w:tr>
      <w:tr w:rsidR="00E80F55" w:rsidRPr="00E80F55" w:rsidTr="00E80F55">
        <w:trPr>
          <w:trHeight w:val="315"/>
        </w:trPr>
        <w:tc>
          <w:tcPr>
            <w:tcW w:w="2220" w:type="dxa"/>
            <w:tcBorders>
              <w:top w:val="single" w:sz="4" w:space="0" w:color="auto"/>
              <w:left w:val="nil"/>
              <w:bottom w:val="single" w:sz="8" w:space="0" w:color="auto"/>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val="en-GB" w:eastAsia="da-DK"/>
              </w:rPr>
            </w:pPr>
            <w:r w:rsidRPr="00E80F55">
              <w:rPr>
                <w:rFonts w:ascii="Arial Narrow" w:eastAsia="Times New Roman" w:hAnsi="Arial Narrow" w:cs="Times New Roman"/>
                <w:b/>
                <w:bCs/>
                <w:color w:val="000000"/>
                <w:sz w:val="18"/>
                <w:szCs w:val="18"/>
                <w:lang w:val="en-GB" w:eastAsia="da-DK"/>
              </w:rPr>
              <w:t>Grown up with both parents</w:t>
            </w:r>
          </w:p>
        </w:tc>
        <w:tc>
          <w:tcPr>
            <w:tcW w:w="854"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1,28</w:t>
            </w:r>
          </w:p>
        </w:tc>
        <w:tc>
          <w:tcPr>
            <w:tcW w:w="86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,49</w:t>
            </w:r>
          </w:p>
        </w:tc>
        <w:tc>
          <w:tcPr>
            <w:tcW w:w="70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,98</w:t>
            </w:r>
          </w:p>
        </w:tc>
        <w:tc>
          <w:tcPr>
            <w:tcW w:w="872"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1,29</w:t>
            </w:r>
          </w:p>
        </w:tc>
        <w:tc>
          <w:tcPr>
            <w:tcW w:w="936"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single" w:sz="4" w:space="0" w:color="auto"/>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1,50</w:t>
            </w:r>
          </w:p>
        </w:tc>
      </w:tr>
      <w:tr w:rsidR="00E80F55" w:rsidRPr="00905764" w:rsidTr="006A046E">
        <w:trPr>
          <w:trHeight w:val="300"/>
        </w:trPr>
        <w:tc>
          <w:tcPr>
            <w:tcW w:w="6716" w:type="dxa"/>
            <w:gridSpan w:val="7"/>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val="en-GB" w:eastAsia="da-DK"/>
              </w:rPr>
            </w:pPr>
            <w:r w:rsidRPr="00E80F55">
              <w:rPr>
                <w:rFonts w:ascii="Arial Narrow" w:eastAsia="Times New Roman" w:hAnsi="Arial Narrow" w:cs="Times New Roman"/>
                <w:b/>
                <w:bCs/>
                <w:color w:val="000000"/>
                <w:sz w:val="18"/>
                <w:szCs w:val="18"/>
                <w:lang w:val="en-GB" w:eastAsia="da-DK"/>
              </w:rPr>
              <w:t>Family situation when living with parents (Couple with children)</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val="en-GB" w:eastAsia="da-DK"/>
              </w:rPr>
            </w:pP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 xml:space="preserve">Single with </w:t>
            </w:r>
            <w:proofErr w:type="spellStart"/>
            <w:r w:rsidRPr="00E80F55">
              <w:rPr>
                <w:rFonts w:ascii="Arial Narrow" w:eastAsia="Times New Roman" w:hAnsi="Arial Narrow" w:cs="Times New Roman"/>
                <w:color w:val="000000"/>
                <w:sz w:val="18"/>
                <w:szCs w:val="18"/>
                <w:lang w:eastAsia="da-DK"/>
              </w:rPr>
              <w:t>children</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,41</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,98</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1,18</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1,09</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,79</w:t>
            </w:r>
          </w:p>
        </w:tc>
      </w:tr>
      <w:tr w:rsidR="00E80F55" w:rsidRPr="00E80F55" w:rsidTr="00E80F55">
        <w:trPr>
          <w:trHeight w:val="315"/>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Mixed families</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,05</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,94</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,94</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1,00</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,75</w:t>
            </w:r>
          </w:p>
        </w:tc>
      </w:tr>
      <w:tr w:rsidR="00E80F55" w:rsidRPr="00E80F55" w:rsidTr="007E6EE1">
        <w:trPr>
          <w:trHeight w:val="300"/>
        </w:trPr>
        <w:tc>
          <w:tcPr>
            <w:tcW w:w="4634" w:type="dxa"/>
            <w:gridSpan w:val="4"/>
            <w:tcBorders>
              <w:top w:val="single" w:sz="4" w:space="0" w:color="auto"/>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b/>
                <w:bCs/>
                <w:color w:val="000000"/>
                <w:sz w:val="18"/>
                <w:szCs w:val="18"/>
                <w:lang w:eastAsia="da-DK"/>
              </w:rPr>
            </w:pPr>
            <w:proofErr w:type="spellStart"/>
            <w:r w:rsidRPr="00E80F55">
              <w:rPr>
                <w:rFonts w:ascii="Arial Narrow" w:eastAsia="Times New Roman" w:hAnsi="Arial Narrow" w:cs="Times New Roman"/>
                <w:b/>
                <w:bCs/>
                <w:color w:val="000000"/>
                <w:sz w:val="18"/>
                <w:szCs w:val="18"/>
                <w:lang w:eastAsia="da-DK"/>
              </w:rPr>
              <w:t>Parents</w:t>
            </w:r>
            <w:proofErr w:type="spellEnd"/>
            <w:r w:rsidRPr="00E80F55">
              <w:rPr>
                <w:rFonts w:ascii="Arial Narrow" w:eastAsia="Times New Roman" w:hAnsi="Arial Narrow" w:cs="Times New Roman"/>
                <w:b/>
                <w:bCs/>
                <w:color w:val="000000"/>
                <w:sz w:val="18"/>
                <w:szCs w:val="18"/>
                <w:lang w:eastAsia="da-DK"/>
              </w:rPr>
              <w:t xml:space="preserve"> </w:t>
            </w:r>
            <w:proofErr w:type="spellStart"/>
            <w:r w:rsidRPr="00E80F55">
              <w:rPr>
                <w:rFonts w:ascii="Arial Narrow" w:eastAsia="Times New Roman" w:hAnsi="Arial Narrow" w:cs="Times New Roman"/>
                <w:b/>
                <w:bCs/>
                <w:color w:val="000000"/>
                <w:sz w:val="18"/>
                <w:szCs w:val="18"/>
                <w:lang w:eastAsia="da-DK"/>
              </w:rPr>
              <w:t>education</w:t>
            </w:r>
            <w:proofErr w:type="spellEnd"/>
            <w:r w:rsidRPr="00E80F55">
              <w:rPr>
                <w:rFonts w:ascii="Arial Narrow" w:eastAsia="Times New Roman" w:hAnsi="Arial Narrow" w:cs="Times New Roman"/>
                <w:b/>
                <w:bCs/>
                <w:color w:val="000000"/>
                <w:sz w:val="18"/>
                <w:szCs w:val="18"/>
                <w:lang w:eastAsia="da-DK"/>
              </w:rPr>
              <w:t xml:space="preserve"> (</w:t>
            </w:r>
            <w:proofErr w:type="spellStart"/>
            <w:r w:rsidRPr="00E80F55">
              <w:rPr>
                <w:rFonts w:ascii="Arial Narrow" w:eastAsia="Times New Roman" w:hAnsi="Arial Narrow" w:cs="Times New Roman"/>
                <w:b/>
                <w:bCs/>
                <w:color w:val="000000"/>
                <w:sz w:val="18"/>
                <w:szCs w:val="18"/>
                <w:lang w:eastAsia="da-DK"/>
              </w:rPr>
              <w:t>higher</w:t>
            </w:r>
            <w:proofErr w:type="spellEnd"/>
            <w:r w:rsidRPr="00E80F55">
              <w:rPr>
                <w:rFonts w:ascii="Arial Narrow" w:eastAsia="Times New Roman" w:hAnsi="Arial Narrow" w:cs="Times New Roman"/>
                <w:b/>
                <w:bCs/>
                <w:color w:val="000000"/>
                <w:sz w:val="18"/>
                <w:szCs w:val="18"/>
                <w:lang w:eastAsia="da-DK"/>
              </w:rPr>
              <w:t xml:space="preserve"> </w:t>
            </w:r>
            <w:proofErr w:type="spellStart"/>
            <w:r w:rsidRPr="00E80F55">
              <w:rPr>
                <w:rFonts w:ascii="Arial Narrow" w:eastAsia="Times New Roman" w:hAnsi="Arial Narrow" w:cs="Times New Roman"/>
                <w:b/>
                <w:bCs/>
                <w:color w:val="000000"/>
                <w:sz w:val="18"/>
                <w:szCs w:val="18"/>
                <w:lang w:eastAsia="da-DK"/>
              </w:rPr>
              <w:t>education</w:t>
            </w:r>
            <w:proofErr w:type="spellEnd"/>
            <w:r w:rsidRPr="00E80F55">
              <w:rPr>
                <w:rFonts w:ascii="Arial Narrow" w:eastAsia="Times New Roman" w:hAnsi="Arial Narrow" w:cs="Times New Roman"/>
                <w:b/>
                <w:bCs/>
                <w:color w:val="000000"/>
                <w:sz w:val="18"/>
                <w:szCs w:val="18"/>
                <w:lang w:eastAsia="da-DK"/>
              </w:rPr>
              <w:t>)</w:t>
            </w:r>
          </w:p>
        </w:tc>
        <w:tc>
          <w:tcPr>
            <w:tcW w:w="700" w:type="dxa"/>
            <w:tcBorders>
              <w:top w:val="single" w:sz="4" w:space="0" w:color="auto"/>
              <w:left w:val="nil"/>
              <w:bottom w:val="nil"/>
              <w:right w:val="nil"/>
            </w:tcBorders>
            <w:shd w:val="clear" w:color="auto" w:fill="auto"/>
            <w:vAlign w:val="center"/>
            <w:hideMark/>
          </w:tcPr>
          <w:p w:rsidR="00E80F55" w:rsidRPr="00E80F55" w:rsidRDefault="00E80F55" w:rsidP="00E80F55">
            <w:pPr>
              <w:spacing w:after="0" w:line="240" w:lineRule="auto"/>
              <w:jc w:val="center"/>
              <w:rPr>
                <w:rFonts w:ascii="Arial Narrow" w:eastAsia="Times New Roman" w:hAnsi="Arial Narrow" w:cs="Times New Roman"/>
                <w:b/>
                <w:bCs/>
                <w:color w:val="000000"/>
                <w:sz w:val="18"/>
                <w:szCs w:val="18"/>
                <w:lang w:eastAsia="da-DK"/>
              </w:rPr>
            </w:pPr>
          </w:p>
        </w:tc>
        <w:tc>
          <w:tcPr>
            <w:tcW w:w="872"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10"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544" w:type="dxa"/>
            <w:tcBorders>
              <w:top w:val="single" w:sz="4" w:space="0" w:color="auto"/>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Primary</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school</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,33</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1,46</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,66</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,20</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Secondary</w:t>
            </w:r>
            <w:proofErr w:type="spellEnd"/>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,61</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1,54</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,25</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,87</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,51</w:t>
            </w:r>
          </w:p>
        </w:tc>
      </w:tr>
      <w:tr w:rsidR="00E80F55" w:rsidRPr="00E80F55" w:rsidTr="00E80F55">
        <w:trPr>
          <w:trHeight w:val="300"/>
        </w:trPr>
        <w:tc>
          <w:tcPr>
            <w:tcW w:w="222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proofErr w:type="spellStart"/>
            <w:r w:rsidRPr="00E80F55">
              <w:rPr>
                <w:rFonts w:ascii="Arial Narrow" w:eastAsia="Times New Roman" w:hAnsi="Arial Narrow" w:cs="Times New Roman"/>
                <w:color w:val="000000"/>
                <w:sz w:val="18"/>
                <w:szCs w:val="18"/>
                <w:lang w:eastAsia="da-DK"/>
              </w:rPr>
              <w:t>Vocational</w:t>
            </w:r>
            <w:proofErr w:type="spellEnd"/>
            <w:r w:rsidRPr="00E80F55">
              <w:rPr>
                <w:rFonts w:ascii="Arial Narrow" w:eastAsia="Times New Roman" w:hAnsi="Arial Narrow" w:cs="Times New Roman"/>
                <w:color w:val="000000"/>
                <w:sz w:val="18"/>
                <w:szCs w:val="18"/>
                <w:lang w:eastAsia="da-DK"/>
              </w:rPr>
              <w:t xml:space="preserve"> </w:t>
            </w:r>
            <w:proofErr w:type="spellStart"/>
            <w:r w:rsidRPr="00E80F55">
              <w:rPr>
                <w:rFonts w:ascii="Arial Narrow" w:eastAsia="Times New Roman" w:hAnsi="Arial Narrow" w:cs="Times New Roman"/>
                <w:color w:val="000000"/>
                <w:sz w:val="18"/>
                <w:szCs w:val="18"/>
                <w:lang w:eastAsia="da-DK"/>
              </w:rPr>
              <w:t>training</w:t>
            </w:r>
            <w:proofErr w:type="spellEnd"/>
            <w:r w:rsidRPr="00E80F55">
              <w:rPr>
                <w:rFonts w:ascii="Arial Narrow" w:eastAsia="Times New Roman" w:hAnsi="Arial Narrow" w:cs="Times New Roman"/>
                <w:color w:val="000000"/>
                <w:sz w:val="18"/>
                <w:szCs w:val="18"/>
                <w:lang w:eastAsia="da-DK"/>
              </w:rPr>
              <w:t xml:space="preserve"> etc.</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,42</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1,65</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,02</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,87</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,25</w:t>
            </w:r>
          </w:p>
        </w:tc>
      </w:tr>
      <w:tr w:rsidR="00E80F55" w:rsidRPr="00E80F55" w:rsidTr="00E80F55">
        <w:trPr>
          <w:trHeight w:val="300"/>
        </w:trPr>
        <w:tc>
          <w:tcPr>
            <w:tcW w:w="2220" w:type="dxa"/>
            <w:tcBorders>
              <w:top w:val="nil"/>
              <w:left w:val="nil"/>
              <w:bottom w:val="nil"/>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Medium term</w:t>
            </w:r>
          </w:p>
        </w:tc>
        <w:tc>
          <w:tcPr>
            <w:tcW w:w="85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,66</w:t>
            </w:r>
          </w:p>
        </w:tc>
        <w:tc>
          <w:tcPr>
            <w:tcW w:w="86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70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1,32</w:t>
            </w:r>
          </w:p>
        </w:tc>
        <w:tc>
          <w:tcPr>
            <w:tcW w:w="872"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10"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1,23</w:t>
            </w:r>
          </w:p>
        </w:tc>
        <w:tc>
          <w:tcPr>
            <w:tcW w:w="936"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nil"/>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,52</w:t>
            </w:r>
          </w:p>
        </w:tc>
      </w:tr>
      <w:tr w:rsidR="00E80F55" w:rsidRPr="00E80F55" w:rsidTr="00E80F55">
        <w:trPr>
          <w:trHeight w:val="315"/>
        </w:trPr>
        <w:tc>
          <w:tcPr>
            <w:tcW w:w="2220" w:type="dxa"/>
            <w:tcBorders>
              <w:top w:val="nil"/>
              <w:left w:val="nil"/>
              <w:bottom w:val="single" w:sz="8" w:space="0" w:color="auto"/>
              <w:right w:val="nil"/>
            </w:tcBorders>
            <w:shd w:val="clear" w:color="auto" w:fill="auto"/>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Bachelor</w:t>
            </w:r>
          </w:p>
        </w:tc>
        <w:tc>
          <w:tcPr>
            <w:tcW w:w="85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,02</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,79</w:t>
            </w:r>
          </w:p>
        </w:tc>
        <w:tc>
          <w:tcPr>
            <w:tcW w:w="86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,01</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1,76</w:t>
            </w:r>
          </w:p>
        </w:tc>
        <w:tc>
          <w:tcPr>
            <w:tcW w:w="872"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,93</w:t>
            </w:r>
          </w:p>
        </w:tc>
        <w:tc>
          <w:tcPr>
            <w:tcW w:w="51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FF0000"/>
                <w:sz w:val="18"/>
                <w:szCs w:val="18"/>
                <w:lang w:eastAsia="da-DK"/>
              </w:rPr>
            </w:pPr>
            <w:r w:rsidRPr="00E80F55">
              <w:rPr>
                <w:rFonts w:ascii="Arial Narrow" w:eastAsia="Times New Roman" w:hAnsi="Arial Narrow" w:cs="Times New Roman"/>
                <w:color w:val="FF0000"/>
                <w:sz w:val="18"/>
                <w:szCs w:val="18"/>
                <w:lang w:eastAsia="da-DK"/>
              </w:rPr>
              <w:t>,98</w:t>
            </w:r>
          </w:p>
        </w:tc>
        <w:tc>
          <w:tcPr>
            <w:tcW w:w="936"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,00</w:t>
            </w:r>
          </w:p>
        </w:tc>
        <w:tc>
          <w:tcPr>
            <w:tcW w:w="54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,68</w:t>
            </w:r>
          </w:p>
        </w:tc>
      </w:tr>
      <w:tr w:rsidR="00E80F55" w:rsidRPr="00E80F55" w:rsidTr="00E80F55">
        <w:trPr>
          <w:trHeight w:val="315"/>
        </w:trPr>
        <w:tc>
          <w:tcPr>
            <w:tcW w:w="222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Nagelkerke R2</w:t>
            </w:r>
          </w:p>
        </w:tc>
        <w:tc>
          <w:tcPr>
            <w:tcW w:w="85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,276</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6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,114</w:t>
            </w:r>
          </w:p>
        </w:tc>
        <w:tc>
          <w:tcPr>
            <w:tcW w:w="70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872"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,239</w:t>
            </w:r>
          </w:p>
        </w:tc>
        <w:tc>
          <w:tcPr>
            <w:tcW w:w="510"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c>
          <w:tcPr>
            <w:tcW w:w="936"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r w:rsidRPr="00E80F55">
              <w:rPr>
                <w:rFonts w:ascii="Arial Narrow" w:eastAsia="Times New Roman" w:hAnsi="Arial Narrow" w:cs="Times New Roman"/>
                <w:color w:val="000000"/>
                <w:sz w:val="18"/>
                <w:szCs w:val="18"/>
                <w:lang w:eastAsia="da-DK"/>
              </w:rPr>
              <w:t>,279</w:t>
            </w:r>
          </w:p>
        </w:tc>
        <w:tc>
          <w:tcPr>
            <w:tcW w:w="544" w:type="dxa"/>
            <w:tcBorders>
              <w:top w:val="nil"/>
              <w:left w:val="nil"/>
              <w:bottom w:val="single" w:sz="8" w:space="0" w:color="auto"/>
              <w:right w:val="nil"/>
            </w:tcBorders>
            <w:shd w:val="clear" w:color="auto" w:fill="auto"/>
            <w:noWrap/>
            <w:vAlign w:val="center"/>
            <w:hideMark/>
          </w:tcPr>
          <w:p w:rsidR="00E80F55" w:rsidRPr="00E80F55" w:rsidRDefault="00E80F55" w:rsidP="00E80F55">
            <w:pPr>
              <w:spacing w:after="0" w:line="240" w:lineRule="auto"/>
              <w:jc w:val="center"/>
              <w:rPr>
                <w:rFonts w:ascii="Arial Narrow" w:eastAsia="Times New Roman" w:hAnsi="Arial Narrow" w:cs="Times New Roman"/>
                <w:color w:val="000000"/>
                <w:sz w:val="18"/>
                <w:szCs w:val="18"/>
                <w:lang w:eastAsia="da-DK"/>
              </w:rPr>
            </w:pPr>
          </w:p>
        </w:tc>
      </w:tr>
    </w:tbl>
    <w:p w:rsidR="00857078" w:rsidRPr="00905764" w:rsidRDefault="000D5E57" w:rsidP="00E80F55">
      <w:pPr>
        <w:pStyle w:val="Billedtekst"/>
        <w:spacing w:after="0"/>
        <w:jc w:val="center"/>
        <w:rPr>
          <w:color w:val="auto"/>
          <w:lang w:val="en-GB"/>
        </w:rPr>
      </w:pPr>
      <w:r w:rsidRPr="00E80F55">
        <w:rPr>
          <w:rFonts w:ascii="Times New Roman" w:hAnsi="Times New Roman" w:cs="Times New Roman"/>
          <w:color w:val="auto"/>
          <w:sz w:val="20"/>
          <w:szCs w:val="20"/>
          <w:lang w:val="en-GB"/>
        </w:rPr>
        <w:t>Note: R</w:t>
      </w:r>
      <w:r w:rsidR="007C7B3C" w:rsidRPr="00E80F55">
        <w:rPr>
          <w:rFonts w:ascii="Times New Roman" w:hAnsi="Times New Roman" w:cs="Times New Roman"/>
          <w:color w:val="auto"/>
          <w:sz w:val="20"/>
          <w:szCs w:val="20"/>
          <w:lang w:val="en-GB"/>
        </w:rPr>
        <w:t xml:space="preserve">esults </w:t>
      </w:r>
      <w:r w:rsidR="007C7B3C" w:rsidRPr="00905764">
        <w:rPr>
          <w:color w:val="auto"/>
          <w:lang w:val="en-GB"/>
        </w:rPr>
        <w:t>in red are not significant</w:t>
      </w:r>
    </w:p>
    <w:p w:rsidR="00F10F30" w:rsidRDefault="00F10F30" w:rsidP="00F10F30">
      <w:pPr>
        <w:spacing w:after="0"/>
        <w:rPr>
          <w:rFonts w:ascii="Times New Roman" w:hAnsi="Times New Roman" w:cs="Times New Roman"/>
          <w:lang w:val="en-GB"/>
        </w:rPr>
      </w:pPr>
    </w:p>
    <w:p w:rsidR="007C7B3C" w:rsidRDefault="00EF1805" w:rsidP="00F10F30">
      <w:pPr>
        <w:spacing w:after="0"/>
        <w:rPr>
          <w:rFonts w:ascii="Times New Roman" w:hAnsi="Times New Roman" w:cs="Times New Roman"/>
          <w:lang w:val="en-GB"/>
        </w:rPr>
      </w:pPr>
      <w:r w:rsidRPr="00F10F30">
        <w:rPr>
          <w:rFonts w:ascii="Times New Roman" w:hAnsi="Times New Roman" w:cs="Times New Roman"/>
          <w:lang w:val="en-GB"/>
        </w:rPr>
        <w:t xml:space="preserve">The models are to a reasonable extent explaining </w:t>
      </w:r>
      <w:r w:rsidR="00E80F55">
        <w:rPr>
          <w:rFonts w:ascii="Times New Roman" w:hAnsi="Times New Roman" w:cs="Times New Roman"/>
          <w:lang w:val="en-GB"/>
        </w:rPr>
        <w:t>migration in connection with start of education</w:t>
      </w:r>
      <w:r w:rsidRPr="00F10F30">
        <w:rPr>
          <w:rFonts w:ascii="Times New Roman" w:hAnsi="Times New Roman" w:cs="Times New Roman"/>
          <w:lang w:val="en-GB"/>
        </w:rPr>
        <w:t xml:space="preserve"> (</w:t>
      </w:r>
      <w:r w:rsidRPr="00F10F30">
        <w:rPr>
          <w:rFonts w:ascii="Times New Roman" w:eastAsia="Times New Roman" w:hAnsi="Times New Roman" w:cs="Times New Roman"/>
          <w:color w:val="000000"/>
          <w:lang w:val="en-GB" w:eastAsia="da-DK"/>
        </w:rPr>
        <w:t>Nagelkerke R2)</w:t>
      </w:r>
      <w:r w:rsidR="00E80F55">
        <w:rPr>
          <w:rFonts w:ascii="Times New Roman" w:eastAsia="Times New Roman" w:hAnsi="Times New Roman" w:cs="Times New Roman"/>
          <w:color w:val="000000"/>
          <w:lang w:val="en-GB" w:eastAsia="da-DK"/>
        </w:rPr>
        <w:t>.</w:t>
      </w:r>
      <w:r w:rsidRPr="00F10F30">
        <w:rPr>
          <w:rFonts w:ascii="Times New Roman" w:hAnsi="Times New Roman" w:cs="Times New Roman"/>
          <w:lang w:val="en-GB"/>
        </w:rPr>
        <w:t xml:space="preserve"> The results for all educations in the first row </w:t>
      </w:r>
      <w:r w:rsidR="00990C89" w:rsidRPr="00F10F30">
        <w:rPr>
          <w:rFonts w:ascii="Times New Roman" w:hAnsi="Times New Roman" w:cs="Times New Roman"/>
          <w:lang w:val="en-GB"/>
        </w:rPr>
        <w:t xml:space="preserve">show </w:t>
      </w:r>
      <w:r w:rsidRPr="00F10F30">
        <w:rPr>
          <w:rFonts w:ascii="Times New Roman" w:hAnsi="Times New Roman" w:cs="Times New Roman"/>
          <w:lang w:val="en-GB"/>
        </w:rPr>
        <w:t xml:space="preserve">that the later cohorts have higher odds ratios for migration than the first cohort. This indicates that education </w:t>
      </w:r>
      <w:r w:rsidR="00990C89" w:rsidRPr="00F10F30">
        <w:rPr>
          <w:rFonts w:ascii="Times New Roman" w:hAnsi="Times New Roman" w:cs="Times New Roman"/>
          <w:lang w:val="en-GB"/>
        </w:rPr>
        <w:t xml:space="preserve">over time </w:t>
      </w:r>
      <w:r w:rsidRPr="00F10F30">
        <w:rPr>
          <w:rFonts w:ascii="Times New Roman" w:hAnsi="Times New Roman" w:cs="Times New Roman"/>
          <w:lang w:val="en-GB"/>
        </w:rPr>
        <w:t xml:space="preserve">has got more importance in </w:t>
      </w:r>
      <w:r w:rsidR="006C1894" w:rsidRPr="00F10F30">
        <w:rPr>
          <w:rFonts w:ascii="Times New Roman" w:hAnsi="Times New Roman" w:cs="Times New Roman"/>
          <w:lang w:val="en-GB"/>
        </w:rPr>
        <w:t>promoting migration from fringe areas</w:t>
      </w:r>
      <w:r w:rsidR="00990C89" w:rsidRPr="00F10F30">
        <w:rPr>
          <w:rFonts w:ascii="Times New Roman" w:hAnsi="Times New Roman" w:cs="Times New Roman"/>
          <w:lang w:val="en-GB"/>
        </w:rPr>
        <w:t xml:space="preserve"> in Denmark</w:t>
      </w:r>
      <w:r w:rsidR="006C1894" w:rsidRPr="00F10F30">
        <w:rPr>
          <w:rFonts w:ascii="Times New Roman" w:hAnsi="Times New Roman" w:cs="Times New Roman"/>
          <w:lang w:val="en-GB"/>
        </w:rPr>
        <w:t xml:space="preserve">. It is start of vocational training and especially middle term education that have resulted in more migration. </w:t>
      </w:r>
      <w:r w:rsidR="00E80F55">
        <w:rPr>
          <w:rFonts w:ascii="Times New Roman" w:hAnsi="Times New Roman" w:cs="Times New Roman"/>
          <w:lang w:val="en-GB"/>
        </w:rPr>
        <w:t>H</w:t>
      </w:r>
      <w:r w:rsidR="006C1894" w:rsidRPr="00F10F30">
        <w:rPr>
          <w:rFonts w:ascii="Times New Roman" w:hAnsi="Times New Roman" w:cs="Times New Roman"/>
          <w:lang w:val="en-GB"/>
        </w:rPr>
        <w:t xml:space="preserve">igher education has </w:t>
      </w:r>
      <w:r w:rsidR="00FF0DDC">
        <w:rPr>
          <w:rFonts w:ascii="Times New Roman" w:hAnsi="Times New Roman" w:cs="Times New Roman"/>
          <w:lang w:val="en-GB"/>
        </w:rPr>
        <w:t>also produced</w:t>
      </w:r>
      <w:r w:rsidR="00E80F55">
        <w:rPr>
          <w:rFonts w:ascii="Times New Roman" w:hAnsi="Times New Roman" w:cs="Times New Roman"/>
          <w:lang w:val="en-GB"/>
        </w:rPr>
        <w:t xml:space="preserve"> more migration, but the increase is a little smaller.</w:t>
      </w:r>
      <w:r w:rsidR="00E6506C">
        <w:rPr>
          <w:rFonts w:ascii="Times New Roman" w:hAnsi="Times New Roman" w:cs="Times New Roman"/>
          <w:lang w:val="en-GB"/>
        </w:rPr>
        <w:t xml:space="preserve"> </w:t>
      </w:r>
    </w:p>
    <w:p w:rsidR="00E80F55" w:rsidRDefault="00E80F55" w:rsidP="00F10F30">
      <w:pPr>
        <w:spacing w:after="0"/>
        <w:rPr>
          <w:rFonts w:ascii="Times New Roman" w:hAnsi="Times New Roman" w:cs="Times New Roman"/>
          <w:lang w:val="en-GB"/>
        </w:rPr>
      </w:pPr>
    </w:p>
    <w:p w:rsidR="00E80F55" w:rsidRDefault="00E80F55" w:rsidP="00F10F30">
      <w:pPr>
        <w:spacing w:after="0"/>
        <w:rPr>
          <w:rFonts w:ascii="Times New Roman" w:hAnsi="Times New Roman" w:cs="Times New Roman"/>
          <w:lang w:val="en-GB"/>
        </w:rPr>
      </w:pPr>
      <w:r>
        <w:rPr>
          <w:rFonts w:ascii="Times New Roman" w:hAnsi="Times New Roman" w:cs="Times New Roman"/>
          <w:lang w:val="en-GB"/>
        </w:rPr>
        <w:t>Women are more inclined to migrate to start education, but this is mainly due to start of middle t</w:t>
      </w:r>
      <w:r w:rsidR="00FF0DDC">
        <w:rPr>
          <w:rFonts w:ascii="Times New Roman" w:hAnsi="Times New Roman" w:cs="Times New Roman"/>
          <w:lang w:val="en-GB"/>
        </w:rPr>
        <w:t>erm educations, while the diffe</w:t>
      </w:r>
      <w:r>
        <w:rPr>
          <w:rFonts w:ascii="Times New Roman" w:hAnsi="Times New Roman" w:cs="Times New Roman"/>
          <w:lang w:val="en-GB"/>
        </w:rPr>
        <w:t>r</w:t>
      </w:r>
      <w:r w:rsidR="00FF0DDC">
        <w:rPr>
          <w:rFonts w:ascii="Times New Roman" w:hAnsi="Times New Roman" w:cs="Times New Roman"/>
          <w:lang w:val="en-GB"/>
        </w:rPr>
        <w:t>e</w:t>
      </w:r>
      <w:r>
        <w:rPr>
          <w:rFonts w:ascii="Times New Roman" w:hAnsi="Times New Roman" w:cs="Times New Roman"/>
          <w:lang w:val="en-GB"/>
        </w:rPr>
        <w:t xml:space="preserve">nces between the sexes are not </w:t>
      </w:r>
      <w:r w:rsidR="00AB54A4">
        <w:rPr>
          <w:rFonts w:ascii="Times New Roman" w:hAnsi="Times New Roman" w:cs="Times New Roman"/>
          <w:lang w:val="en-GB"/>
        </w:rPr>
        <w:t>dramatic for the two other kinds of education.</w:t>
      </w:r>
    </w:p>
    <w:p w:rsidR="00F10F30" w:rsidRPr="00F10F30" w:rsidRDefault="00F10F30" w:rsidP="00F10F30">
      <w:pPr>
        <w:spacing w:after="0"/>
        <w:rPr>
          <w:rFonts w:ascii="Times New Roman" w:hAnsi="Times New Roman" w:cs="Times New Roman"/>
          <w:lang w:val="en-GB"/>
        </w:rPr>
      </w:pPr>
    </w:p>
    <w:p w:rsidR="006C1894" w:rsidRDefault="00FF0DDC" w:rsidP="00F10F30">
      <w:pPr>
        <w:spacing w:after="0"/>
        <w:rPr>
          <w:rFonts w:ascii="Times New Roman" w:hAnsi="Times New Roman" w:cs="Times New Roman"/>
          <w:lang w:val="en-GB"/>
        </w:rPr>
      </w:pPr>
      <w:r w:rsidRPr="00F10F30">
        <w:rPr>
          <w:rFonts w:ascii="Times New Roman" w:hAnsi="Times New Roman" w:cs="Times New Roman"/>
          <w:lang w:val="en-GB"/>
        </w:rPr>
        <w:t xml:space="preserve">Those who experienced other upheavals in their life are more ready to migrate to study. </w:t>
      </w:r>
      <w:r w:rsidR="006C1894" w:rsidRPr="00F10F30">
        <w:rPr>
          <w:rFonts w:ascii="Times New Roman" w:hAnsi="Times New Roman" w:cs="Times New Roman"/>
          <w:lang w:val="en-GB"/>
        </w:rPr>
        <w:t>Different events</w:t>
      </w:r>
      <w:r w:rsidR="00990C89" w:rsidRPr="00F10F30">
        <w:rPr>
          <w:rFonts w:ascii="Times New Roman" w:hAnsi="Times New Roman" w:cs="Times New Roman"/>
          <w:lang w:val="en-GB"/>
        </w:rPr>
        <w:t>,</w:t>
      </w:r>
      <w:r w:rsidR="006C1894" w:rsidRPr="00F10F30">
        <w:rPr>
          <w:rFonts w:ascii="Times New Roman" w:hAnsi="Times New Roman" w:cs="Times New Roman"/>
          <w:lang w:val="en-GB"/>
        </w:rPr>
        <w:t xml:space="preserve"> </w:t>
      </w:r>
      <w:r w:rsidR="00990C89" w:rsidRPr="00F10F30">
        <w:rPr>
          <w:rFonts w:ascii="Times New Roman" w:hAnsi="Times New Roman" w:cs="Times New Roman"/>
          <w:lang w:val="en-GB"/>
        </w:rPr>
        <w:t xml:space="preserve">which </w:t>
      </w:r>
      <w:r w:rsidR="006C1894" w:rsidRPr="00F10F30">
        <w:rPr>
          <w:rFonts w:ascii="Times New Roman" w:hAnsi="Times New Roman" w:cs="Times New Roman"/>
          <w:lang w:val="en-GB"/>
        </w:rPr>
        <w:t>happened in the same year</w:t>
      </w:r>
      <w:r w:rsidR="00990C89" w:rsidRPr="00F10F30">
        <w:rPr>
          <w:rFonts w:ascii="Times New Roman" w:hAnsi="Times New Roman" w:cs="Times New Roman"/>
          <w:lang w:val="en-GB"/>
        </w:rPr>
        <w:t>,</w:t>
      </w:r>
      <w:r w:rsidR="006C1894" w:rsidRPr="00F10F30">
        <w:rPr>
          <w:rFonts w:ascii="Times New Roman" w:hAnsi="Times New Roman" w:cs="Times New Roman"/>
          <w:lang w:val="en-GB"/>
        </w:rPr>
        <w:t xml:space="preserve"> have influenced the decision to start education and move away. Changes in the family situation like moving together with or from a partner increased </w:t>
      </w:r>
      <w:r w:rsidRPr="00F10F30">
        <w:rPr>
          <w:rFonts w:ascii="Times New Roman" w:hAnsi="Times New Roman" w:cs="Times New Roman"/>
          <w:lang w:val="en-GB"/>
        </w:rPr>
        <w:t>much</w:t>
      </w:r>
      <w:r w:rsidRPr="00F10F30">
        <w:rPr>
          <w:rFonts w:ascii="Times New Roman" w:hAnsi="Times New Roman" w:cs="Times New Roman"/>
          <w:lang w:val="en-GB"/>
        </w:rPr>
        <w:t xml:space="preserve"> </w:t>
      </w:r>
      <w:r w:rsidR="006C1894" w:rsidRPr="00F10F30">
        <w:rPr>
          <w:rFonts w:ascii="Times New Roman" w:hAnsi="Times New Roman" w:cs="Times New Roman"/>
          <w:lang w:val="en-GB"/>
        </w:rPr>
        <w:t xml:space="preserve">the propensity to </w:t>
      </w:r>
      <w:r>
        <w:rPr>
          <w:rFonts w:ascii="Times New Roman" w:hAnsi="Times New Roman" w:cs="Times New Roman"/>
          <w:lang w:val="en-GB"/>
        </w:rPr>
        <w:t xml:space="preserve">start education and </w:t>
      </w:r>
      <w:r w:rsidR="006C1894" w:rsidRPr="00F10F30">
        <w:rPr>
          <w:rFonts w:ascii="Times New Roman" w:hAnsi="Times New Roman" w:cs="Times New Roman"/>
          <w:lang w:val="en-GB"/>
        </w:rPr>
        <w:t xml:space="preserve">move, while getting children reduced it. </w:t>
      </w:r>
      <w:r w:rsidR="00E80F55">
        <w:rPr>
          <w:rFonts w:ascii="Times New Roman" w:hAnsi="Times New Roman" w:cs="Times New Roman"/>
          <w:lang w:val="en-GB"/>
        </w:rPr>
        <w:t>T</w:t>
      </w:r>
      <w:r w:rsidR="006C1894" w:rsidRPr="00F10F30">
        <w:rPr>
          <w:rFonts w:ascii="Times New Roman" w:hAnsi="Times New Roman" w:cs="Times New Roman"/>
          <w:lang w:val="en-GB"/>
        </w:rPr>
        <w:t>hose who had lost their job seldom moved to start education.</w:t>
      </w:r>
    </w:p>
    <w:p w:rsidR="00F10F30" w:rsidRPr="00F10F30" w:rsidRDefault="00F10F30" w:rsidP="00F10F30">
      <w:pPr>
        <w:spacing w:after="0"/>
        <w:rPr>
          <w:rFonts w:ascii="Times New Roman" w:hAnsi="Times New Roman" w:cs="Times New Roman"/>
          <w:lang w:val="en-GB"/>
        </w:rPr>
      </w:pPr>
    </w:p>
    <w:p w:rsidR="006C1894" w:rsidRPr="00F10F30" w:rsidRDefault="006C1894" w:rsidP="00F10F30">
      <w:pPr>
        <w:spacing w:after="0"/>
        <w:rPr>
          <w:rFonts w:ascii="Times New Roman" w:hAnsi="Times New Roman" w:cs="Times New Roman"/>
          <w:lang w:val="en-GB"/>
        </w:rPr>
      </w:pPr>
      <w:r w:rsidRPr="00F10F30">
        <w:rPr>
          <w:rFonts w:ascii="Times New Roman" w:hAnsi="Times New Roman" w:cs="Times New Roman"/>
          <w:lang w:val="en-GB"/>
        </w:rPr>
        <w:t xml:space="preserve">The highest mobility </w:t>
      </w:r>
      <w:r w:rsidR="00041A80" w:rsidRPr="00F10F30">
        <w:rPr>
          <w:rFonts w:ascii="Times New Roman" w:hAnsi="Times New Roman" w:cs="Times New Roman"/>
          <w:lang w:val="en-GB"/>
        </w:rPr>
        <w:t>was</w:t>
      </w:r>
      <w:r w:rsidRPr="00F10F30">
        <w:rPr>
          <w:rFonts w:ascii="Times New Roman" w:hAnsi="Times New Roman" w:cs="Times New Roman"/>
          <w:lang w:val="en-GB"/>
        </w:rPr>
        <w:t xml:space="preserve"> found among youngsters living with parents, while those who had established a household for themselves in the local area </w:t>
      </w:r>
      <w:r w:rsidR="00990C89" w:rsidRPr="00F10F30">
        <w:rPr>
          <w:rFonts w:ascii="Times New Roman" w:hAnsi="Times New Roman" w:cs="Times New Roman"/>
          <w:lang w:val="en-GB"/>
        </w:rPr>
        <w:t xml:space="preserve">more </w:t>
      </w:r>
      <w:r w:rsidRPr="00F10F30">
        <w:rPr>
          <w:rFonts w:ascii="Times New Roman" w:hAnsi="Times New Roman" w:cs="Times New Roman"/>
          <w:lang w:val="en-GB"/>
        </w:rPr>
        <w:t xml:space="preserve">seldom moved. This especially </w:t>
      </w:r>
      <w:r w:rsidR="00041A80" w:rsidRPr="00F10F30">
        <w:rPr>
          <w:rFonts w:ascii="Times New Roman" w:hAnsi="Times New Roman" w:cs="Times New Roman"/>
          <w:lang w:val="en-GB"/>
        </w:rPr>
        <w:t>applies for lone parents</w:t>
      </w:r>
      <w:r w:rsidR="00E80F55">
        <w:rPr>
          <w:rFonts w:ascii="Times New Roman" w:hAnsi="Times New Roman" w:cs="Times New Roman"/>
          <w:lang w:val="en-GB"/>
        </w:rPr>
        <w:t>,</w:t>
      </w:r>
      <w:r w:rsidR="00E80F55" w:rsidRPr="00E80F55">
        <w:rPr>
          <w:rFonts w:ascii="Times New Roman" w:hAnsi="Times New Roman" w:cs="Times New Roman"/>
          <w:lang w:val="en-GB"/>
        </w:rPr>
        <w:t xml:space="preserve"> </w:t>
      </w:r>
      <w:r w:rsidR="00E80F55" w:rsidRPr="00F10F30">
        <w:rPr>
          <w:rFonts w:ascii="Times New Roman" w:hAnsi="Times New Roman" w:cs="Times New Roman"/>
          <w:lang w:val="en-GB"/>
        </w:rPr>
        <w:t>who can be expected to be weaker groups of women</w:t>
      </w:r>
      <w:r w:rsidR="00E80F55">
        <w:rPr>
          <w:rFonts w:ascii="Times New Roman" w:hAnsi="Times New Roman" w:cs="Times New Roman"/>
          <w:lang w:val="en-GB"/>
        </w:rPr>
        <w:t>,</w:t>
      </w:r>
      <w:r w:rsidR="00041A80" w:rsidRPr="00F10F30">
        <w:rPr>
          <w:rFonts w:ascii="Times New Roman" w:hAnsi="Times New Roman" w:cs="Times New Roman"/>
          <w:lang w:val="en-GB"/>
        </w:rPr>
        <w:t xml:space="preserve"> and those residing in </w:t>
      </w:r>
      <w:r w:rsidR="00E80F55">
        <w:rPr>
          <w:rFonts w:ascii="Times New Roman" w:hAnsi="Times New Roman" w:cs="Times New Roman"/>
          <w:lang w:val="en-GB"/>
        </w:rPr>
        <w:t xml:space="preserve">homeownership or in </w:t>
      </w:r>
      <w:r w:rsidR="00041A80" w:rsidRPr="00F10F30">
        <w:rPr>
          <w:rFonts w:ascii="Times New Roman" w:hAnsi="Times New Roman" w:cs="Times New Roman"/>
          <w:lang w:val="en-GB"/>
        </w:rPr>
        <w:t>social housing.</w:t>
      </w:r>
    </w:p>
    <w:p w:rsidR="00F10F30" w:rsidRDefault="00F10F30" w:rsidP="00F10F30">
      <w:pPr>
        <w:spacing w:after="0"/>
        <w:rPr>
          <w:rFonts w:ascii="Times New Roman" w:hAnsi="Times New Roman" w:cs="Times New Roman"/>
          <w:lang w:val="en-GB"/>
        </w:rPr>
      </w:pPr>
    </w:p>
    <w:p w:rsidR="00041A80" w:rsidRDefault="00041A80" w:rsidP="00F10F30">
      <w:pPr>
        <w:spacing w:after="0"/>
        <w:rPr>
          <w:rFonts w:ascii="Times New Roman" w:hAnsi="Times New Roman" w:cs="Times New Roman"/>
          <w:lang w:val="en-GB"/>
        </w:rPr>
      </w:pPr>
      <w:r w:rsidRPr="00F10F30">
        <w:rPr>
          <w:rFonts w:ascii="Times New Roman" w:hAnsi="Times New Roman" w:cs="Times New Roman"/>
          <w:lang w:val="en-GB"/>
        </w:rPr>
        <w:t xml:space="preserve">Like other studies these analyses also show very significant effects of factors connected to the family and </w:t>
      </w:r>
      <w:r w:rsidR="00990C89" w:rsidRPr="00F10F30">
        <w:rPr>
          <w:rFonts w:ascii="Times New Roman" w:hAnsi="Times New Roman" w:cs="Times New Roman"/>
          <w:lang w:val="en-GB"/>
        </w:rPr>
        <w:t xml:space="preserve">to </w:t>
      </w:r>
      <w:r w:rsidRPr="00F10F30">
        <w:rPr>
          <w:rFonts w:ascii="Times New Roman" w:hAnsi="Times New Roman" w:cs="Times New Roman"/>
          <w:lang w:val="en-GB"/>
        </w:rPr>
        <w:t xml:space="preserve">parents’ education. Young people who lived together with both parents at the age of 17 were much more inclined to start education and move away and the effect increased </w:t>
      </w:r>
      <w:r w:rsidR="00FF0DDC">
        <w:rPr>
          <w:rFonts w:ascii="Times New Roman" w:hAnsi="Times New Roman" w:cs="Times New Roman"/>
          <w:lang w:val="en-GB"/>
        </w:rPr>
        <w:t>for choosing</w:t>
      </w:r>
      <w:r w:rsidRPr="00F10F30">
        <w:rPr>
          <w:rFonts w:ascii="Times New Roman" w:hAnsi="Times New Roman" w:cs="Times New Roman"/>
          <w:lang w:val="en-GB"/>
        </w:rPr>
        <w:t xml:space="preserve"> higher degree of education. Compared to parents with higher education the propensity to move to start education in general was much lower if parents only had primary or secondary school or vocational training. These differences were </w:t>
      </w:r>
      <w:r w:rsidR="00E6506C">
        <w:rPr>
          <w:rFonts w:ascii="Times New Roman" w:hAnsi="Times New Roman" w:cs="Times New Roman"/>
          <w:lang w:val="en-GB"/>
        </w:rPr>
        <w:t xml:space="preserve">also </w:t>
      </w:r>
      <w:r w:rsidRPr="00F10F30">
        <w:rPr>
          <w:rFonts w:ascii="Times New Roman" w:hAnsi="Times New Roman" w:cs="Times New Roman"/>
          <w:lang w:val="en-GB"/>
        </w:rPr>
        <w:t xml:space="preserve">especially significant for moving to higher education. For moving to vocational training, however, the </w:t>
      </w:r>
      <w:r w:rsidRPr="00F10F30">
        <w:rPr>
          <w:rFonts w:ascii="Times New Roman" w:hAnsi="Times New Roman" w:cs="Times New Roman"/>
          <w:lang w:val="en-GB"/>
        </w:rPr>
        <w:lastRenderedPageBreak/>
        <w:t>probability of moving was higher among those whose parents did not have higher education. Moving to middle-term education was most common among those whose parents had this kind of education.</w:t>
      </w:r>
    </w:p>
    <w:p w:rsidR="00E6506C" w:rsidRPr="00F10F30" w:rsidRDefault="00E6506C" w:rsidP="00F10F30">
      <w:pPr>
        <w:spacing w:after="0"/>
        <w:rPr>
          <w:rFonts w:ascii="Times New Roman" w:hAnsi="Times New Roman" w:cs="Times New Roman"/>
          <w:lang w:val="en-GB"/>
        </w:rPr>
      </w:pPr>
    </w:p>
    <w:p w:rsidR="00857078" w:rsidRPr="00F10F30" w:rsidRDefault="00990C89"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t>Discussion and conclusions</w:t>
      </w:r>
    </w:p>
    <w:p w:rsidR="00F10F30" w:rsidRDefault="00F10F30" w:rsidP="00F10F30">
      <w:pPr>
        <w:spacing w:after="0"/>
        <w:rPr>
          <w:rFonts w:ascii="Times New Roman" w:hAnsi="Times New Roman" w:cs="Times New Roman"/>
          <w:lang w:val="en-GB"/>
        </w:rPr>
      </w:pPr>
    </w:p>
    <w:p w:rsidR="004C1F10" w:rsidRPr="00F10F30" w:rsidRDefault="004C1F10" w:rsidP="00F10F30">
      <w:pPr>
        <w:spacing w:after="0"/>
        <w:rPr>
          <w:rFonts w:ascii="Times New Roman" w:hAnsi="Times New Roman" w:cs="Times New Roman"/>
          <w:lang w:val="en-GB"/>
        </w:rPr>
      </w:pPr>
      <w:r w:rsidRPr="00F10F30">
        <w:rPr>
          <w:rFonts w:ascii="Times New Roman" w:hAnsi="Times New Roman" w:cs="Times New Roman"/>
          <w:lang w:val="en-GB"/>
        </w:rPr>
        <w:t xml:space="preserve">As has been shown in Table 2 educational institutions in Denmark, like in most other countries, have been concentrated in the more urbanised parts of the country. This implies that young people in fringe areas have difficulties in finding education in their local area and thus often are forced to move away to the urban centres to obtain education </w:t>
      </w:r>
      <w:r w:rsidRPr="00F10F30">
        <w:rPr>
          <w:rFonts w:ascii="Times New Roman" w:hAnsi="Times New Roman" w:cs="Times New Roman"/>
          <w:color w:val="000000"/>
          <w:lang w:val="en-GB"/>
        </w:rPr>
        <w:t>providing a formal qualification</w:t>
      </w:r>
      <w:r w:rsidRPr="00F10F30">
        <w:rPr>
          <w:rFonts w:ascii="Times New Roman" w:hAnsi="Times New Roman" w:cs="Times New Roman"/>
          <w:lang w:val="en-GB"/>
        </w:rPr>
        <w:t xml:space="preserve">. </w:t>
      </w:r>
    </w:p>
    <w:p w:rsidR="00F10F30" w:rsidRDefault="00F10F30" w:rsidP="00F10F30">
      <w:pPr>
        <w:spacing w:after="0"/>
        <w:rPr>
          <w:rFonts w:ascii="Times New Roman" w:hAnsi="Times New Roman" w:cs="Times New Roman"/>
          <w:lang w:val="en-GB"/>
        </w:rPr>
      </w:pPr>
    </w:p>
    <w:p w:rsidR="004C1F10" w:rsidRPr="00F10F30" w:rsidRDefault="004C1F10" w:rsidP="00F10F30">
      <w:pPr>
        <w:spacing w:after="0"/>
        <w:rPr>
          <w:rFonts w:ascii="Times New Roman" w:hAnsi="Times New Roman" w:cs="Times New Roman"/>
          <w:lang w:val="en-GB"/>
        </w:rPr>
      </w:pPr>
      <w:r w:rsidRPr="00F10F30">
        <w:rPr>
          <w:rFonts w:ascii="Times New Roman" w:hAnsi="Times New Roman" w:cs="Times New Roman"/>
          <w:lang w:val="en-GB"/>
        </w:rPr>
        <w:t xml:space="preserve">Denmark has, as many other countries, experienced a geographical concentration in the last 25 years, leading to population losses in the parts of the countries located </w:t>
      </w:r>
      <w:r w:rsidR="00E6506C" w:rsidRPr="00F10F30">
        <w:rPr>
          <w:rFonts w:ascii="Times New Roman" w:hAnsi="Times New Roman" w:cs="Times New Roman"/>
          <w:lang w:val="en-GB"/>
        </w:rPr>
        <w:t>furthest</w:t>
      </w:r>
      <w:r w:rsidRPr="00F10F30">
        <w:rPr>
          <w:rFonts w:ascii="Times New Roman" w:hAnsi="Times New Roman" w:cs="Times New Roman"/>
          <w:lang w:val="en-GB"/>
        </w:rPr>
        <w:t xml:space="preserve"> away from the growth centres, so-called fringe areas. The loss of population in these areas is mainly due to outmigration of young people. Fringe areas in Denmark have thus had a 40 % reduction of young people in the age 25- 30 years old in the period 1990 to 2013.</w:t>
      </w:r>
    </w:p>
    <w:p w:rsidR="00F10F30" w:rsidRDefault="00F10F30" w:rsidP="00F10F30">
      <w:pPr>
        <w:spacing w:after="0"/>
        <w:rPr>
          <w:rFonts w:ascii="Times New Roman" w:hAnsi="Times New Roman" w:cs="Times New Roman"/>
          <w:lang w:val="en-GB"/>
        </w:rPr>
      </w:pPr>
    </w:p>
    <w:p w:rsidR="004C1F10" w:rsidRPr="00F10F30" w:rsidRDefault="004C1F10" w:rsidP="00F10F30">
      <w:pPr>
        <w:spacing w:after="0"/>
        <w:rPr>
          <w:rFonts w:ascii="Times New Roman" w:hAnsi="Times New Roman" w:cs="Times New Roman"/>
          <w:lang w:val="en-GB"/>
        </w:rPr>
      </w:pPr>
      <w:r w:rsidRPr="00F10F30">
        <w:rPr>
          <w:rFonts w:ascii="Times New Roman" w:hAnsi="Times New Roman" w:cs="Times New Roman"/>
          <w:lang w:val="en-GB"/>
        </w:rPr>
        <w:t>As described in the theoretical section there are different reasons for why young people choose to migrate from frin</w:t>
      </w:r>
      <w:r w:rsidR="00FF0DDC">
        <w:rPr>
          <w:rFonts w:ascii="Times New Roman" w:hAnsi="Times New Roman" w:cs="Times New Roman"/>
          <w:lang w:val="en-GB"/>
        </w:rPr>
        <w:t>ge areas or to stay there. It has been</w:t>
      </w:r>
      <w:r w:rsidRPr="00F10F30">
        <w:rPr>
          <w:rFonts w:ascii="Times New Roman" w:hAnsi="Times New Roman" w:cs="Times New Roman"/>
          <w:lang w:val="en-GB"/>
        </w:rPr>
        <w:t xml:space="preserve"> shown that most of them have a high degree of place attachment, which implies that there should be very good reasons before they choose to leave. On the other hand some of them believe that their career options are better in cities or perceive life in cities as a must for young people.</w:t>
      </w:r>
    </w:p>
    <w:p w:rsidR="00F10F30" w:rsidRDefault="00F10F30" w:rsidP="00F10F30">
      <w:pPr>
        <w:spacing w:after="0"/>
        <w:rPr>
          <w:rFonts w:ascii="Times New Roman" w:hAnsi="Times New Roman" w:cs="Times New Roman"/>
          <w:lang w:val="en-GB"/>
        </w:rPr>
      </w:pPr>
    </w:p>
    <w:p w:rsidR="00905764" w:rsidRDefault="004C1F10" w:rsidP="00F10F30">
      <w:pPr>
        <w:spacing w:after="0"/>
        <w:rPr>
          <w:rFonts w:ascii="Times New Roman" w:hAnsi="Times New Roman" w:cs="Times New Roman"/>
          <w:lang w:val="en-GB"/>
        </w:rPr>
      </w:pPr>
      <w:r w:rsidRPr="00905764">
        <w:rPr>
          <w:rFonts w:ascii="Times New Roman" w:hAnsi="Times New Roman" w:cs="Times New Roman"/>
          <w:lang w:val="en-GB"/>
        </w:rPr>
        <w:t xml:space="preserve">The most important reasons for leaving </w:t>
      </w:r>
      <w:r w:rsidR="00905764">
        <w:rPr>
          <w:rFonts w:ascii="Times New Roman" w:hAnsi="Times New Roman" w:cs="Times New Roman"/>
          <w:lang w:val="en-GB"/>
        </w:rPr>
        <w:t xml:space="preserve">fringe areas </w:t>
      </w:r>
      <w:r w:rsidRPr="00905764">
        <w:rPr>
          <w:rFonts w:ascii="Times New Roman" w:hAnsi="Times New Roman" w:cs="Times New Roman"/>
          <w:lang w:val="en-GB"/>
        </w:rPr>
        <w:t xml:space="preserve">are education and work. </w:t>
      </w:r>
      <w:r w:rsidR="00905764">
        <w:rPr>
          <w:rFonts w:ascii="Times New Roman" w:hAnsi="Times New Roman" w:cs="Times New Roman"/>
          <w:lang w:val="en-GB"/>
        </w:rPr>
        <w:t>Start of education showed to be the most important factor with increasing importance over years. 29 per cent of the cohort of young people in fringe areas getting 17 years old in the start of the 1990’ties left the areas before getting 25 years old in connection with start of education. For later cohorts this increased to 34 per cent. Migration in connection with start or change of employment only accounted for outmigration of 17 per cent</w:t>
      </w:r>
      <w:r w:rsidR="00FF0DDC">
        <w:rPr>
          <w:rFonts w:ascii="Times New Roman" w:hAnsi="Times New Roman" w:cs="Times New Roman"/>
          <w:lang w:val="en-GB"/>
        </w:rPr>
        <w:t xml:space="preserve"> and this did not change with time</w:t>
      </w:r>
      <w:r w:rsidR="00905764">
        <w:rPr>
          <w:rFonts w:ascii="Times New Roman" w:hAnsi="Times New Roman" w:cs="Times New Roman"/>
          <w:lang w:val="en-GB"/>
        </w:rPr>
        <w:t>.</w:t>
      </w:r>
    </w:p>
    <w:p w:rsidR="00905764" w:rsidRDefault="00905764" w:rsidP="00F10F30">
      <w:pPr>
        <w:spacing w:after="0"/>
        <w:rPr>
          <w:rFonts w:ascii="Times New Roman" w:hAnsi="Times New Roman" w:cs="Times New Roman"/>
          <w:lang w:val="en-GB"/>
        </w:rPr>
      </w:pPr>
    </w:p>
    <w:p w:rsidR="004C1F10" w:rsidRPr="00F10F30" w:rsidRDefault="004C1F10" w:rsidP="00F10F30">
      <w:pPr>
        <w:spacing w:after="0"/>
        <w:rPr>
          <w:rFonts w:ascii="Times New Roman" w:hAnsi="Times New Roman" w:cs="Times New Roman"/>
          <w:lang w:val="en-GB"/>
        </w:rPr>
      </w:pPr>
      <w:r w:rsidRPr="00F10F30">
        <w:rPr>
          <w:rFonts w:ascii="Times New Roman" w:hAnsi="Times New Roman" w:cs="Times New Roman"/>
          <w:lang w:val="en-GB"/>
        </w:rPr>
        <w:t xml:space="preserve">In </w:t>
      </w:r>
      <w:r w:rsidR="00905764" w:rsidRPr="00F10F30">
        <w:rPr>
          <w:rFonts w:ascii="Times New Roman" w:hAnsi="Times New Roman" w:cs="Times New Roman"/>
          <w:lang w:val="en-GB"/>
        </w:rPr>
        <w:t>2011</w:t>
      </w:r>
      <w:r w:rsidR="00905764">
        <w:rPr>
          <w:rFonts w:ascii="Times New Roman" w:hAnsi="Times New Roman" w:cs="Times New Roman"/>
          <w:lang w:val="en-GB"/>
        </w:rPr>
        <w:t xml:space="preserve"> on </w:t>
      </w:r>
      <w:r w:rsidRPr="00F10F30">
        <w:rPr>
          <w:rFonts w:ascii="Times New Roman" w:hAnsi="Times New Roman" w:cs="Times New Roman"/>
          <w:lang w:val="en-GB"/>
        </w:rPr>
        <w:t xml:space="preserve">average about 35 per cent in the age 17 to 39 moved away from fringe areas the same year as they started education. The extent of migration was, however, closely connected to the kind of education chosen. Among those, who started higher education, more than 85 per cent moved out, for middle-term educations it was about 50 per cent and for vocational training it was only 12 per cent. Migration and choice of education is thus of crucial importance and the literature has shown that many youngsters in fringe areas are split by </w:t>
      </w:r>
      <w:r w:rsidR="00E6506C">
        <w:rPr>
          <w:rFonts w:ascii="Times New Roman" w:hAnsi="Times New Roman" w:cs="Times New Roman"/>
          <w:lang w:val="en-GB"/>
        </w:rPr>
        <w:t xml:space="preserve">a </w:t>
      </w:r>
      <w:r w:rsidRPr="00F10F30">
        <w:rPr>
          <w:rFonts w:ascii="Times New Roman" w:hAnsi="Times New Roman" w:cs="Times New Roman"/>
          <w:lang w:val="en-GB"/>
        </w:rPr>
        <w:t xml:space="preserve">dilemma between the inclination to stay and their aspirations of education and career. </w:t>
      </w:r>
    </w:p>
    <w:p w:rsidR="00F10F30" w:rsidRDefault="00F10F30" w:rsidP="00F10F30">
      <w:pPr>
        <w:spacing w:after="0"/>
        <w:rPr>
          <w:rFonts w:ascii="Times New Roman" w:hAnsi="Times New Roman" w:cs="Times New Roman"/>
          <w:lang w:val="en-GB"/>
        </w:rPr>
      </w:pPr>
    </w:p>
    <w:p w:rsidR="004C1F10" w:rsidRPr="00F10F30" w:rsidRDefault="004C1F10" w:rsidP="00F10F30">
      <w:pPr>
        <w:spacing w:after="0"/>
        <w:rPr>
          <w:rFonts w:ascii="Times New Roman" w:hAnsi="Times New Roman" w:cs="Times New Roman"/>
          <w:color w:val="000000"/>
          <w:lang w:val="en-GB"/>
        </w:rPr>
      </w:pPr>
      <w:r w:rsidRPr="00F10F30">
        <w:rPr>
          <w:rFonts w:ascii="Times New Roman" w:hAnsi="Times New Roman" w:cs="Times New Roman"/>
          <w:lang w:val="en-GB"/>
        </w:rPr>
        <w:t>Like some other studies the statistical analyses show that outmigration in connection with start of education depends on how far they have come in their family, work and housing career and on their family background. Those who stay at home</w:t>
      </w:r>
      <w:r w:rsidR="00E6506C">
        <w:rPr>
          <w:rFonts w:ascii="Times New Roman" w:hAnsi="Times New Roman" w:cs="Times New Roman"/>
          <w:lang w:val="en-GB"/>
        </w:rPr>
        <w:t>,</w:t>
      </w:r>
      <w:r w:rsidRPr="00F10F30">
        <w:rPr>
          <w:rFonts w:ascii="Times New Roman" w:hAnsi="Times New Roman" w:cs="Times New Roman"/>
          <w:lang w:val="en-GB"/>
        </w:rPr>
        <w:t xml:space="preserve"> until they start </w:t>
      </w:r>
      <w:r w:rsidR="00E6506C">
        <w:rPr>
          <w:rFonts w:ascii="Times New Roman" w:hAnsi="Times New Roman" w:cs="Times New Roman"/>
          <w:lang w:val="en-GB"/>
        </w:rPr>
        <w:t xml:space="preserve">an </w:t>
      </w:r>
      <w:r w:rsidRPr="00F10F30">
        <w:rPr>
          <w:rFonts w:ascii="Times New Roman" w:hAnsi="Times New Roman" w:cs="Times New Roman"/>
          <w:lang w:val="en-GB"/>
        </w:rPr>
        <w:t xml:space="preserve">education </w:t>
      </w:r>
      <w:r w:rsidRPr="00F10F30">
        <w:rPr>
          <w:rFonts w:ascii="Times New Roman" w:hAnsi="Times New Roman" w:cs="Times New Roman"/>
          <w:color w:val="000000"/>
          <w:lang w:val="en-GB"/>
        </w:rPr>
        <w:t>providing formal qualification</w:t>
      </w:r>
      <w:r w:rsidR="00E6506C">
        <w:rPr>
          <w:rFonts w:ascii="Times New Roman" w:hAnsi="Times New Roman" w:cs="Times New Roman"/>
          <w:color w:val="000000"/>
          <w:lang w:val="en-GB"/>
        </w:rPr>
        <w:t>,</w:t>
      </w:r>
      <w:r w:rsidRPr="00F10F30">
        <w:rPr>
          <w:rFonts w:ascii="Times New Roman" w:hAnsi="Times New Roman" w:cs="Times New Roman"/>
          <w:color w:val="000000"/>
          <w:lang w:val="en-GB"/>
        </w:rPr>
        <w:t xml:space="preserve"> have a much higher propensity to </w:t>
      </w:r>
      <w:r w:rsidR="00E6506C">
        <w:rPr>
          <w:rFonts w:ascii="Times New Roman" w:hAnsi="Times New Roman" w:cs="Times New Roman"/>
          <w:color w:val="000000"/>
          <w:lang w:val="en-GB"/>
        </w:rPr>
        <w:t>migrate</w:t>
      </w:r>
      <w:r w:rsidRPr="00F10F30">
        <w:rPr>
          <w:rFonts w:ascii="Times New Roman" w:hAnsi="Times New Roman" w:cs="Times New Roman"/>
          <w:color w:val="000000"/>
          <w:lang w:val="en-GB"/>
        </w:rPr>
        <w:t xml:space="preserve"> than those who have moved away from parents, especially if they also have formed a family and got children. The educational background of parents is crucial for choice of education and for migration. If parents’ highest education is vocational training or only primary or secondary school the probability of migration is much lower in connection with start of education and especially in connection with higher education. This group are, however, more inclined to migrate in connection with vocational training than those whose parents have a high education.  </w:t>
      </w:r>
    </w:p>
    <w:p w:rsidR="00F10F30" w:rsidRDefault="00F10F30" w:rsidP="00F10F30">
      <w:pPr>
        <w:spacing w:after="0"/>
        <w:rPr>
          <w:rFonts w:ascii="Times New Roman" w:hAnsi="Times New Roman" w:cs="Times New Roman"/>
          <w:color w:val="000000"/>
          <w:lang w:val="en-GB"/>
        </w:rPr>
      </w:pPr>
    </w:p>
    <w:p w:rsidR="004C1F10" w:rsidRPr="00F10F30" w:rsidRDefault="004C1F10" w:rsidP="00F10F30">
      <w:pPr>
        <w:spacing w:after="0"/>
        <w:rPr>
          <w:rFonts w:ascii="Times New Roman" w:hAnsi="Times New Roman" w:cs="Times New Roman"/>
          <w:color w:val="000000"/>
          <w:lang w:val="en-GB"/>
        </w:rPr>
      </w:pPr>
      <w:r w:rsidRPr="00F10F30">
        <w:rPr>
          <w:rFonts w:ascii="Times New Roman" w:hAnsi="Times New Roman" w:cs="Times New Roman"/>
          <w:color w:val="000000"/>
          <w:lang w:val="en-GB"/>
        </w:rPr>
        <w:lastRenderedPageBreak/>
        <w:t>Qualitative studies have indicated that young people</w:t>
      </w:r>
      <w:r w:rsidR="00E6506C">
        <w:rPr>
          <w:rFonts w:ascii="Times New Roman" w:hAnsi="Times New Roman" w:cs="Times New Roman"/>
          <w:color w:val="000000"/>
          <w:lang w:val="en-GB"/>
        </w:rPr>
        <w:t>,</w:t>
      </w:r>
      <w:r w:rsidRPr="00F10F30">
        <w:rPr>
          <w:rFonts w:ascii="Times New Roman" w:hAnsi="Times New Roman" w:cs="Times New Roman"/>
          <w:color w:val="000000"/>
          <w:lang w:val="en-GB"/>
        </w:rPr>
        <w:t xml:space="preserve"> who come from families with social problems</w:t>
      </w:r>
      <w:r w:rsidR="00E6506C">
        <w:rPr>
          <w:rFonts w:ascii="Times New Roman" w:hAnsi="Times New Roman" w:cs="Times New Roman"/>
          <w:color w:val="000000"/>
          <w:lang w:val="en-GB"/>
        </w:rPr>
        <w:t>,</w:t>
      </w:r>
      <w:r w:rsidRPr="00F10F30">
        <w:rPr>
          <w:rFonts w:ascii="Times New Roman" w:hAnsi="Times New Roman" w:cs="Times New Roman"/>
          <w:color w:val="000000"/>
          <w:lang w:val="en-GB"/>
        </w:rPr>
        <w:t xml:space="preserve"> leave home earlier, more seldom start higher or middle-term education and are more inclined to stay put in fringe areas. This is confirmed by the fact that those who lived together with both parents in the age of 17 more often migrate than those who did not. Having divorced parents thus reduces the inclination to start education and migrate, especially to do it in connection with higher education.</w:t>
      </w:r>
    </w:p>
    <w:p w:rsidR="00F10F30" w:rsidRDefault="00F10F30" w:rsidP="00F10F30">
      <w:pPr>
        <w:spacing w:after="0"/>
        <w:rPr>
          <w:rFonts w:ascii="Times New Roman" w:hAnsi="Times New Roman" w:cs="Times New Roman"/>
          <w:lang w:val="en-GB"/>
        </w:rPr>
      </w:pPr>
    </w:p>
    <w:p w:rsidR="00AB54A4" w:rsidRDefault="004C1F10" w:rsidP="00F10F30">
      <w:pPr>
        <w:spacing w:after="0"/>
        <w:rPr>
          <w:rFonts w:ascii="Times New Roman" w:hAnsi="Times New Roman" w:cs="Times New Roman"/>
          <w:lang w:val="en-GB"/>
        </w:rPr>
      </w:pPr>
      <w:r w:rsidRPr="00F10F30">
        <w:rPr>
          <w:rFonts w:ascii="Times New Roman" w:hAnsi="Times New Roman" w:cs="Times New Roman"/>
          <w:lang w:val="en-GB"/>
        </w:rPr>
        <w:t>It is well known from the literature on causes of migration that major changes in the li</w:t>
      </w:r>
      <w:r w:rsidR="00E6506C">
        <w:rPr>
          <w:rFonts w:ascii="Times New Roman" w:hAnsi="Times New Roman" w:cs="Times New Roman"/>
          <w:lang w:val="en-GB"/>
        </w:rPr>
        <w:t>fe situation of people increase</w:t>
      </w:r>
      <w:r w:rsidRPr="00F10F30">
        <w:rPr>
          <w:rFonts w:ascii="Times New Roman" w:hAnsi="Times New Roman" w:cs="Times New Roman"/>
          <w:lang w:val="en-GB"/>
        </w:rPr>
        <w:t xml:space="preserve"> the probability of moving</w:t>
      </w:r>
      <w:r w:rsidR="00E6506C">
        <w:rPr>
          <w:rFonts w:ascii="Times New Roman" w:hAnsi="Times New Roman" w:cs="Times New Roman"/>
          <w:lang w:val="en-GB"/>
        </w:rPr>
        <w:t>,</w:t>
      </w:r>
      <w:r w:rsidRPr="00F10F30">
        <w:rPr>
          <w:rFonts w:ascii="Times New Roman" w:hAnsi="Times New Roman" w:cs="Times New Roman"/>
          <w:lang w:val="en-GB"/>
        </w:rPr>
        <w:t xml:space="preserve"> and if people has started moving they are more inclined to do it again. The analyses show that young people in fringe areas have a higher propensity to migrate</w:t>
      </w:r>
      <w:r w:rsidR="00FF0DDC">
        <w:rPr>
          <w:rFonts w:ascii="Times New Roman" w:hAnsi="Times New Roman" w:cs="Times New Roman"/>
          <w:lang w:val="en-GB"/>
        </w:rPr>
        <w:t>. I</w:t>
      </w:r>
      <w:r w:rsidRPr="00F10F30">
        <w:rPr>
          <w:rFonts w:ascii="Times New Roman" w:hAnsi="Times New Roman" w:cs="Times New Roman"/>
          <w:lang w:val="en-GB"/>
        </w:rPr>
        <w:t xml:space="preserve">f they </w:t>
      </w:r>
      <w:r w:rsidR="00E6506C">
        <w:rPr>
          <w:rFonts w:ascii="Times New Roman" w:hAnsi="Times New Roman" w:cs="Times New Roman"/>
          <w:lang w:val="en-GB"/>
        </w:rPr>
        <w:t>have experienced a separation f</w:t>
      </w:r>
      <w:r w:rsidRPr="00F10F30">
        <w:rPr>
          <w:rFonts w:ascii="Times New Roman" w:hAnsi="Times New Roman" w:cs="Times New Roman"/>
          <w:lang w:val="en-GB"/>
        </w:rPr>
        <w:t>r</w:t>
      </w:r>
      <w:r w:rsidR="00E6506C">
        <w:rPr>
          <w:rFonts w:ascii="Times New Roman" w:hAnsi="Times New Roman" w:cs="Times New Roman"/>
          <w:lang w:val="en-GB"/>
        </w:rPr>
        <w:t>o</w:t>
      </w:r>
      <w:r w:rsidRPr="00F10F30">
        <w:rPr>
          <w:rFonts w:ascii="Times New Roman" w:hAnsi="Times New Roman" w:cs="Times New Roman"/>
          <w:lang w:val="en-GB"/>
        </w:rPr>
        <w:t>m a partner the same year the probability of migration increases dramatically</w:t>
      </w:r>
      <w:r w:rsidR="00E6506C">
        <w:rPr>
          <w:rFonts w:ascii="Times New Roman" w:hAnsi="Times New Roman" w:cs="Times New Roman"/>
          <w:lang w:val="en-GB"/>
        </w:rPr>
        <w:t>,</w:t>
      </w:r>
      <w:r w:rsidRPr="00F10F30">
        <w:rPr>
          <w:rFonts w:ascii="Times New Roman" w:hAnsi="Times New Roman" w:cs="Times New Roman"/>
          <w:lang w:val="en-GB"/>
        </w:rPr>
        <w:t xml:space="preserve"> and also moving together with a partner increases migration. </w:t>
      </w:r>
      <w:r w:rsidR="00E6506C">
        <w:rPr>
          <w:rFonts w:ascii="Times New Roman" w:hAnsi="Times New Roman" w:cs="Times New Roman"/>
          <w:lang w:val="en-GB"/>
        </w:rPr>
        <w:t>O</w:t>
      </w:r>
      <w:r w:rsidRPr="00F10F30">
        <w:rPr>
          <w:rFonts w:ascii="Times New Roman" w:hAnsi="Times New Roman" w:cs="Times New Roman"/>
          <w:lang w:val="en-GB"/>
        </w:rPr>
        <w:t>ther</w:t>
      </w:r>
      <w:r w:rsidR="00E6506C">
        <w:rPr>
          <w:rFonts w:ascii="Times New Roman" w:hAnsi="Times New Roman" w:cs="Times New Roman"/>
          <w:lang w:val="en-GB"/>
        </w:rPr>
        <w:t xml:space="preserve"> events, however, like</w:t>
      </w:r>
      <w:r w:rsidRPr="00F10F30">
        <w:rPr>
          <w:rFonts w:ascii="Times New Roman" w:hAnsi="Times New Roman" w:cs="Times New Roman"/>
          <w:lang w:val="en-GB"/>
        </w:rPr>
        <w:t xml:space="preserve"> birth of children reduces migration.</w:t>
      </w:r>
      <w:r w:rsidR="00AB54A4">
        <w:rPr>
          <w:rFonts w:ascii="Times New Roman" w:hAnsi="Times New Roman" w:cs="Times New Roman"/>
          <w:lang w:val="en-GB"/>
        </w:rPr>
        <w:t xml:space="preserve"> This confirms the conclusion that start of a family career reduces outmigration form fringe areas.</w:t>
      </w:r>
      <w:r w:rsidRPr="00F10F30">
        <w:rPr>
          <w:rFonts w:ascii="Times New Roman" w:hAnsi="Times New Roman" w:cs="Times New Roman"/>
          <w:lang w:val="en-GB"/>
        </w:rPr>
        <w:t xml:space="preserve"> </w:t>
      </w:r>
    </w:p>
    <w:p w:rsidR="00AB54A4" w:rsidRDefault="00AB54A4" w:rsidP="00F10F30">
      <w:pPr>
        <w:spacing w:after="0"/>
        <w:rPr>
          <w:rFonts w:ascii="Times New Roman" w:hAnsi="Times New Roman" w:cs="Times New Roman"/>
          <w:lang w:val="en-GB"/>
        </w:rPr>
      </w:pPr>
    </w:p>
    <w:p w:rsidR="004C1F10" w:rsidRPr="00F10F30" w:rsidRDefault="004C1F10" w:rsidP="00F10F30">
      <w:pPr>
        <w:spacing w:after="0"/>
        <w:rPr>
          <w:rFonts w:ascii="Times New Roman" w:hAnsi="Times New Roman" w:cs="Times New Roman"/>
          <w:lang w:val="en-GB"/>
        </w:rPr>
      </w:pPr>
      <w:r w:rsidRPr="00F10F30">
        <w:rPr>
          <w:rFonts w:ascii="Times New Roman" w:hAnsi="Times New Roman" w:cs="Times New Roman"/>
          <w:lang w:val="en-GB"/>
        </w:rPr>
        <w:t>It could be expected that those</w:t>
      </w:r>
      <w:r w:rsidR="00FF0DDC">
        <w:rPr>
          <w:rFonts w:ascii="Times New Roman" w:hAnsi="Times New Roman" w:cs="Times New Roman"/>
          <w:lang w:val="en-GB"/>
        </w:rPr>
        <w:t>,</w:t>
      </w:r>
      <w:r w:rsidRPr="00F10F30">
        <w:rPr>
          <w:rFonts w:ascii="Times New Roman" w:hAnsi="Times New Roman" w:cs="Times New Roman"/>
          <w:lang w:val="en-GB"/>
        </w:rPr>
        <w:t xml:space="preserve"> who lost their job during the year</w:t>
      </w:r>
      <w:r w:rsidR="00FF0DDC">
        <w:rPr>
          <w:rFonts w:ascii="Times New Roman" w:hAnsi="Times New Roman" w:cs="Times New Roman"/>
          <w:lang w:val="en-GB"/>
        </w:rPr>
        <w:t>,</w:t>
      </w:r>
      <w:r w:rsidRPr="00F10F30">
        <w:rPr>
          <w:rFonts w:ascii="Times New Roman" w:hAnsi="Times New Roman" w:cs="Times New Roman"/>
          <w:lang w:val="en-GB"/>
        </w:rPr>
        <w:t xml:space="preserve"> would be more inclined to start education and migrate, but this is not the case. This group has a very low probability of moving away, which could be connected to that this is a socially weak group.</w:t>
      </w:r>
    </w:p>
    <w:p w:rsidR="00F10F30" w:rsidRDefault="00F10F30" w:rsidP="00F10F30">
      <w:pPr>
        <w:spacing w:after="0"/>
        <w:rPr>
          <w:rFonts w:ascii="Times New Roman" w:hAnsi="Times New Roman" w:cs="Times New Roman"/>
          <w:lang w:val="en-GB"/>
        </w:rPr>
      </w:pPr>
    </w:p>
    <w:p w:rsidR="004C1F10" w:rsidRPr="00F10F30" w:rsidRDefault="004C1F10" w:rsidP="00F10F30">
      <w:pPr>
        <w:spacing w:after="0"/>
        <w:rPr>
          <w:rFonts w:ascii="Times New Roman" w:hAnsi="Times New Roman" w:cs="Times New Roman"/>
          <w:lang w:val="en-GB"/>
        </w:rPr>
      </w:pPr>
      <w:r w:rsidRPr="00F10F30">
        <w:rPr>
          <w:rFonts w:ascii="Times New Roman" w:hAnsi="Times New Roman" w:cs="Times New Roman"/>
          <w:lang w:val="en-GB"/>
        </w:rPr>
        <w:t>In general women in fringe areas are more inclined to migrate in connection with start of education, but this differs much between levels of education. In fact it is only in connection with middle-term educations that women are much more inclined to migrate. This is somewhat surprising as other studies have shown that women more often go to higher education than men.</w:t>
      </w:r>
    </w:p>
    <w:p w:rsidR="00F10F30" w:rsidRDefault="00F10F30" w:rsidP="00F10F30">
      <w:pPr>
        <w:spacing w:after="0"/>
        <w:rPr>
          <w:rFonts w:ascii="Times New Roman" w:hAnsi="Times New Roman" w:cs="Times New Roman"/>
          <w:lang w:val="en-GB"/>
        </w:rPr>
      </w:pPr>
    </w:p>
    <w:p w:rsidR="00990C89" w:rsidRPr="00F10F30" w:rsidRDefault="004C1F10" w:rsidP="00F10F30">
      <w:pPr>
        <w:spacing w:after="0"/>
        <w:rPr>
          <w:rFonts w:ascii="Times New Roman" w:hAnsi="Times New Roman" w:cs="Times New Roman"/>
          <w:lang w:val="en-GB"/>
        </w:rPr>
      </w:pPr>
      <w:r w:rsidRPr="00F10F30">
        <w:rPr>
          <w:rFonts w:ascii="Times New Roman" w:hAnsi="Times New Roman" w:cs="Times New Roman"/>
          <w:lang w:val="en-GB"/>
        </w:rPr>
        <w:t>It is shown that the geographical centralisation of education has continued in Denmark in the last 25 years (Table 3). An important objective of the study was to examine the effects of this centralisation on migration from fringe areas. The analyses showed (Figure 4) that the frequency of migration</w:t>
      </w:r>
      <w:r w:rsidR="00FF0DDC">
        <w:rPr>
          <w:rFonts w:ascii="Times New Roman" w:hAnsi="Times New Roman" w:cs="Times New Roman"/>
          <w:lang w:val="en-GB"/>
        </w:rPr>
        <w:t>,</w:t>
      </w:r>
      <w:r w:rsidRPr="00F10F30">
        <w:rPr>
          <w:rFonts w:ascii="Times New Roman" w:hAnsi="Times New Roman" w:cs="Times New Roman"/>
          <w:lang w:val="en-GB"/>
        </w:rPr>
        <w:t xml:space="preserve"> when starting education</w:t>
      </w:r>
      <w:r w:rsidR="00FF0DDC">
        <w:rPr>
          <w:rFonts w:ascii="Times New Roman" w:hAnsi="Times New Roman" w:cs="Times New Roman"/>
          <w:lang w:val="en-GB"/>
        </w:rPr>
        <w:t>,</w:t>
      </w:r>
      <w:r w:rsidRPr="00F10F30">
        <w:rPr>
          <w:rFonts w:ascii="Times New Roman" w:hAnsi="Times New Roman" w:cs="Times New Roman"/>
          <w:lang w:val="en-GB"/>
        </w:rPr>
        <w:t xml:space="preserve"> </w:t>
      </w:r>
      <w:r w:rsidR="00FF0DDC" w:rsidRPr="00F10F30">
        <w:rPr>
          <w:rFonts w:ascii="Times New Roman" w:hAnsi="Times New Roman" w:cs="Times New Roman"/>
          <w:lang w:val="en-GB"/>
        </w:rPr>
        <w:t xml:space="preserve">increased with nearby eight percent </w:t>
      </w:r>
      <w:r w:rsidR="00AB54A4">
        <w:rPr>
          <w:rFonts w:ascii="Times New Roman" w:hAnsi="Times New Roman" w:cs="Times New Roman"/>
          <w:lang w:val="en-GB"/>
        </w:rPr>
        <w:t xml:space="preserve">in the period 1990 to 2012 </w:t>
      </w:r>
      <w:r w:rsidRPr="00F10F30">
        <w:rPr>
          <w:rFonts w:ascii="Times New Roman" w:hAnsi="Times New Roman" w:cs="Times New Roman"/>
          <w:lang w:val="en-GB"/>
        </w:rPr>
        <w:t xml:space="preserve">when starting middle-term or higher education and 5 percent for vocational training. The statistical analyses also showed that the probability of migration in connection with start of education in general increased </w:t>
      </w:r>
      <w:r w:rsidR="00AB54A4">
        <w:rPr>
          <w:rFonts w:ascii="Times New Roman" w:hAnsi="Times New Roman" w:cs="Times New Roman"/>
          <w:lang w:val="en-GB"/>
        </w:rPr>
        <w:t xml:space="preserve">much </w:t>
      </w:r>
      <w:r w:rsidRPr="00F10F30">
        <w:rPr>
          <w:rFonts w:ascii="Times New Roman" w:hAnsi="Times New Roman" w:cs="Times New Roman"/>
          <w:lang w:val="en-GB"/>
        </w:rPr>
        <w:t>among the later cohorts compared to the first cohort.</w:t>
      </w:r>
    </w:p>
    <w:p w:rsidR="00F10F30" w:rsidRDefault="00F10F30" w:rsidP="00F10F30">
      <w:pPr>
        <w:spacing w:after="0"/>
        <w:rPr>
          <w:rFonts w:ascii="Times New Roman" w:hAnsi="Times New Roman" w:cs="Times New Roman"/>
          <w:b/>
          <w:lang w:val="en-GB"/>
        </w:rPr>
      </w:pPr>
      <w:bookmarkStart w:id="9" w:name="_GoBack"/>
      <w:bookmarkEnd w:id="9"/>
    </w:p>
    <w:p w:rsidR="00857078" w:rsidRPr="00F10F30" w:rsidRDefault="00687470" w:rsidP="00F10F30">
      <w:pPr>
        <w:spacing w:after="0"/>
        <w:rPr>
          <w:rFonts w:ascii="Times New Roman" w:hAnsi="Times New Roman" w:cs="Times New Roman"/>
          <w:b/>
          <w:sz w:val="24"/>
          <w:szCs w:val="24"/>
          <w:lang w:val="en-GB"/>
        </w:rPr>
      </w:pPr>
      <w:r w:rsidRPr="00F10F30">
        <w:rPr>
          <w:rFonts w:ascii="Times New Roman" w:hAnsi="Times New Roman" w:cs="Times New Roman"/>
          <w:b/>
          <w:sz w:val="24"/>
          <w:szCs w:val="24"/>
          <w:lang w:val="en-GB"/>
        </w:rPr>
        <w:t>References</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lang w:val="en-GB"/>
        </w:rPr>
        <w:t xml:space="preserve">Abbott-Chapman J., Johnston R. &amp; Jetson T. (2014) Rural belonging, place attachment and youth </w:t>
      </w:r>
      <w:r w:rsidR="00DC13A2" w:rsidRPr="00F10F30">
        <w:rPr>
          <w:rFonts w:ascii="Times New Roman" w:hAnsi="Times New Roman" w:cs="Times New Roman"/>
          <w:lang w:val="en-GB"/>
        </w:rPr>
        <w:t>e</w:t>
      </w:r>
      <w:r w:rsidRPr="00F10F30">
        <w:rPr>
          <w:rFonts w:ascii="Times New Roman" w:hAnsi="Times New Roman" w:cs="Times New Roman"/>
          <w:lang w:val="en-GB"/>
        </w:rPr>
        <w:t xml:space="preserve">ducational mobility: Rural parents’ views, </w:t>
      </w:r>
      <w:r w:rsidRPr="00F10F30">
        <w:rPr>
          <w:rFonts w:ascii="Times New Roman" w:hAnsi="Times New Roman" w:cs="Times New Roman"/>
          <w:i/>
          <w:lang w:val="en-GB"/>
        </w:rPr>
        <w:t>Rural Society, 23:3, 296-310</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rPr>
        <w:t xml:space="preserve">Beck S. &amp; Ebbensgaard Å. B. (2010). </w:t>
      </w:r>
      <w:r w:rsidRPr="00F10F30">
        <w:rPr>
          <w:rFonts w:ascii="Times New Roman" w:hAnsi="Times New Roman" w:cs="Times New Roman"/>
          <w:i/>
        </w:rPr>
        <w:t>Mellem Bagenkop og Harboøre – elevfortællinger fra danske udkanter</w:t>
      </w:r>
      <w:r w:rsidRPr="00F10F30">
        <w:rPr>
          <w:rFonts w:ascii="Times New Roman" w:hAnsi="Times New Roman" w:cs="Times New Roman"/>
        </w:rPr>
        <w:t xml:space="preserve">. </w:t>
      </w:r>
      <w:proofErr w:type="spellStart"/>
      <w:proofErr w:type="gramStart"/>
      <w:r w:rsidRPr="00F10F30">
        <w:rPr>
          <w:rFonts w:ascii="Times New Roman" w:hAnsi="Times New Roman" w:cs="Times New Roman"/>
          <w:lang w:val="en-GB"/>
        </w:rPr>
        <w:t>Projekt</w:t>
      </w:r>
      <w:proofErr w:type="spellEnd"/>
      <w:r w:rsidRPr="00F10F30">
        <w:rPr>
          <w:rFonts w:ascii="Times New Roman" w:hAnsi="Times New Roman" w:cs="Times New Roman"/>
          <w:lang w:val="en-GB"/>
        </w:rPr>
        <w:t xml:space="preserve"> 119464.</w:t>
      </w:r>
      <w:proofErr w:type="gramEnd"/>
      <w:r w:rsidRPr="00F10F30">
        <w:rPr>
          <w:rFonts w:ascii="Times New Roman" w:hAnsi="Times New Roman" w:cs="Times New Roman"/>
          <w:lang w:val="en-GB"/>
        </w:rPr>
        <w:t xml:space="preserve"> SDU </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lang w:val="en-GB"/>
        </w:rPr>
        <w:t>Hazel Christie (2007) Higher education and spatial (</w:t>
      </w:r>
      <w:proofErr w:type="spellStart"/>
      <w:r w:rsidRPr="00F10F30">
        <w:rPr>
          <w:rFonts w:ascii="Times New Roman" w:hAnsi="Times New Roman" w:cs="Times New Roman"/>
          <w:lang w:val="en-GB"/>
        </w:rPr>
        <w:t>im</w:t>
      </w:r>
      <w:proofErr w:type="spellEnd"/>
      <w:proofErr w:type="gramStart"/>
      <w:r w:rsidRPr="00F10F30">
        <w:rPr>
          <w:rFonts w:ascii="Times New Roman" w:hAnsi="Times New Roman" w:cs="Times New Roman"/>
          <w:lang w:val="en-GB"/>
        </w:rPr>
        <w:t>)mobility</w:t>
      </w:r>
      <w:proofErr w:type="gramEnd"/>
      <w:r w:rsidRPr="00F10F30">
        <w:rPr>
          <w:rFonts w:ascii="Times New Roman" w:hAnsi="Times New Roman" w:cs="Times New Roman"/>
          <w:lang w:val="en-GB"/>
        </w:rPr>
        <w:t xml:space="preserve">: </w:t>
      </w:r>
      <w:r w:rsidR="00DC13A2" w:rsidRPr="00F10F30">
        <w:rPr>
          <w:rFonts w:ascii="Times New Roman" w:hAnsi="Times New Roman" w:cs="Times New Roman"/>
          <w:lang w:val="en-GB"/>
        </w:rPr>
        <w:t>non-traditional</w:t>
      </w:r>
      <w:r w:rsidRPr="00F10F30">
        <w:rPr>
          <w:rFonts w:ascii="Times New Roman" w:hAnsi="Times New Roman" w:cs="Times New Roman"/>
          <w:lang w:val="en-GB"/>
        </w:rPr>
        <w:t xml:space="preserve"> students and living at home </w:t>
      </w:r>
      <w:r w:rsidRPr="00F10F30">
        <w:rPr>
          <w:rFonts w:ascii="Times New Roman" w:hAnsi="Times New Roman" w:cs="Times New Roman"/>
          <w:i/>
          <w:lang w:val="en-GB"/>
        </w:rPr>
        <w:t>Environment and Planning A</w:t>
      </w:r>
      <w:r w:rsidRPr="00F10F30">
        <w:rPr>
          <w:rFonts w:ascii="Times New Roman" w:hAnsi="Times New Roman" w:cs="Times New Roman"/>
          <w:lang w:val="en-GB"/>
        </w:rPr>
        <w:t>, volume 39, pages 2445 – 2463.</w:t>
      </w:r>
    </w:p>
    <w:p w:rsidR="00A46D3B" w:rsidRPr="00F10F30" w:rsidRDefault="00A46D3B" w:rsidP="00F10F30">
      <w:pPr>
        <w:spacing w:after="0"/>
        <w:ind w:left="567" w:hanging="567"/>
        <w:rPr>
          <w:rFonts w:ascii="Times New Roman" w:hAnsi="Times New Roman" w:cs="Times New Roman"/>
          <w:lang w:val="en-GB"/>
        </w:rPr>
      </w:pPr>
      <w:proofErr w:type="gramStart"/>
      <w:r w:rsidRPr="00F10F30">
        <w:rPr>
          <w:rFonts w:ascii="Times New Roman" w:hAnsi="Times New Roman" w:cs="Times New Roman"/>
          <w:lang w:val="en-GB"/>
        </w:rPr>
        <w:t>Demi M. A. and McLaughlin D. K.</w:t>
      </w:r>
      <w:proofErr w:type="gramEnd"/>
      <w:r w:rsidRPr="00F10F30">
        <w:rPr>
          <w:rFonts w:ascii="Times New Roman" w:hAnsi="Times New Roman" w:cs="Times New Roman"/>
          <w:lang w:val="en-GB"/>
        </w:rPr>
        <w:t xml:space="preserve">  (2009) Rural Youth Residential Preferences: Understanding the Youth Development-Community Development Nexus. </w:t>
      </w:r>
      <w:r w:rsidRPr="00F10F30">
        <w:rPr>
          <w:rFonts w:ascii="Times New Roman" w:hAnsi="Times New Roman" w:cs="Times New Roman"/>
          <w:i/>
          <w:lang w:val="en-GB"/>
        </w:rPr>
        <w:t>Community Development</w:t>
      </w:r>
      <w:r w:rsidRPr="00F10F30">
        <w:rPr>
          <w:rFonts w:ascii="Times New Roman" w:hAnsi="Times New Roman" w:cs="Times New Roman"/>
          <w:lang w:val="en-GB"/>
        </w:rPr>
        <w:t>, 40: 311–330, 2009</w:t>
      </w:r>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Dribe</w:t>
      </w:r>
      <w:proofErr w:type="spellEnd"/>
      <w:r w:rsidRPr="00F10F30">
        <w:rPr>
          <w:rFonts w:ascii="Times New Roman" w:hAnsi="Times New Roman" w:cs="Times New Roman"/>
          <w:lang w:val="en-GB"/>
        </w:rPr>
        <w:t xml:space="preserve"> M. and </w:t>
      </w:r>
      <w:proofErr w:type="spellStart"/>
      <w:r w:rsidRPr="00F10F30">
        <w:rPr>
          <w:rFonts w:ascii="Times New Roman" w:hAnsi="Times New Roman" w:cs="Times New Roman"/>
          <w:lang w:val="en-GB"/>
        </w:rPr>
        <w:t>Tanfors</w:t>
      </w:r>
      <w:proofErr w:type="spellEnd"/>
      <w:r w:rsidRPr="00F10F30">
        <w:rPr>
          <w:rFonts w:ascii="Times New Roman" w:hAnsi="Times New Roman" w:cs="Times New Roman"/>
          <w:lang w:val="en-GB"/>
        </w:rPr>
        <w:t xml:space="preserve"> M. (2005) Leaving Home </w:t>
      </w:r>
      <w:proofErr w:type="gramStart"/>
      <w:r w:rsidRPr="00F10F30">
        <w:rPr>
          <w:rFonts w:ascii="Times New Roman" w:hAnsi="Times New Roman" w:cs="Times New Roman"/>
          <w:lang w:val="en-GB"/>
        </w:rPr>
        <w:t>In</w:t>
      </w:r>
      <w:proofErr w:type="gramEnd"/>
      <w:r w:rsidRPr="00F10F30">
        <w:rPr>
          <w:rFonts w:ascii="Times New Roman" w:hAnsi="Times New Roman" w:cs="Times New Roman"/>
          <w:lang w:val="en-GB"/>
        </w:rPr>
        <w:t xml:space="preserve"> Post-War Sweden. </w:t>
      </w:r>
      <w:proofErr w:type="gramStart"/>
      <w:r w:rsidRPr="00F10F30">
        <w:rPr>
          <w:rFonts w:ascii="Times New Roman" w:hAnsi="Times New Roman" w:cs="Times New Roman"/>
          <w:lang w:val="en-GB"/>
        </w:rPr>
        <w:t>A Micro-level Analysis of Leaving the Parental Home in Three Birth Cohorts.</w:t>
      </w:r>
      <w:proofErr w:type="gramEnd"/>
      <w:r w:rsidRPr="00F10F30">
        <w:rPr>
          <w:rFonts w:ascii="Times New Roman" w:hAnsi="Times New Roman" w:cs="Times New Roman"/>
          <w:lang w:val="en-GB"/>
        </w:rPr>
        <w:t xml:space="preserve"> </w:t>
      </w:r>
      <w:r w:rsidRPr="00F10F30">
        <w:rPr>
          <w:rFonts w:ascii="Times New Roman" w:hAnsi="Times New Roman" w:cs="Times New Roman"/>
          <w:i/>
          <w:lang w:val="en-GB"/>
        </w:rPr>
        <w:t xml:space="preserve"> Scandinavian Economic History Review</w:t>
      </w:r>
      <w:r w:rsidRPr="00F10F30">
        <w:rPr>
          <w:rFonts w:ascii="Times New Roman" w:hAnsi="Times New Roman" w:cs="Times New Roman"/>
          <w:lang w:val="en-GB"/>
        </w:rPr>
        <w:t>, 53:2, 30-49.</w:t>
      </w:r>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Drozdzewski</w:t>
      </w:r>
      <w:proofErr w:type="spellEnd"/>
      <w:r w:rsidRPr="00F10F30">
        <w:rPr>
          <w:rFonts w:ascii="Times New Roman" w:hAnsi="Times New Roman" w:cs="Times New Roman"/>
          <w:lang w:val="en-GB"/>
        </w:rPr>
        <w:t xml:space="preserve"> D. (2008) ‘We’re moving out’: Youth Out-Migration Intentions in Coastal Non-Metropolitan New South Wales. </w:t>
      </w:r>
      <w:r w:rsidRPr="00F10F30">
        <w:rPr>
          <w:rFonts w:ascii="Times New Roman" w:hAnsi="Times New Roman" w:cs="Times New Roman"/>
          <w:i/>
          <w:iCs/>
          <w:lang w:val="en-GB"/>
        </w:rPr>
        <w:t>Geographical Research June 2008 46(2):153–161</w:t>
      </w:r>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Eacott</w:t>
      </w:r>
      <w:proofErr w:type="spellEnd"/>
      <w:r w:rsidRPr="00F10F30">
        <w:rPr>
          <w:rFonts w:ascii="Times New Roman" w:hAnsi="Times New Roman" w:cs="Times New Roman"/>
          <w:lang w:val="en-GB"/>
        </w:rPr>
        <w:t xml:space="preserve"> C &amp; </w:t>
      </w:r>
      <w:proofErr w:type="spellStart"/>
      <w:r w:rsidRPr="00F10F30">
        <w:rPr>
          <w:rFonts w:ascii="Times New Roman" w:hAnsi="Times New Roman" w:cs="Times New Roman"/>
          <w:lang w:val="en-GB"/>
        </w:rPr>
        <w:t>Sonn</w:t>
      </w:r>
      <w:proofErr w:type="spellEnd"/>
      <w:r w:rsidRPr="00F10F30">
        <w:rPr>
          <w:rFonts w:ascii="Times New Roman" w:hAnsi="Times New Roman" w:cs="Times New Roman"/>
          <w:lang w:val="en-GB"/>
        </w:rPr>
        <w:t xml:space="preserve"> C. C. (2014) </w:t>
      </w:r>
      <w:proofErr w:type="gramStart"/>
      <w:r w:rsidRPr="00F10F30">
        <w:rPr>
          <w:rFonts w:ascii="Times New Roman" w:hAnsi="Times New Roman" w:cs="Times New Roman"/>
          <w:lang w:val="en-GB"/>
        </w:rPr>
        <w:t>Beyond</w:t>
      </w:r>
      <w:proofErr w:type="gramEnd"/>
      <w:r w:rsidRPr="00F10F30">
        <w:rPr>
          <w:rFonts w:ascii="Times New Roman" w:hAnsi="Times New Roman" w:cs="Times New Roman"/>
          <w:lang w:val="en-GB"/>
        </w:rPr>
        <w:t xml:space="preserve"> education and employment: Exploring youth experiences of their communities, place attachment and reasons for migration. </w:t>
      </w:r>
      <w:r w:rsidRPr="00F10F30">
        <w:rPr>
          <w:rFonts w:ascii="Times New Roman" w:hAnsi="Times New Roman" w:cs="Times New Roman"/>
          <w:i/>
          <w:lang w:val="en-GB"/>
        </w:rPr>
        <w:t>Rural Society</w:t>
      </w:r>
      <w:r w:rsidRPr="00F10F30">
        <w:rPr>
          <w:rFonts w:ascii="Times New Roman" w:hAnsi="Times New Roman" w:cs="Times New Roman"/>
          <w:lang w:val="en-GB"/>
        </w:rPr>
        <w:t>, 16:2, 199-214</w:t>
      </w:r>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lastRenderedPageBreak/>
        <w:t>Eversole</w:t>
      </w:r>
      <w:proofErr w:type="spellEnd"/>
      <w:r w:rsidRPr="00F10F30">
        <w:rPr>
          <w:rFonts w:ascii="Times New Roman" w:hAnsi="Times New Roman" w:cs="Times New Roman"/>
          <w:lang w:val="en-GB"/>
        </w:rPr>
        <w:t xml:space="preserve"> R. (2001) Keeping Youth </w:t>
      </w:r>
      <w:proofErr w:type="gramStart"/>
      <w:r w:rsidRPr="00F10F30">
        <w:rPr>
          <w:rFonts w:ascii="Times New Roman" w:hAnsi="Times New Roman" w:cs="Times New Roman"/>
          <w:lang w:val="en-GB"/>
        </w:rPr>
        <w:t>In</w:t>
      </w:r>
      <w:proofErr w:type="gramEnd"/>
      <w:r w:rsidRPr="00F10F30">
        <w:rPr>
          <w:rFonts w:ascii="Times New Roman" w:hAnsi="Times New Roman" w:cs="Times New Roman"/>
          <w:lang w:val="en-GB"/>
        </w:rPr>
        <w:t xml:space="preserve"> Communities: Education and Out-Migration in the South West, </w:t>
      </w:r>
      <w:r w:rsidRPr="00F10F30">
        <w:rPr>
          <w:rFonts w:ascii="Times New Roman" w:hAnsi="Times New Roman" w:cs="Times New Roman"/>
          <w:i/>
          <w:lang w:val="en-GB"/>
        </w:rPr>
        <w:t>Rural Society</w:t>
      </w:r>
      <w:r w:rsidRPr="00F10F30">
        <w:rPr>
          <w:rFonts w:ascii="Times New Roman" w:hAnsi="Times New Roman" w:cs="Times New Roman"/>
          <w:lang w:val="en-GB"/>
        </w:rPr>
        <w:t>, 11:2, 85-98</w:t>
      </w:r>
    </w:p>
    <w:p w:rsidR="00A46D3B" w:rsidRPr="00F10F30" w:rsidRDefault="00FF0DDC" w:rsidP="00F10F30">
      <w:pPr>
        <w:spacing w:after="0"/>
        <w:ind w:left="567" w:hanging="567"/>
        <w:rPr>
          <w:rFonts w:ascii="Times New Roman" w:hAnsi="Times New Roman" w:cs="Times New Roman"/>
          <w:lang w:val="en-GB"/>
        </w:rPr>
      </w:pPr>
      <w:hyperlink r:id="rId14" w:history="1">
        <w:proofErr w:type="spellStart"/>
        <w:r w:rsidR="00A46D3B" w:rsidRPr="00F10F30">
          <w:rPr>
            <w:rFonts w:ascii="Times New Roman" w:eastAsia="Times New Roman" w:hAnsi="Times New Roman" w:cs="Times New Roman"/>
            <w:lang w:val="en-GB" w:eastAsia="da-DK"/>
          </w:rPr>
          <w:t>Garasky</w:t>
        </w:r>
        <w:proofErr w:type="spellEnd"/>
      </w:hyperlink>
      <w:r w:rsidR="00A46D3B" w:rsidRPr="00F10F30">
        <w:rPr>
          <w:rFonts w:ascii="Times New Roman" w:eastAsia="Times New Roman" w:hAnsi="Times New Roman" w:cs="Times New Roman"/>
          <w:lang w:val="en-GB" w:eastAsia="da-DK"/>
        </w:rPr>
        <w:t xml:space="preserve"> S. (2014). </w:t>
      </w:r>
      <w:r w:rsidR="00A46D3B" w:rsidRPr="00F10F30">
        <w:rPr>
          <w:rFonts w:ascii="Times New Roman" w:eastAsia="Times New Roman" w:hAnsi="Times New Roman" w:cs="Times New Roman"/>
          <w:kern w:val="36"/>
          <w:lang w:val="en-GB" w:eastAsia="da-DK"/>
        </w:rPr>
        <w:t>Where are they going? A comparison of urban and rural youths' locational choices after leaving the parental home</w:t>
      </w:r>
      <w:r w:rsidR="00A46D3B" w:rsidRPr="00F10F30">
        <w:rPr>
          <w:rFonts w:ascii="Times New Roman" w:eastAsia="Times New Roman" w:hAnsi="Times New Roman" w:cs="Times New Roman"/>
          <w:lang w:val="en-GB" w:eastAsia="da-DK"/>
        </w:rPr>
        <w:t xml:space="preserve">, </w:t>
      </w:r>
      <w:hyperlink r:id="rId15" w:tooltip="Go to Social Science Research on ScienceDirect" w:history="1">
        <w:r w:rsidR="00A46D3B" w:rsidRPr="00F10F30">
          <w:rPr>
            <w:rStyle w:val="Hyperlink"/>
            <w:rFonts w:ascii="Times New Roman" w:hAnsi="Times New Roman" w:cs="Times New Roman"/>
            <w:i/>
            <w:color w:val="auto"/>
            <w:lang w:val="en-GB"/>
          </w:rPr>
          <w:t>Social Science Research</w:t>
        </w:r>
      </w:hyperlink>
      <w:r w:rsidR="00A46D3B" w:rsidRPr="00F10F30">
        <w:rPr>
          <w:rStyle w:val="Hyperlink"/>
          <w:rFonts w:ascii="Times New Roman" w:hAnsi="Times New Roman" w:cs="Times New Roman"/>
          <w:color w:val="auto"/>
          <w:lang w:val="en-GB"/>
        </w:rPr>
        <w:t xml:space="preserve"> </w:t>
      </w:r>
      <w:hyperlink r:id="rId16" w:tooltip="Go to table of contents for this volume/issue" w:history="1">
        <w:r w:rsidR="00A46D3B" w:rsidRPr="00F10F30">
          <w:rPr>
            <w:rStyle w:val="Hyperlink"/>
            <w:rFonts w:ascii="Times New Roman" w:hAnsi="Times New Roman" w:cs="Times New Roman"/>
            <w:color w:val="auto"/>
            <w:lang w:val="en-GB"/>
          </w:rPr>
          <w:t>Volume 31, Issue 3</w:t>
        </w:r>
      </w:hyperlink>
      <w:r w:rsidR="00A46D3B" w:rsidRPr="00F10F30">
        <w:rPr>
          <w:rFonts w:ascii="Times New Roman" w:hAnsi="Times New Roman" w:cs="Times New Roman"/>
          <w:lang w:val="en-GB"/>
        </w:rPr>
        <w:t>, September 2002, Pages 409–431</w:t>
      </w:r>
    </w:p>
    <w:p w:rsidR="00A46D3B" w:rsidRPr="00F10F30" w:rsidRDefault="00A46D3B" w:rsidP="00F10F30">
      <w:pPr>
        <w:spacing w:after="0"/>
        <w:ind w:left="567" w:hanging="567"/>
        <w:rPr>
          <w:rFonts w:ascii="Times New Roman" w:hAnsi="Times New Roman" w:cs="Times New Roman"/>
        </w:rPr>
      </w:pPr>
      <w:r w:rsidRPr="00F10F30">
        <w:rPr>
          <w:rFonts w:ascii="Times New Roman" w:hAnsi="Times New Roman" w:cs="Times New Roman"/>
        </w:rPr>
        <w:t xml:space="preserve">Glerup L. A. &amp; Hansen H. K. (2014) </w:t>
      </w:r>
      <w:r w:rsidRPr="00F10F30">
        <w:rPr>
          <w:rFonts w:ascii="Times New Roman" w:hAnsi="Times New Roman" w:cs="Times New Roman"/>
          <w:i/>
        </w:rPr>
        <w:t>Flytninger fra byer til land og yderområder. Højtuddannede og socialt udsatte gruppers flytninger fra bykommuner til land- og yderkommuner – mønstre og motiver</w:t>
      </w:r>
      <w:r w:rsidRPr="00F10F30">
        <w:rPr>
          <w:rFonts w:ascii="Times New Roman" w:hAnsi="Times New Roman" w:cs="Times New Roman"/>
        </w:rPr>
        <w:t>.  SFI - The Danish National Centre for Social Research.</w:t>
      </w:r>
    </w:p>
    <w:p w:rsidR="00A46D3B" w:rsidRPr="00F10F30" w:rsidRDefault="00A46D3B" w:rsidP="00F10F30">
      <w:pPr>
        <w:spacing w:after="0"/>
        <w:ind w:left="567" w:hanging="567"/>
        <w:rPr>
          <w:rFonts w:ascii="Times New Roman" w:hAnsi="Times New Roman" w:cs="Times New Roman"/>
        </w:rPr>
      </w:pPr>
      <w:r w:rsidRPr="00F10F30">
        <w:rPr>
          <w:rFonts w:ascii="Times New Roman" w:hAnsi="Times New Roman" w:cs="Times New Roman"/>
        </w:rPr>
        <w:t xml:space="preserve">Hedetoft A &amp; </w:t>
      </w:r>
      <w:proofErr w:type="spellStart"/>
      <w:r w:rsidRPr="00F10F30">
        <w:rPr>
          <w:rFonts w:ascii="Times New Roman" w:hAnsi="Times New Roman" w:cs="Times New Roman"/>
        </w:rPr>
        <w:t>Stefaniak</w:t>
      </w:r>
      <w:proofErr w:type="spellEnd"/>
      <w:r w:rsidRPr="00F10F30">
        <w:rPr>
          <w:rFonts w:ascii="Times New Roman" w:hAnsi="Times New Roman" w:cs="Times New Roman"/>
        </w:rPr>
        <w:t xml:space="preserve"> I. (2014) </w:t>
      </w:r>
      <w:r w:rsidRPr="00F10F30">
        <w:rPr>
          <w:rFonts w:ascii="Times New Roman" w:hAnsi="Times New Roman" w:cs="Times New Roman"/>
          <w:i/>
        </w:rPr>
        <w:t>Ungdomsuddannelser med fokus på yderkommuner</w:t>
      </w:r>
      <w:r w:rsidRPr="00F10F30">
        <w:rPr>
          <w:rFonts w:ascii="Times New Roman" w:hAnsi="Times New Roman" w:cs="Times New Roman"/>
        </w:rPr>
        <w:t>. Bornholm: Center for Regional- og Turismeforskning.</w:t>
      </w:r>
    </w:p>
    <w:p w:rsidR="00A46D3B" w:rsidRPr="00F10F30" w:rsidRDefault="00A46D3B" w:rsidP="00F10F30">
      <w:pPr>
        <w:spacing w:after="0"/>
        <w:ind w:left="567" w:hanging="567"/>
        <w:rPr>
          <w:rFonts w:ascii="Times New Roman" w:hAnsi="Times New Roman" w:cs="Times New Roman"/>
        </w:rPr>
      </w:pPr>
      <w:proofErr w:type="spellStart"/>
      <w:r w:rsidRPr="00F10F30">
        <w:rPr>
          <w:rFonts w:ascii="Times New Roman" w:hAnsi="Times New Roman" w:cs="Times New Roman"/>
        </w:rPr>
        <w:t>Helve</w:t>
      </w:r>
      <w:proofErr w:type="spellEnd"/>
      <w:r w:rsidRPr="00F10F30">
        <w:rPr>
          <w:rFonts w:ascii="Times New Roman" w:hAnsi="Times New Roman" w:cs="Times New Roman"/>
        </w:rPr>
        <w:t xml:space="preserve">, H. (2003): ”Unge i </w:t>
      </w:r>
      <w:proofErr w:type="spellStart"/>
      <w:r w:rsidRPr="00F10F30">
        <w:rPr>
          <w:rFonts w:ascii="Times New Roman" w:hAnsi="Times New Roman" w:cs="Times New Roman"/>
        </w:rPr>
        <w:t>utkant</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Aktuell</w:t>
      </w:r>
      <w:proofErr w:type="spellEnd"/>
      <w:r w:rsidRPr="00F10F30">
        <w:rPr>
          <w:rFonts w:ascii="Times New Roman" w:hAnsi="Times New Roman" w:cs="Times New Roman"/>
        </w:rPr>
        <w:t xml:space="preserve"> forskning om </w:t>
      </w:r>
      <w:proofErr w:type="spellStart"/>
      <w:r w:rsidRPr="00F10F30">
        <w:rPr>
          <w:rFonts w:ascii="Times New Roman" w:hAnsi="Times New Roman" w:cs="Times New Roman"/>
        </w:rPr>
        <w:t>glesbygdungdomar</w:t>
      </w:r>
      <w:proofErr w:type="spellEnd"/>
      <w:r w:rsidRPr="00F10F30">
        <w:rPr>
          <w:rFonts w:ascii="Times New Roman" w:hAnsi="Times New Roman" w:cs="Times New Roman"/>
        </w:rPr>
        <w:t xml:space="preserve"> i Norden”. </w:t>
      </w:r>
      <w:r w:rsidRPr="00F10F30">
        <w:rPr>
          <w:rFonts w:ascii="Times New Roman" w:hAnsi="Times New Roman" w:cs="Times New Roman"/>
          <w:i/>
          <w:iCs/>
        </w:rPr>
        <w:t xml:space="preserve">TemaNord </w:t>
      </w:r>
      <w:r w:rsidRPr="00F10F30">
        <w:rPr>
          <w:rFonts w:ascii="Times New Roman" w:hAnsi="Times New Roman" w:cs="Times New Roman"/>
        </w:rPr>
        <w:t xml:space="preserve">2003:519. København: Nordisk Råd </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rPr>
        <w:t xml:space="preserve">Hermansen, J. (2011): Udkanten. Hvorfor kragerne vender: </w:t>
      </w:r>
      <w:r w:rsidRPr="00F10F30">
        <w:rPr>
          <w:rFonts w:ascii="Times New Roman" w:hAnsi="Times New Roman" w:cs="Times New Roman"/>
          <w:i/>
          <w:iCs/>
        </w:rPr>
        <w:t xml:space="preserve">En undersøgelse af unge mænds tilknytning til </w:t>
      </w:r>
      <w:proofErr w:type="spellStart"/>
      <w:r w:rsidRPr="00F10F30">
        <w:rPr>
          <w:rFonts w:ascii="Times New Roman" w:hAnsi="Times New Roman" w:cs="Times New Roman"/>
          <w:i/>
          <w:iCs/>
        </w:rPr>
        <w:t>Udkantsdanmark</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lang w:val="en-GB"/>
        </w:rPr>
        <w:t>København</w:t>
      </w:r>
      <w:proofErr w:type="spellEnd"/>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Speciale</w:t>
      </w:r>
      <w:proofErr w:type="spellEnd"/>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Sociologisk</w:t>
      </w:r>
      <w:proofErr w:type="spellEnd"/>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Institut</w:t>
      </w:r>
      <w:proofErr w:type="spellEnd"/>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Københavns</w:t>
      </w:r>
      <w:proofErr w:type="spellEnd"/>
      <w:r w:rsidRPr="00F10F30">
        <w:rPr>
          <w:rFonts w:ascii="Times New Roman" w:hAnsi="Times New Roman" w:cs="Times New Roman"/>
          <w:lang w:val="en-GB"/>
        </w:rPr>
        <w:t xml:space="preserve"> </w:t>
      </w:r>
      <w:proofErr w:type="spellStart"/>
      <w:r w:rsidRPr="00F10F30">
        <w:rPr>
          <w:rFonts w:ascii="Times New Roman" w:hAnsi="Times New Roman" w:cs="Times New Roman"/>
          <w:lang w:val="en-GB"/>
        </w:rPr>
        <w:t>Universitet</w:t>
      </w:r>
      <w:proofErr w:type="spellEnd"/>
      <w:r w:rsidRPr="00F10F30">
        <w:rPr>
          <w:rFonts w:ascii="Times New Roman" w:hAnsi="Times New Roman" w:cs="Times New Roman"/>
          <w:lang w:val="en-GB"/>
        </w:rPr>
        <w:t xml:space="preserve"> </w:t>
      </w:r>
    </w:p>
    <w:p w:rsidR="00A46D3B"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Holdsworth</w:t>
      </w:r>
      <w:proofErr w:type="spellEnd"/>
      <w:r w:rsidRPr="00F10F30">
        <w:rPr>
          <w:rFonts w:ascii="Times New Roman" w:hAnsi="Times New Roman" w:cs="Times New Roman"/>
          <w:lang w:val="en-GB"/>
        </w:rPr>
        <w:t xml:space="preserve"> C. 2009. Going away to </w:t>
      </w:r>
      <w:proofErr w:type="spellStart"/>
      <w:r w:rsidRPr="00F10F30">
        <w:rPr>
          <w:rFonts w:ascii="Times New Roman" w:hAnsi="Times New Roman" w:cs="Times New Roman"/>
          <w:lang w:val="en-GB"/>
        </w:rPr>
        <w:t>uni</w:t>
      </w:r>
      <w:proofErr w:type="spellEnd"/>
      <w:r w:rsidRPr="00F10F30">
        <w:rPr>
          <w:rFonts w:ascii="Times New Roman" w:hAnsi="Times New Roman" w:cs="Times New Roman"/>
          <w:lang w:val="en-GB"/>
        </w:rPr>
        <w:t xml:space="preserve">': mobility, modernity, and independence of English higher education students. </w:t>
      </w:r>
      <w:r w:rsidRPr="00F10F30">
        <w:rPr>
          <w:rFonts w:ascii="Times New Roman" w:hAnsi="Times New Roman" w:cs="Times New Roman"/>
          <w:i/>
          <w:lang w:val="en-GB"/>
        </w:rPr>
        <w:t xml:space="preserve">Environment and Planning </w:t>
      </w:r>
      <w:proofErr w:type="gramStart"/>
      <w:r w:rsidRPr="00F10F30">
        <w:rPr>
          <w:rFonts w:ascii="Times New Roman" w:hAnsi="Times New Roman" w:cs="Times New Roman"/>
          <w:i/>
          <w:lang w:val="en-GB"/>
        </w:rPr>
        <w:t>A</w:t>
      </w:r>
      <w:proofErr w:type="gramEnd"/>
      <w:r w:rsidRPr="00F10F30">
        <w:rPr>
          <w:rFonts w:ascii="Times New Roman" w:hAnsi="Times New Roman" w:cs="Times New Roman"/>
          <w:lang w:val="en-GB"/>
        </w:rPr>
        <w:t xml:space="preserve"> 2009, </w:t>
      </w:r>
      <w:r w:rsidR="00EF67A3">
        <w:rPr>
          <w:rFonts w:ascii="Times New Roman" w:hAnsi="Times New Roman" w:cs="Times New Roman"/>
          <w:lang w:val="en-GB"/>
        </w:rPr>
        <w:t>volume 41, pages 1849 -</w:t>
      </w:r>
      <w:r w:rsidRPr="00F10F30">
        <w:rPr>
          <w:rFonts w:ascii="Times New Roman" w:hAnsi="Times New Roman" w:cs="Times New Roman"/>
          <w:lang w:val="en-GB"/>
        </w:rPr>
        <w:t xml:space="preserve"> 1864</w:t>
      </w:r>
    </w:p>
    <w:p w:rsidR="00EF67A3" w:rsidRPr="00EF67A3" w:rsidRDefault="00EF67A3" w:rsidP="00F10F30">
      <w:pPr>
        <w:spacing w:after="0"/>
        <w:ind w:left="567" w:hanging="567"/>
        <w:rPr>
          <w:rFonts w:ascii="Times New Roman" w:hAnsi="Times New Roman" w:cs="Times New Roman"/>
        </w:rPr>
      </w:pPr>
      <w:proofErr w:type="gramStart"/>
      <w:r w:rsidRPr="00561EC6">
        <w:rPr>
          <w:rFonts w:ascii="Times New Roman" w:hAnsi="Times New Roman" w:cs="Times New Roman"/>
          <w:lang w:val="en-GB"/>
        </w:rPr>
        <w:t>KRAKS’ Byforskning (2015).</w:t>
      </w:r>
      <w:proofErr w:type="gramEnd"/>
      <w:r w:rsidRPr="00561EC6">
        <w:rPr>
          <w:rFonts w:ascii="Times New Roman" w:hAnsi="Times New Roman" w:cs="Times New Roman"/>
          <w:lang w:val="en-GB"/>
        </w:rPr>
        <w:t xml:space="preserve"> </w:t>
      </w:r>
      <w:proofErr w:type="spellStart"/>
      <w:proofErr w:type="gramStart"/>
      <w:r w:rsidRPr="00561EC6">
        <w:rPr>
          <w:rFonts w:ascii="Times New Roman" w:hAnsi="Times New Roman" w:cs="Times New Roman"/>
          <w:i/>
          <w:lang w:val="en-GB"/>
        </w:rPr>
        <w:t>Unges</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afstand</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til</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videregående</w:t>
      </w:r>
      <w:proofErr w:type="spellEnd"/>
      <w:r w:rsidRPr="00561EC6">
        <w:rPr>
          <w:rFonts w:ascii="Times New Roman" w:hAnsi="Times New Roman" w:cs="Times New Roman"/>
          <w:i/>
          <w:lang w:val="en-GB"/>
        </w:rPr>
        <w:t xml:space="preserve"> </w:t>
      </w:r>
      <w:proofErr w:type="spellStart"/>
      <w:r w:rsidRPr="00561EC6">
        <w:rPr>
          <w:rFonts w:ascii="Times New Roman" w:hAnsi="Times New Roman" w:cs="Times New Roman"/>
          <w:i/>
          <w:lang w:val="en-GB"/>
        </w:rPr>
        <w:t>uddannelser</w:t>
      </w:r>
      <w:proofErr w:type="spellEnd"/>
      <w:r w:rsidRPr="00561EC6">
        <w:rPr>
          <w:rFonts w:ascii="Times New Roman" w:hAnsi="Times New Roman" w:cs="Times New Roman"/>
          <w:lang w:val="en-GB"/>
        </w:rPr>
        <w:t xml:space="preserve"> (The distance for young people to higher education).</w:t>
      </w:r>
      <w:proofErr w:type="gramEnd"/>
      <w:r w:rsidRPr="00561EC6">
        <w:rPr>
          <w:rFonts w:ascii="Times New Roman" w:hAnsi="Times New Roman" w:cs="Times New Roman"/>
          <w:lang w:val="en-GB"/>
        </w:rPr>
        <w:t xml:space="preserve"> </w:t>
      </w:r>
      <w:r>
        <w:rPr>
          <w:rFonts w:ascii="Times New Roman" w:hAnsi="Times New Roman" w:cs="Times New Roman"/>
        </w:rPr>
        <w:t>Copenhagen</w:t>
      </w:r>
    </w:p>
    <w:p w:rsidR="00A46D3B" w:rsidRPr="00F10F30" w:rsidRDefault="00A46D3B" w:rsidP="00F10F30">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Lahelma</w:t>
      </w:r>
      <w:proofErr w:type="spellEnd"/>
      <w:r w:rsidRPr="00F10F30">
        <w:rPr>
          <w:rFonts w:ascii="Times New Roman" w:hAnsi="Times New Roman" w:cs="Times New Roman"/>
          <w:lang w:val="en-GB"/>
        </w:rPr>
        <w:t xml:space="preserve"> E. and Gordon T. (2010).</w:t>
      </w:r>
      <w:proofErr w:type="gramEnd"/>
      <w:r w:rsidRPr="00F10F30">
        <w:rPr>
          <w:rFonts w:ascii="Times New Roman" w:hAnsi="Times New Roman" w:cs="Times New Roman"/>
          <w:lang w:val="en-GB"/>
        </w:rPr>
        <w:t xml:space="preserve"> Home as a Physical, Social and Mental Space: Young People's Reflections on Leaving Home, Journal of Youth Studies Published online: 03 Jun 2010.</w:t>
      </w:r>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Lundholm</w:t>
      </w:r>
      <w:proofErr w:type="spellEnd"/>
      <w:r w:rsidRPr="00F10F30">
        <w:rPr>
          <w:rFonts w:ascii="Times New Roman" w:hAnsi="Times New Roman" w:cs="Times New Roman"/>
          <w:lang w:val="en-GB"/>
        </w:rPr>
        <w:t xml:space="preserve"> E., </w:t>
      </w:r>
      <w:proofErr w:type="spellStart"/>
      <w:r w:rsidRPr="00F10F30">
        <w:rPr>
          <w:rFonts w:ascii="Times New Roman" w:hAnsi="Times New Roman" w:cs="Times New Roman"/>
          <w:lang w:val="en-GB"/>
        </w:rPr>
        <w:t>Garvill</w:t>
      </w:r>
      <w:proofErr w:type="spellEnd"/>
      <w:r w:rsidRPr="00F10F30">
        <w:rPr>
          <w:rFonts w:ascii="Times New Roman" w:hAnsi="Times New Roman" w:cs="Times New Roman"/>
          <w:lang w:val="en-GB"/>
        </w:rPr>
        <w:t xml:space="preserve"> J., </w:t>
      </w:r>
      <w:proofErr w:type="spellStart"/>
      <w:r w:rsidRPr="00F10F30">
        <w:rPr>
          <w:rFonts w:ascii="Times New Roman" w:hAnsi="Times New Roman" w:cs="Times New Roman"/>
          <w:lang w:val="en-GB"/>
        </w:rPr>
        <w:t>MalmbergG</w:t>
      </w:r>
      <w:proofErr w:type="spellEnd"/>
      <w:r w:rsidRPr="00F10F30">
        <w:rPr>
          <w:rFonts w:ascii="Times New Roman" w:hAnsi="Times New Roman" w:cs="Times New Roman"/>
          <w:lang w:val="en-GB"/>
        </w:rPr>
        <w:t xml:space="preserve">. </w:t>
      </w:r>
      <w:proofErr w:type="gramStart"/>
      <w:r w:rsidRPr="00F10F30">
        <w:rPr>
          <w:rFonts w:ascii="Times New Roman" w:hAnsi="Times New Roman" w:cs="Times New Roman"/>
          <w:lang w:val="en-GB"/>
        </w:rPr>
        <w:t>and</w:t>
      </w:r>
      <w:proofErr w:type="gramEnd"/>
      <w:r w:rsidRPr="00F10F30">
        <w:rPr>
          <w:rFonts w:ascii="Times New Roman" w:hAnsi="Times New Roman" w:cs="Times New Roman"/>
          <w:lang w:val="en-GB"/>
        </w:rPr>
        <w:t xml:space="preserve"> Westin K. (2004).Forced or Free Movers? </w:t>
      </w:r>
      <w:proofErr w:type="gramStart"/>
      <w:r w:rsidRPr="00F10F30">
        <w:rPr>
          <w:rFonts w:ascii="Times New Roman" w:hAnsi="Times New Roman" w:cs="Times New Roman"/>
          <w:lang w:val="en-GB"/>
        </w:rPr>
        <w:t>The Motives, Voluntariness and Selectivity of Interregional Migration in the Nordic Countries.</w:t>
      </w:r>
      <w:proofErr w:type="gramEnd"/>
      <w:r w:rsidRPr="00F10F30">
        <w:rPr>
          <w:rFonts w:ascii="Times New Roman" w:hAnsi="Times New Roman" w:cs="Times New Roman"/>
          <w:lang w:val="en-GB"/>
        </w:rPr>
        <w:t xml:space="preserve"> </w:t>
      </w:r>
      <w:r w:rsidRPr="00F10F30">
        <w:rPr>
          <w:rFonts w:ascii="Times New Roman" w:hAnsi="Times New Roman" w:cs="Times New Roman"/>
          <w:i/>
          <w:iCs/>
          <w:lang w:val="en-GB"/>
        </w:rPr>
        <w:t xml:space="preserve">Population, Space &amp; Place </w:t>
      </w:r>
      <w:r w:rsidRPr="00F10F30">
        <w:rPr>
          <w:rFonts w:ascii="Times New Roman" w:hAnsi="Times New Roman" w:cs="Times New Roman"/>
          <w:bCs/>
          <w:lang w:val="en-GB"/>
        </w:rPr>
        <w:t>10</w:t>
      </w:r>
      <w:r w:rsidRPr="00F10F30">
        <w:rPr>
          <w:rFonts w:ascii="Times New Roman" w:hAnsi="Times New Roman" w:cs="Times New Roman"/>
          <w:lang w:val="en-GB"/>
        </w:rPr>
        <w:t xml:space="preserve">, 59–72 </w:t>
      </w:r>
    </w:p>
    <w:p w:rsidR="00A46D3B" w:rsidRPr="00F10F30" w:rsidRDefault="00A46D3B" w:rsidP="00F10F30">
      <w:pPr>
        <w:spacing w:after="0"/>
        <w:ind w:left="567" w:hanging="567"/>
        <w:rPr>
          <w:rFonts w:ascii="Times New Roman" w:hAnsi="Times New Roman" w:cs="Times New Roman"/>
          <w:lang w:val="en-GB"/>
        </w:rPr>
      </w:pPr>
      <w:proofErr w:type="gramStart"/>
      <w:r w:rsidRPr="00F10F30">
        <w:rPr>
          <w:rFonts w:ascii="Times New Roman" w:hAnsi="Times New Roman" w:cs="Times New Roman"/>
          <w:lang w:val="en-GB"/>
        </w:rPr>
        <w:t xml:space="preserve">Mitchell B. A. (2000) “Integrating Conceptual, Theoretical and Methodological Developments in </w:t>
      </w:r>
      <w:proofErr w:type="spellStart"/>
      <w:r w:rsidRPr="00F10F30">
        <w:rPr>
          <w:rFonts w:ascii="Times New Roman" w:hAnsi="Times New Roman" w:cs="Times New Roman"/>
          <w:lang w:val="en-GB"/>
        </w:rPr>
        <w:t>Homeleaving</w:t>
      </w:r>
      <w:proofErr w:type="spellEnd"/>
      <w:r w:rsidRPr="00F10F30">
        <w:rPr>
          <w:rFonts w:ascii="Times New Roman" w:hAnsi="Times New Roman" w:cs="Times New Roman"/>
          <w:lang w:val="en-GB"/>
        </w:rPr>
        <w:t>.</w:t>
      </w:r>
      <w:proofErr w:type="gramEnd"/>
      <w:r w:rsidRPr="00F10F30">
        <w:rPr>
          <w:rFonts w:ascii="Times New Roman" w:hAnsi="Times New Roman" w:cs="Times New Roman"/>
          <w:lang w:val="en-GB"/>
        </w:rPr>
        <w:t xml:space="preserve"> Research Paper submitted to the workshop “Leaving Home: A European Focus,” Max Planck Institute for Demographic Research, Research Group on the Demography of Early Adulthood, 6</w:t>
      </w:r>
      <w:r w:rsidRPr="00F10F30">
        <w:rPr>
          <w:rFonts w:ascii="Cambria Math" w:hAnsi="Cambria Math" w:cs="Cambria Math"/>
          <w:lang w:val="en-GB"/>
        </w:rPr>
        <w:t>‐</w:t>
      </w:r>
      <w:r w:rsidRPr="00F10F30">
        <w:rPr>
          <w:rFonts w:ascii="Times New Roman" w:hAnsi="Times New Roman" w:cs="Times New Roman"/>
          <w:lang w:val="en-GB"/>
        </w:rPr>
        <w:t xml:space="preserve">8 Sept., 2000, </w:t>
      </w:r>
      <w:hyperlink r:id="rId17" w:history="1">
        <w:r w:rsidRPr="00F10F30">
          <w:rPr>
            <w:rStyle w:val="Hyperlink"/>
            <w:rFonts w:ascii="Times New Roman" w:hAnsi="Times New Roman" w:cs="Times New Roman"/>
            <w:color w:val="auto"/>
            <w:lang w:val="en-GB"/>
          </w:rPr>
          <w:t>http://www.demogr.mpg.de/papers/workshops/000906_paper09.pdf</w:t>
        </w:r>
      </w:hyperlink>
    </w:p>
    <w:p w:rsidR="00A46D3B" w:rsidRPr="00F10F30" w:rsidRDefault="00A46D3B" w:rsidP="00F10F30">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Niedomysl</w:t>
      </w:r>
      <w:proofErr w:type="spellEnd"/>
      <w:r w:rsidRPr="00F10F30">
        <w:rPr>
          <w:rFonts w:ascii="Times New Roman" w:hAnsi="Times New Roman" w:cs="Times New Roman"/>
          <w:lang w:val="en-GB"/>
        </w:rPr>
        <w:t xml:space="preserve"> T. and </w:t>
      </w:r>
      <w:proofErr w:type="spellStart"/>
      <w:r w:rsidRPr="00F10F30">
        <w:rPr>
          <w:rFonts w:ascii="Times New Roman" w:hAnsi="Times New Roman" w:cs="Times New Roman"/>
          <w:lang w:val="en-GB"/>
        </w:rPr>
        <w:t>Amcoff</w:t>
      </w:r>
      <w:proofErr w:type="spellEnd"/>
      <w:r w:rsidRPr="00F10F30">
        <w:rPr>
          <w:rFonts w:ascii="Times New Roman" w:hAnsi="Times New Roman" w:cs="Times New Roman"/>
          <w:lang w:val="en-GB"/>
        </w:rPr>
        <w:t xml:space="preserve"> J. (2011) </w:t>
      </w:r>
      <w:proofErr w:type="spellStart"/>
      <w:r w:rsidRPr="00F10F30">
        <w:rPr>
          <w:rFonts w:ascii="Times New Roman" w:hAnsi="Times New Roman" w:cs="Times New Roman"/>
          <w:lang w:val="en-GB"/>
        </w:rPr>
        <w:t>Popul</w:t>
      </w:r>
      <w:proofErr w:type="spellEnd"/>
      <w:r w:rsidRPr="00F10F30">
        <w:rPr>
          <w:rFonts w:ascii="Times New Roman" w:hAnsi="Times New Roman" w:cs="Times New Roman"/>
          <w:lang w:val="en-GB"/>
        </w:rPr>
        <w:t>.</w:t>
      </w:r>
      <w:proofErr w:type="gramEnd"/>
      <w:r w:rsidRPr="00F10F30">
        <w:rPr>
          <w:rFonts w:ascii="Times New Roman" w:hAnsi="Times New Roman" w:cs="Times New Roman"/>
          <w:lang w:val="en-GB"/>
        </w:rPr>
        <w:t xml:space="preserve"> Why Return Migrants Return: Survey Evidence on Motives for Internal Return Migration in Sweden </w:t>
      </w:r>
      <w:r w:rsidRPr="00F10F30">
        <w:rPr>
          <w:rFonts w:ascii="Times New Roman" w:hAnsi="Times New Roman" w:cs="Times New Roman"/>
          <w:i/>
          <w:iCs/>
          <w:lang w:val="en-GB"/>
        </w:rPr>
        <w:t xml:space="preserve">Population &amp; </w:t>
      </w:r>
      <w:r w:rsidRPr="00F10F30">
        <w:rPr>
          <w:rFonts w:ascii="Times New Roman" w:hAnsi="Times New Roman" w:cs="Times New Roman"/>
          <w:i/>
          <w:lang w:val="en-GB"/>
        </w:rPr>
        <w:t>Space Place</w:t>
      </w:r>
      <w:r w:rsidRPr="00F10F30">
        <w:rPr>
          <w:rFonts w:ascii="Times New Roman" w:hAnsi="Times New Roman" w:cs="Times New Roman"/>
          <w:lang w:val="en-GB"/>
        </w:rPr>
        <w:t xml:space="preserve"> </w:t>
      </w:r>
      <w:r w:rsidRPr="00F10F30">
        <w:rPr>
          <w:rFonts w:ascii="Times New Roman" w:hAnsi="Times New Roman" w:cs="Times New Roman"/>
          <w:bCs/>
          <w:lang w:val="en-GB"/>
        </w:rPr>
        <w:t>17</w:t>
      </w:r>
      <w:r w:rsidRPr="00F10F30">
        <w:rPr>
          <w:rFonts w:ascii="Times New Roman" w:hAnsi="Times New Roman" w:cs="Times New Roman"/>
          <w:lang w:val="en-GB"/>
        </w:rPr>
        <w:t>, 656–673 (2011)</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rPr>
        <w:t xml:space="preserve">Nørgaard </w:t>
      </w:r>
      <w:r w:rsidR="003C19EE" w:rsidRPr="00F10F30">
        <w:rPr>
          <w:rFonts w:ascii="Times New Roman" w:hAnsi="Times New Roman" w:cs="Times New Roman"/>
        </w:rPr>
        <w:t xml:space="preserve">H., Jensen J:O, Simon C. and Skifter Andersen H. (2010). </w:t>
      </w:r>
      <w:r w:rsidR="003C19EE" w:rsidRPr="00F10F30">
        <w:rPr>
          <w:rFonts w:ascii="Times New Roman" w:hAnsi="Times New Roman" w:cs="Times New Roman"/>
          <w:i/>
        </w:rPr>
        <w:t>Tilflyttere til yderområder: forandring, integration og strategier</w:t>
      </w:r>
      <w:r w:rsidR="003C19EE" w:rsidRPr="00F10F30">
        <w:rPr>
          <w:rFonts w:ascii="Times New Roman" w:hAnsi="Times New Roman" w:cs="Times New Roman"/>
        </w:rPr>
        <w:t xml:space="preserve"> (In-</w:t>
      </w:r>
      <w:proofErr w:type="spellStart"/>
      <w:r w:rsidR="003C19EE" w:rsidRPr="00F10F30">
        <w:rPr>
          <w:rFonts w:ascii="Times New Roman" w:hAnsi="Times New Roman" w:cs="Times New Roman"/>
        </w:rPr>
        <w:t>movers</w:t>
      </w:r>
      <w:proofErr w:type="spellEnd"/>
      <w:r w:rsidR="003C19EE" w:rsidRPr="00F10F30">
        <w:rPr>
          <w:rFonts w:ascii="Times New Roman" w:hAnsi="Times New Roman" w:cs="Times New Roman"/>
        </w:rPr>
        <w:t xml:space="preserve"> </w:t>
      </w:r>
      <w:proofErr w:type="spellStart"/>
      <w:r w:rsidR="003C19EE" w:rsidRPr="00F10F30">
        <w:rPr>
          <w:rFonts w:ascii="Times New Roman" w:hAnsi="Times New Roman" w:cs="Times New Roman"/>
        </w:rPr>
        <w:t>into</w:t>
      </w:r>
      <w:proofErr w:type="spellEnd"/>
      <w:r w:rsidR="003C19EE" w:rsidRPr="00F10F30">
        <w:rPr>
          <w:rFonts w:ascii="Times New Roman" w:hAnsi="Times New Roman" w:cs="Times New Roman"/>
        </w:rPr>
        <w:t xml:space="preserve"> </w:t>
      </w:r>
      <w:proofErr w:type="spellStart"/>
      <w:r w:rsidR="003C19EE" w:rsidRPr="00F10F30">
        <w:rPr>
          <w:rFonts w:ascii="Times New Roman" w:hAnsi="Times New Roman" w:cs="Times New Roman"/>
        </w:rPr>
        <w:t>fringe</w:t>
      </w:r>
      <w:proofErr w:type="spellEnd"/>
      <w:r w:rsidR="003C19EE" w:rsidRPr="00F10F30">
        <w:rPr>
          <w:rFonts w:ascii="Times New Roman" w:hAnsi="Times New Roman" w:cs="Times New Roman"/>
        </w:rPr>
        <w:t xml:space="preserve"> </w:t>
      </w:r>
      <w:proofErr w:type="spellStart"/>
      <w:r w:rsidR="003C19EE" w:rsidRPr="00F10F30">
        <w:rPr>
          <w:rFonts w:ascii="Times New Roman" w:hAnsi="Times New Roman" w:cs="Times New Roman"/>
        </w:rPr>
        <w:t>areas</w:t>
      </w:r>
      <w:proofErr w:type="spellEnd"/>
      <w:r w:rsidR="003C19EE" w:rsidRPr="00F10F30">
        <w:rPr>
          <w:rFonts w:ascii="Times New Roman" w:hAnsi="Times New Roman" w:cs="Times New Roman"/>
        </w:rPr>
        <w:t xml:space="preserve">; </w:t>
      </w:r>
      <w:proofErr w:type="spellStart"/>
      <w:r w:rsidR="003C19EE" w:rsidRPr="00F10F30">
        <w:rPr>
          <w:rFonts w:ascii="Times New Roman" w:hAnsi="Times New Roman" w:cs="Times New Roman"/>
        </w:rPr>
        <w:t>change</w:t>
      </w:r>
      <w:proofErr w:type="spellEnd"/>
      <w:r w:rsidR="003C19EE" w:rsidRPr="00F10F30">
        <w:rPr>
          <w:rFonts w:ascii="Times New Roman" w:hAnsi="Times New Roman" w:cs="Times New Roman"/>
        </w:rPr>
        <w:t xml:space="preserve">, integration and </w:t>
      </w:r>
      <w:proofErr w:type="spellStart"/>
      <w:r w:rsidR="003C19EE" w:rsidRPr="00F10F30">
        <w:rPr>
          <w:rFonts w:ascii="Times New Roman" w:hAnsi="Times New Roman" w:cs="Times New Roman"/>
        </w:rPr>
        <w:t>strategies</w:t>
      </w:r>
      <w:proofErr w:type="spellEnd"/>
      <w:r w:rsidR="003C19EE" w:rsidRPr="00F10F30">
        <w:rPr>
          <w:rFonts w:ascii="Times New Roman" w:hAnsi="Times New Roman" w:cs="Times New Roman"/>
        </w:rPr>
        <w:t xml:space="preserve">). </w:t>
      </w:r>
      <w:r w:rsidR="003C19EE" w:rsidRPr="00F10F30">
        <w:rPr>
          <w:rFonts w:ascii="Times New Roman" w:hAnsi="Times New Roman" w:cs="Times New Roman"/>
          <w:lang w:val="en-GB"/>
        </w:rPr>
        <w:t>Copenhagen: Danish Building Research Institute, Aalborg University.</w:t>
      </w:r>
    </w:p>
    <w:p w:rsidR="00A46D3B" w:rsidRPr="00F10F30" w:rsidRDefault="00A46D3B" w:rsidP="00F10F30">
      <w:pPr>
        <w:autoSpaceDE w:val="0"/>
        <w:autoSpaceDN w:val="0"/>
        <w:adjustRightInd w:val="0"/>
        <w:spacing w:after="0" w:line="240" w:lineRule="auto"/>
        <w:ind w:left="567" w:hanging="567"/>
        <w:rPr>
          <w:rFonts w:ascii="Times New Roman" w:hAnsi="Times New Roman" w:cs="Times New Roman"/>
        </w:rPr>
      </w:pPr>
      <w:proofErr w:type="spellStart"/>
      <w:r w:rsidRPr="00F10F30">
        <w:rPr>
          <w:rFonts w:ascii="Times New Roman" w:hAnsi="Times New Roman" w:cs="Times New Roman"/>
          <w:lang w:val="en-GB"/>
        </w:rPr>
        <w:t>Ottosen</w:t>
      </w:r>
      <w:proofErr w:type="spellEnd"/>
      <w:r w:rsidRPr="00F10F30">
        <w:rPr>
          <w:rFonts w:ascii="Times New Roman" w:hAnsi="Times New Roman" w:cs="Times New Roman"/>
          <w:lang w:val="en-GB"/>
        </w:rPr>
        <w:t xml:space="preserve"> M. H., Andersen D., Dahl K. M., Toft Hansen A., </w:t>
      </w:r>
      <w:proofErr w:type="spellStart"/>
      <w:r w:rsidRPr="00F10F30">
        <w:rPr>
          <w:rFonts w:ascii="Times New Roman" w:hAnsi="Times New Roman" w:cs="Times New Roman"/>
          <w:lang w:val="en-GB"/>
        </w:rPr>
        <w:t>Lausten</w:t>
      </w:r>
      <w:proofErr w:type="spellEnd"/>
      <w:r w:rsidRPr="00F10F30">
        <w:rPr>
          <w:rFonts w:ascii="Times New Roman" w:hAnsi="Times New Roman" w:cs="Times New Roman"/>
          <w:lang w:val="en-GB"/>
        </w:rPr>
        <w:t xml:space="preserve"> M. &amp; Østergaard S. V. (2010).</w:t>
      </w:r>
      <w:r w:rsidRPr="00F10F30">
        <w:rPr>
          <w:rFonts w:ascii="Times New Roman" w:hAnsi="Times New Roman" w:cs="Times New Roman"/>
          <w:i/>
          <w:lang w:val="en-GB"/>
        </w:rPr>
        <w:t xml:space="preserve"> </w:t>
      </w:r>
      <w:r w:rsidRPr="00F10F30">
        <w:rPr>
          <w:rFonts w:ascii="Times New Roman" w:hAnsi="Times New Roman" w:cs="Times New Roman"/>
          <w:i/>
        </w:rPr>
        <w:t>Børn og unge i Danmark, velfærd og trivsel</w:t>
      </w:r>
      <w:r w:rsidRPr="00F10F30">
        <w:rPr>
          <w:rFonts w:ascii="Times New Roman" w:hAnsi="Times New Roman" w:cs="Times New Roman"/>
        </w:rPr>
        <w:t>. SFI - The Danish National Centre for Social Research.</w:t>
      </w:r>
    </w:p>
    <w:p w:rsidR="00A46D3B" w:rsidRPr="00F10F30" w:rsidRDefault="00A46D3B" w:rsidP="00F10F30">
      <w:pPr>
        <w:spacing w:after="0"/>
        <w:ind w:left="567" w:hanging="567"/>
        <w:rPr>
          <w:rFonts w:ascii="Times New Roman" w:hAnsi="Times New Roman" w:cs="Times New Roman"/>
          <w:bCs/>
          <w:lang w:val="en-GB"/>
        </w:rPr>
      </w:pPr>
      <w:proofErr w:type="spellStart"/>
      <w:proofErr w:type="gramStart"/>
      <w:r w:rsidRPr="00F10F30">
        <w:rPr>
          <w:rFonts w:ascii="Times New Roman" w:hAnsi="Times New Roman" w:cs="Times New Roman"/>
          <w:lang w:val="en-GB"/>
        </w:rPr>
        <w:t>Patiniotis</w:t>
      </w:r>
      <w:proofErr w:type="spellEnd"/>
      <w:r w:rsidRPr="00F10F30">
        <w:rPr>
          <w:rFonts w:ascii="Times New Roman" w:hAnsi="Times New Roman" w:cs="Times New Roman"/>
          <w:lang w:val="en-GB"/>
        </w:rPr>
        <w:t xml:space="preserve"> J. and </w:t>
      </w:r>
      <w:proofErr w:type="spellStart"/>
      <w:r w:rsidRPr="00F10F30">
        <w:rPr>
          <w:rFonts w:ascii="Times New Roman" w:hAnsi="Times New Roman" w:cs="Times New Roman"/>
          <w:lang w:val="en-GB"/>
        </w:rPr>
        <w:t>Holdsworth</w:t>
      </w:r>
      <w:proofErr w:type="spellEnd"/>
      <w:r w:rsidRPr="00F10F30">
        <w:rPr>
          <w:rFonts w:ascii="Times New Roman" w:hAnsi="Times New Roman" w:cs="Times New Roman"/>
          <w:lang w:val="en-GB"/>
        </w:rPr>
        <w:t xml:space="preserve"> C. (2007).</w:t>
      </w:r>
      <w:proofErr w:type="gramEnd"/>
      <w:r w:rsidRPr="00F10F30">
        <w:rPr>
          <w:rFonts w:ascii="Times New Roman" w:hAnsi="Times New Roman" w:cs="Times New Roman"/>
          <w:lang w:val="en-GB"/>
        </w:rPr>
        <w:t xml:space="preserve"> </w:t>
      </w:r>
      <w:r w:rsidRPr="00F10F30">
        <w:rPr>
          <w:rFonts w:ascii="Times New Roman" w:hAnsi="Times New Roman" w:cs="Times New Roman"/>
          <w:bCs/>
          <w:lang w:val="en-GB"/>
        </w:rPr>
        <w:t xml:space="preserve">‘Seize That Chance!’ </w:t>
      </w:r>
      <w:proofErr w:type="gramStart"/>
      <w:r w:rsidRPr="00F10F30">
        <w:rPr>
          <w:rFonts w:ascii="Times New Roman" w:hAnsi="Times New Roman" w:cs="Times New Roman"/>
          <w:bCs/>
          <w:lang w:val="en-GB"/>
        </w:rPr>
        <w:t xml:space="preserve">Leaving Home and Transitions to Higher Education </w:t>
      </w:r>
      <w:r w:rsidRPr="00F10F30">
        <w:rPr>
          <w:rFonts w:ascii="Times New Roman" w:hAnsi="Times New Roman" w:cs="Times New Roman"/>
          <w:lang w:val="en-GB"/>
        </w:rPr>
        <w:t>Published online: 23 Jan 2007.</w:t>
      </w:r>
      <w:proofErr w:type="gramEnd"/>
      <w:r w:rsidRPr="00F10F30">
        <w:rPr>
          <w:rFonts w:ascii="Times New Roman" w:hAnsi="Times New Roman" w:cs="Times New Roman"/>
          <w:lang w:val="en-GB"/>
        </w:rPr>
        <w:t xml:space="preserve"> Journal of Youth Studies Vol. 8, No. 1, March 2005, pp. 81_/95</w:t>
      </w:r>
    </w:p>
    <w:p w:rsidR="00A46D3B" w:rsidRPr="00F10F30" w:rsidRDefault="00A46D3B" w:rsidP="00F10F30">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Petrin</w:t>
      </w:r>
      <w:proofErr w:type="spellEnd"/>
      <w:r w:rsidRPr="00F10F30">
        <w:rPr>
          <w:rFonts w:ascii="Times New Roman" w:hAnsi="Times New Roman" w:cs="Times New Roman"/>
          <w:lang w:val="en-GB"/>
        </w:rPr>
        <w:t xml:space="preserve"> R. A., </w:t>
      </w:r>
      <w:proofErr w:type="spellStart"/>
      <w:r w:rsidRPr="00F10F30">
        <w:rPr>
          <w:rFonts w:ascii="Times New Roman" w:hAnsi="Times New Roman" w:cs="Times New Roman"/>
          <w:lang w:val="en-GB"/>
        </w:rPr>
        <w:t>Schafft</w:t>
      </w:r>
      <w:proofErr w:type="spellEnd"/>
      <w:r w:rsidRPr="00F10F30">
        <w:rPr>
          <w:rFonts w:ascii="Times New Roman" w:hAnsi="Times New Roman" w:cs="Times New Roman"/>
          <w:lang w:val="en-GB"/>
        </w:rPr>
        <w:t xml:space="preserve"> K. A. &amp; </w:t>
      </w:r>
      <w:proofErr w:type="spellStart"/>
      <w:r w:rsidRPr="00F10F30">
        <w:rPr>
          <w:rFonts w:ascii="Times New Roman" w:hAnsi="Times New Roman" w:cs="Times New Roman"/>
          <w:lang w:val="en-GB"/>
        </w:rPr>
        <w:t>Meece</w:t>
      </w:r>
      <w:proofErr w:type="spellEnd"/>
      <w:r w:rsidRPr="00F10F30">
        <w:rPr>
          <w:rFonts w:ascii="Times New Roman" w:hAnsi="Times New Roman" w:cs="Times New Roman"/>
          <w:lang w:val="en-GB"/>
        </w:rPr>
        <w:t xml:space="preserve"> J. L. (2014).</w:t>
      </w:r>
      <w:proofErr w:type="gramEnd"/>
      <w:r w:rsidRPr="00F10F30">
        <w:rPr>
          <w:rFonts w:ascii="Times New Roman" w:hAnsi="Times New Roman" w:cs="Times New Roman"/>
          <w:lang w:val="en-GB"/>
        </w:rPr>
        <w:t xml:space="preserve"> Educational Sorting and Residential Aspirations Among Rural High School Students: What Are the Contributions of Schools and Educators to Rural Brain Drain? </w:t>
      </w:r>
      <w:r w:rsidRPr="00F10F30">
        <w:rPr>
          <w:rFonts w:ascii="Times New Roman" w:hAnsi="Times New Roman" w:cs="Times New Roman"/>
          <w:i/>
          <w:lang w:val="en-GB"/>
        </w:rPr>
        <w:t>American Educational Research Journal</w:t>
      </w:r>
      <w:r w:rsidRPr="00F10F30">
        <w:rPr>
          <w:rFonts w:ascii="Times New Roman" w:hAnsi="Times New Roman" w:cs="Times New Roman"/>
          <w:lang w:val="en-GB"/>
        </w:rPr>
        <w:t xml:space="preserve"> April 2014, Vol. 51, No. 2, pp. 294–326</w:t>
      </w:r>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Rérat</w:t>
      </w:r>
      <w:proofErr w:type="spellEnd"/>
      <w:r w:rsidRPr="00F10F30">
        <w:rPr>
          <w:rFonts w:ascii="Times New Roman" w:hAnsi="Times New Roman" w:cs="Times New Roman"/>
          <w:lang w:val="en-GB"/>
        </w:rPr>
        <w:t xml:space="preserve"> P. (2014). The selective migration of young graduates: Which of them return to their rural home region and which do not? </w:t>
      </w:r>
      <w:r w:rsidRPr="00F10F30">
        <w:rPr>
          <w:rFonts w:ascii="Times New Roman" w:hAnsi="Times New Roman" w:cs="Times New Roman"/>
          <w:i/>
          <w:lang w:val="en-GB"/>
        </w:rPr>
        <w:t>Journal of Rural Studies</w:t>
      </w:r>
      <w:r w:rsidRPr="00F10F30">
        <w:rPr>
          <w:rFonts w:ascii="Times New Roman" w:hAnsi="Times New Roman" w:cs="Times New Roman"/>
          <w:lang w:val="en-GB"/>
        </w:rPr>
        <w:t xml:space="preserve"> 35 (2014)</w:t>
      </w:r>
    </w:p>
    <w:p w:rsidR="00A46D3B" w:rsidRPr="00F10F30" w:rsidRDefault="00A46D3B" w:rsidP="00F10F30">
      <w:pPr>
        <w:spacing w:after="0"/>
        <w:ind w:left="567" w:hanging="567"/>
        <w:rPr>
          <w:rFonts w:ascii="Times New Roman" w:hAnsi="Times New Roman" w:cs="Times New Roman"/>
          <w:lang w:val="en-GB"/>
        </w:rPr>
      </w:pPr>
      <w:proofErr w:type="gramStart"/>
      <w:r w:rsidRPr="00F10F30">
        <w:rPr>
          <w:rFonts w:ascii="Times New Roman" w:hAnsi="Times New Roman" w:cs="Times New Roman"/>
          <w:lang w:val="en-GB"/>
        </w:rPr>
        <w:t>Rye J.F. (2006).</w:t>
      </w:r>
      <w:proofErr w:type="gramEnd"/>
      <w:r w:rsidRPr="00F10F30">
        <w:rPr>
          <w:rFonts w:ascii="Times New Roman" w:hAnsi="Times New Roman" w:cs="Times New Roman"/>
          <w:lang w:val="en-GB"/>
        </w:rPr>
        <w:t xml:space="preserve"> </w:t>
      </w:r>
      <w:proofErr w:type="gramStart"/>
      <w:r w:rsidRPr="00F10F30">
        <w:rPr>
          <w:rFonts w:ascii="Times New Roman" w:hAnsi="Times New Roman" w:cs="Times New Roman"/>
          <w:lang w:val="en-GB"/>
        </w:rPr>
        <w:t>Leaving the countryside; an analysis of rural-to-urban migration and long-term capital accumulation.</w:t>
      </w:r>
      <w:proofErr w:type="gramEnd"/>
      <w:r w:rsidRPr="00F10F30">
        <w:rPr>
          <w:rFonts w:ascii="Times New Roman" w:hAnsi="Times New Roman" w:cs="Times New Roman"/>
          <w:lang w:val="en-GB"/>
        </w:rPr>
        <w:t xml:space="preserve"> </w:t>
      </w:r>
      <w:proofErr w:type="spellStart"/>
      <w:proofErr w:type="gramStart"/>
      <w:r w:rsidRPr="00F10F30">
        <w:rPr>
          <w:rFonts w:ascii="Times New Roman" w:hAnsi="Times New Roman" w:cs="Times New Roman"/>
          <w:i/>
          <w:lang w:val="en-GB"/>
        </w:rPr>
        <w:t>Acta</w:t>
      </w:r>
      <w:proofErr w:type="spellEnd"/>
      <w:r w:rsidRPr="00F10F30">
        <w:rPr>
          <w:rFonts w:ascii="Times New Roman" w:hAnsi="Times New Roman" w:cs="Times New Roman"/>
          <w:i/>
          <w:lang w:val="en-GB"/>
        </w:rPr>
        <w:t xml:space="preserve"> </w:t>
      </w:r>
      <w:proofErr w:type="spellStart"/>
      <w:r w:rsidRPr="00F10F30">
        <w:rPr>
          <w:rFonts w:ascii="Times New Roman" w:hAnsi="Times New Roman" w:cs="Times New Roman"/>
          <w:i/>
          <w:lang w:val="en-GB"/>
        </w:rPr>
        <w:t>Sociologica</w:t>
      </w:r>
      <w:proofErr w:type="spellEnd"/>
      <w:r w:rsidRPr="00F10F30">
        <w:rPr>
          <w:rFonts w:ascii="Times New Roman" w:hAnsi="Times New Roman" w:cs="Times New Roman"/>
          <w:lang w:val="en-GB"/>
        </w:rPr>
        <w:t xml:space="preserve"> 49, 47e65.</w:t>
      </w:r>
      <w:proofErr w:type="gramEnd"/>
    </w:p>
    <w:p w:rsidR="003C19EE"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lang w:val="en-GB"/>
        </w:rPr>
        <w:t xml:space="preserve">Skifter Andersen </w:t>
      </w:r>
      <w:r w:rsidR="003C19EE" w:rsidRPr="00F10F30">
        <w:rPr>
          <w:rFonts w:ascii="Times New Roman" w:hAnsi="Times New Roman" w:cs="Times New Roman"/>
          <w:lang w:val="en-GB"/>
        </w:rPr>
        <w:t>H. (</w:t>
      </w:r>
      <w:r w:rsidRPr="00F10F30">
        <w:rPr>
          <w:rFonts w:ascii="Times New Roman" w:hAnsi="Times New Roman" w:cs="Times New Roman"/>
          <w:lang w:val="en-GB"/>
        </w:rPr>
        <w:t>2009</w:t>
      </w:r>
      <w:r w:rsidR="003C19EE" w:rsidRPr="00F10F30">
        <w:rPr>
          <w:rFonts w:ascii="Times New Roman" w:hAnsi="Times New Roman" w:cs="Times New Roman"/>
          <w:lang w:val="en-GB"/>
        </w:rPr>
        <w:t xml:space="preserve">). </w:t>
      </w:r>
      <w:proofErr w:type="gramStart"/>
      <w:r w:rsidR="003C19EE" w:rsidRPr="00F10F30">
        <w:rPr>
          <w:rFonts w:ascii="Times New Roman" w:hAnsi="Times New Roman" w:cs="Times New Roman"/>
          <w:lang w:val="en-GB"/>
        </w:rPr>
        <w:t>Explanations for Long-Distance Counter-Urban Migration into Fringe Areas in Denmark</w:t>
      </w:r>
      <w:r w:rsidR="003C19EE" w:rsidRPr="00F10F30">
        <w:rPr>
          <w:rFonts w:ascii="Times New Roman" w:hAnsi="Times New Roman" w:cs="Times New Roman"/>
          <w:i/>
          <w:lang w:val="en-GB"/>
        </w:rPr>
        <w:t>.</w:t>
      </w:r>
      <w:proofErr w:type="gramEnd"/>
      <w:r w:rsidR="003C19EE" w:rsidRPr="00F10F30">
        <w:rPr>
          <w:rFonts w:ascii="Times New Roman" w:hAnsi="Times New Roman" w:cs="Times New Roman"/>
          <w:i/>
          <w:lang w:val="en-GB"/>
        </w:rPr>
        <w:t xml:space="preserve"> </w:t>
      </w:r>
      <w:proofErr w:type="gramStart"/>
      <w:r w:rsidR="003C19EE" w:rsidRPr="00F10F30">
        <w:rPr>
          <w:rFonts w:ascii="Times New Roman" w:hAnsi="Times New Roman" w:cs="Times New Roman"/>
          <w:i/>
          <w:lang w:val="en-GB"/>
        </w:rPr>
        <w:t>Population, Space and Place</w:t>
      </w:r>
      <w:r w:rsidR="003C19EE" w:rsidRPr="00F10F30">
        <w:rPr>
          <w:rFonts w:ascii="Times New Roman" w:hAnsi="Times New Roman" w:cs="Times New Roman"/>
          <w:lang w:val="en-GB"/>
        </w:rPr>
        <w:t xml:space="preserve">, Vol. 17, </w:t>
      </w:r>
      <w:proofErr w:type="spellStart"/>
      <w:r w:rsidR="003C19EE" w:rsidRPr="00F10F30">
        <w:rPr>
          <w:rFonts w:ascii="Times New Roman" w:hAnsi="Times New Roman" w:cs="Times New Roman"/>
          <w:lang w:val="en-GB"/>
        </w:rPr>
        <w:t>Iss</w:t>
      </w:r>
      <w:proofErr w:type="spellEnd"/>
      <w:r w:rsidR="003C19EE" w:rsidRPr="00F10F30">
        <w:rPr>
          <w:rFonts w:ascii="Times New Roman" w:hAnsi="Times New Roman" w:cs="Times New Roman"/>
          <w:lang w:val="en-GB"/>
        </w:rPr>
        <w:t>.</w:t>
      </w:r>
      <w:proofErr w:type="gramEnd"/>
      <w:r w:rsidR="003C19EE" w:rsidRPr="00F10F30">
        <w:rPr>
          <w:rFonts w:ascii="Times New Roman" w:hAnsi="Times New Roman" w:cs="Times New Roman"/>
          <w:lang w:val="en-GB"/>
        </w:rPr>
        <w:t xml:space="preserve"> 5, 2009, p. 627–641</w:t>
      </w:r>
    </w:p>
    <w:p w:rsidR="00A46D3B" w:rsidRPr="00F10F30" w:rsidRDefault="003C19EE" w:rsidP="00F10F30">
      <w:pPr>
        <w:spacing w:after="0"/>
        <w:ind w:left="567" w:hanging="567"/>
        <w:rPr>
          <w:rFonts w:ascii="Times New Roman" w:hAnsi="Times New Roman" w:cs="Times New Roman"/>
          <w:lang w:val="en-GB"/>
        </w:rPr>
      </w:pPr>
      <w:r w:rsidRPr="00F10F30">
        <w:rPr>
          <w:rFonts w:ascii="Times New Roman" w:hAnsi="Times New Roman" w:cs="Times New Roman"/>
          <w:lang w:val="en-GB"/>
        </w:rPr>
        <w:lastRenderedPageBreak/>
        <w:t>Skifter Andersen H. (</w:t>
      </w:r>
      <w:r w:rsidR="00A46D3B" w:rsidRPr="00F10F30">
        <w:rPr>
          <w:rFonts w:ascii="Times New Roman" w:hAnsi="Times New Roman" w:cs="Times New Roman"/>
          <w:lang w:val="en-GB"/>
        </w:rPr>
        <w:t>2010</w:t>
      </w:r>
      <w:r w:rsidRPr="00F10F30">
        <w:rPr>
          <w:rFonts w:ascii="Times New Roman" w:hAnsi="Times New Roman" w:cs="Times New Roman"/>
          <w:i/>
          <w:lang w:val="en-GB"/>
        </w:rPr>
        <w:t xml:space="preserve">). </w:t>
      </w:r>
      <w:r w:rsidRPr="00F10F30">
        <w:rPr>
          <w:rFonts w:ascii="Times New Roman" w:hAnsi="Times New Roman" w:cs="Times New Roman"/>
          <w:i/>
        </w:rPr>
        <w:t>Når teltpælene rykkes op: Geografisk mobilitet i Danmark og dens årsager</w:t>
      </w:r>
      <w:r w:rsidRPr="00F10F30">
        <w:rPr>
          <w:rFonts w:ascii="Times New Roman" w:hAnsi="Times New Roman" w:cs="Times New Roman"/>
        </w:rPr>
        <w:t xml:space="preserve"> (</w:t>
      </w:r>
      <w:proofErr w:type="spellStart"/>
      <w:r w:rsidRPr="00F10F30">
        <w:rPr>
          <w:rFonts w:ascii="Times New Roman" w:hAnsi="Times New Roman" w:cs="Times New Roman"/>
        </w:rPr>
        <w:t>Geograhical</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mobility</w:t>
      </w:r>
      <w:proofErr w:type="spellEnd"/>
      <w:r w:rsidRPr="00F10F30">
        <w:rPr>
          <w:rFonts w:ascii="Times New Roman" w:hAnsi="Times New Roman" w:cs="Times New Roman"/>
        </w:rPr>
        <w:t xml:space="preserve"> in Denmark and </w:t>
      </w:r>
      <w:proofErr w:type="spellStart"/>
      <w:r w:rsidRPr="00F10F30">
        <w:rPr>
          <w:rFonts w:ascii="Times New Roman" w:hAnsi="Times New Roman" w:cs="Times New Roman"/>
        </w:rPr>
        <w:t>its</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causes</w:t>
      </w:r>
      <w:proofErr w:type="spellEnd"/>
      <w:r w:rsidRPr="00F10F30">
        <w:rPr>
          <w:rFonts w:ascii="Times New Roman" w:hAnsi="Times New Roman" w:cs="Times New Roman"/>
        </w:rPr>
        <w:t xml:space="preserve">). </w:t>
      </w:r>
      <w:r w:rsidRPr="00F10F30">
        <w:rPr>
          <w:rFonts w:ascii="Times New Roman" w:hAnsi="Times New Roman" w:cs="Times New Roman"/>
          <w:lang w:val="en-GB"/>
        </w:rPr>
        <w:t>Copenhagen: Danish Building Research Institute, Aalborg University.</w:t>
      </w:r>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Skovgård</w:t>
      </w:r>
      <w:proofErr w:type="spellEnd"/>
      <w:r w:rsidRPr="00F10F30">
        <w:rPr>
          <w:rFonts w:ascii="Times New Roman" w:hAnsi="Times New Roman" w:cs="Times New Roman"/>
          <w:lang w:val="en-GB"/>
        </w:rPr>
        <w:t xml:space="preserve"> Nielsen</w:t>
      </w:r>
      <w:r w:rsidR="003C19EE" w:rsidRPr="00F10F30">
        <w:rPr>
          <w:rFonts w:ascii="Times New Roman" w:hAnsi="Times New Roman" w:cs="Times New Roman"/>
          <w:lang w:val="en-GB"/>
        </w:rPr>
        <w:t xml:space="preserve"> R.</w:t>
      </w:r>
      <w:r w:rsidRPr="00F10F30">
        <w:rPr>
          <w:rFonts w:ascii="Times New Roman" w:hAnsi="Times New Roman" w:cs="Times New Roman"/>
          <w:lang w:val="en-GB"/>
        </w:rPr>
        <w:t xml:space="preserve"> </w:t>
      </w:r>
      <w:r w:rsidR="003C19EE" w:rsidRPr="00F10F30">
        <w:rPr>
          <w:rFonts w:ascii="Times New Roman" w:hAnsi="Times New Roman" w:cs="Times New Roman"/>
          <w:lang w:val="en-GB"/>
        </w:rPr>
        <w:t>(</w:t>
      </w:r>
      <w:r w:rsidRPr="00F10F30">
        <w:rPr>
          <w:rFonts w:ascii="Times New Roman" w:hAnsi="Times New Roman" w:cs="Times New Roman"/>
          <w:lang w:val="en-GB"/>
        </w:rPr>
        <w:t>2014</w:t>
      </w:r>
      <w:r w:rsidR="003C19EE" w:rsidRPr="00F10F30">
        <w:rPr>
          <w:rFonts w:ascii="Times New Roman" w:hAnsi="Times New Roman" w:cs="Times New Roman"/>
          <w:lang w:val="en-GB"/>
        </w:rPr>
        <w:t xml:space="preserve">). </w:t>
      </w:r>
      <w:proofErr w:type="gramStart"/>
      <w:r w:rsidR="003C19EE" w:rsidRPr="00F10F30">
        <w:rPr>
          <w:rFonts w:ascii="Times New Roman" w:hAnsi="Times New Roman" w:cs="Times New Roman"/>
          <w:lang w:val="en-GB"/>
        </w:rPr>
        <w:t>A change for the better</w:t>
      </w:r>
      <w:r w:rsidR="003C19EE" w:rsidRPr="00F10F30">
        <w:rPr>
          <w:rFonts w:ascii="Times New Roman" w:hAnsi="Times New Roman" w:cs="Times New Roman"/>
          <w:i/>
          <w:lang w:val="en-GB"/>
        </w:rPr>
        <w:t>.</w:t>
      </w:r>
      <w:proofErr w:type="gramEnd"/>
      <w:r w:rsidR="003C19EE" w:rsidRPr="00F10F30">
        <w:rPr>
          <w:rFonts w:ascii="Times New Roman" w:hAnsi="Times New Roman" w:cs="Times New Roman"/>
          <w:i/>
          <w:lang w:val="en-GB"/>
        </w:rPr>
        <w:t xml:space="preserve"> </w:t>
      </w:r>
      <w:proofErr w:type="gramStart"/>
      <w:r w:rsidR="003C19EE" w:rsidRPr="00F10F30">
        <w:rPr>
          <w:rFonts w:ascii="Times New Roman" w:hAnsi="Times New Roman" w:cs="Times New Roman"/>
          <w:i/>
          <w:lang w:val="en-GB"/>
        </w:rPr>
        <w:t>A life course analysis of the housing careers of Somalis and Turks in the Danish housing market.</w:t>
      </w:r>
      <w:proofErr w:type="gramEnd"/>
      <w:r w:rsidR="003C19EE" w:rsidRPr="00F10F30">
        <w:rPr>
          <w:rFonts w:ascii="Times New Roman" w:hAnsi="Times New Roman" w:cs="Times New Roman"/>
          <w:lang w:val="en-GB"/>
        </w:rPr>
        <w:t xml:space="preserve"> PhD </w:t>
      </w:r>
      <w:proofErr w:type="spellStart"/>
      <w:r w:rsidR="003C19EE" w:rsidRPr="00F10F30">
        <w:rPr>
          <w:rFonts w:ascii="Times New Roman" w:hAnsi="Times New Roman" w:cs="Times New Roman"/>
          <w:lang w:val="en-GB"/>
        </w:rPr>
        <w:t>dissertion</w:t>
      </w:r>
      <w:proofErr w:type="spellEnd"/>
      <w:r w:rsidR="003C19EE" w:rsidRPr="00F10F30">
        <w:rPr>
          <w:rFonts w:ascii="Times New Roman" w:hAnsi="Times New Roman" w:cs="Times New Roman"/>
          <w:lang w:val="en-GB"/>
        </w:rPr>
        <w:t>, Copenhagen: Danish Building Research Institute, Aalborg University.</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lang w:val="en-GB"/>
        </w:rPr>
        <w:t xml:space="preserve">Stockdale A. (2004) Rural Out-Migration: Community Consequences and Individual Migrant Experiences, </w:t>
      </w:r>
      <w:proofErr w:type="spellStart"/>
      <w:r w:rsidRPr="00F10F30">
        <w:rPr>
          <w:rFonts w:ascii="Times New Roman" w:hAnsi="Times New Roman" w:cs="Times New Roman"/>
          <w:i/>
          <w:lang w:val="en-GB"/>
        </w:rPr>
        <w:t>Sociologia</w:t>
      </w:r>
      <w:proofErr w:type="spellEnd"/>
      <w:r w:rsidRPr="00F10F30">
        <w:rPr>
          <w:rFonts w:ascii="Times New Roman" w:hAnsi="Times New Roman" w:cs="Times New Roman"/>
          <w:i/>
          <w:lang w:val="en-GB"/>
        </w:rPr>
        <w:t xml:space="preserve"> </w:t>
      </w:r>
      <w:proofErr w:type="spellStart"/>
      <w:r w:rsidRPr="00F10F30">
        <w:rPr>
          <w:rFonts w:ascii="Times New Roman" w:hAnsi="Times New Roman" w:cs="Times New Roman"/>
          <w:i/>
          <w:lang w:val="en-GB"/>
        </w:rPr>
        <w:t>Ruralis</w:t>
      </w:r>
      <w:proofErr w:type="spellEnd"/>
      <w:r w:rsidRPr="00F10F30">
        <w:rPr>
          <w:rFonts w:ascii="Times New Roman" w:hAnsi="Times New Roman" w:cs="Times New Roman"/>
          <w:lang w:val="en-GB"/>
        </w:rPr>
        <w:t>, Vol 44, Number 2, April 2004</w:t>
      </w:r>
    </w:p>
    <w:p w:rsidR="00A46D3B" w:rsidRPr="00F10F30" w:rsidRDefault="00A46D3B" w:rsidP="00F10F30">
      <w:pPr>
        <w:spacing w:after="0"/>
        <w:ind w:left="567" w:hanging="567"/>
        <w:rPr>
          <w:rFonts w:ascii="Times New Roman" w:hAnsi="Times New Roman" w:cs="Times New Roman"/>
        </w:rPr>
      </w:pPr>
      <w:r w:rsidRPr="00F10F30">
        <w:rPr>
          <w:rFonts w:ascii="Times New Roman" w:hAnsi="Times New Roman" w:cs="Times New Roman"/>
        </w:rPr>
        <w:t xml:space="preserve">Svensson B. (2006) Vinna </w:t>
      </w:r>
      <w:proofErr w:type="spellStart"/>
      <w:r w:rsidRPr="00F10F30">
        <w:rPr>
          <w:rFonts w:ascii="Times New Roman" w:hAnsi="Times New Roman" w:cs="Times New Roman"/>
        </w:rPr>
        <w:t>och</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försvinna</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Drivkrafter</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bakom</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ungdomars</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utflyttning</w:t>
      </w:r>
      <w:proofErr w:type="spellEnd"/>
      <w:r w:rsidRPr="00F10F30">
        <w:rPr>
          <w:rFonts w:ascii="Times New Roman" w:hAnsi="Times New Roman" w:cs="Times New Roman"/>
        </w:rPr>
        <w:t xml:space="preserve"> </w:t>
      </w:r>
      <w:proofErr w:type="spellStart"/>
      <w:r w:rsidRPr="00F10F30">
        <w:rPr>
          <w:rFonts w:ascii="Times New Roman" w:hAnsi="Times New Roman" w:cs="Times New Roman"/>
        </w:rPr>
        <w:t>från</w:t>
      </w:r>
      <w:proofErr w:type="spellEnd"/>
      <w:r w:rsidRPr="00F10F30">
        <w:rPr>
          <w:rFonts w:ascii="Times New Roman" w:hAnsi="Times New Roman" w:cs="Times New Roman"/>
        </w:rPr>
        <w:t xml:space="preserve"> mindre </w:t>
      </w:r>
      <w:proofErr w:type="spellStart"/>
      <w:r w:rsidRPr="00F10F30">
        <w:rPr>
          <w:rFonts w:ascii="Times New Roman" w:hAnsi="Times New Roman" w:cs="Times New Roman"/>
        </w:rPr>
        <w:t>orter</w:t>
      </w:r>
      <w:proofErr w:type="spellEnd"/>
      <w:r w:rsidRPr="00F10F30">
        <w:rPr>
          <w:rFonts w:ascii="Times New Roman" w:hAnsi="Times New Roman" w:cs="Times New Roman"/>
        </w:rPr>
        <w:t xml:space="preserve">. </w:t>
      </w:r>
      <w:r w:rsidRPr="00F10F30">
        <w:rPr>
          <w:rFonts w:ascii="Times New Roman" w:hAnsi="Times New Roman" w:cs="Times New Roman"/>
          <w:lang w:val="en-GB"/>
        </w:rPr>
        <w:t xml:space="preserve">Linköping Studies in Arts and Science No. 359 Linköping Studies in Education and Psychology No. 109. </w:t>
      </w:r>
      <w:r w:rsidRPr="00F10F30">
        <w:rPr>
          <w:rFonts w:ascii="Times New Roman" w:hAnsi="Times New Roman" w:cs="Times New Roman"/>
        </w:rPr>
        <w:t>Linköping 2006</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rPr>
        <w:t xml:space="preserve">Sørensen N. U., Olsen P. &amp; Pless M. (2014) </w:t>
      </w:r>
      <w:r w:rsidRPr="00F10F30">
        <w:rPr>
          <w:rFonts w:ascii="Times New Roman" w:hAnsi="Times New Roman" w:cs="Times New Roman"/>
          <w:i/>
        </w:rPr>
        <w:t>Unge i landdistrikter og yderområder</w:t>
      </w:r>
      <w:r w:rsidRPr="00F10F30">
        <w:rPr>
          <w:rFonts w:ascii="Times New Roman" w:hAnsi="Times New Roman" w:cs="Times New Roman"/>
        </w:rPr>
        <w:t xml:space="preserve">.  </w:t>
      </w:r>
      <w:proofErr w:type="spellStart"/>
      <w:r w:rsidRPr="00F10F30">
        <w:rPr>
          <w:rFonts w:ascii="Times New Roman" w:hAnsi="Times New Roman" w:cs="Times New Roman"/>
          <w:lang w:val="en-GB"/>
        </w:rPr>
        <w:t>Center</w:t>
      </w:r>
      <w:proofErr w:type="spellEnd"/>
      <w:r w:rsidRPr="00F10F30">
        <w:rPr>
          <w:rFonts w:ascii="Times New Roman" w:hAnsi="Times New Roman" w:cs="Times New Roman"/>
          <w:lang w:val="en-GB"/>
        </w:rPr>
        <w:t xml:space="preserve"> for </w:t>
      </w:r>
      <w:proofErr w:type="spellStart"/>
      <w:r w:rsidRPr="00F10F30">
        <w:rPr>
          <w:rFonts w:ascii="Times New Roman" w:hAnsi="Times New Roman" w:cs="Times New Roman"/>
          <w:lang w:val="en-GB"/>
        </w:rPr>
        <w:t>Ungdomsforskning</w:t>
      </w:r>
      <w:proofErr w:type="spellEnd"/>
    </w:p>
    <w:p w:rsidR="00A46D3B" w:rsidRPr="00F10F30" w:rsidRDefault="00A46D3B" w:rsidP="00F10F30">
      <w:pPr>
        <w:spacing w:after="0"/>
        <w:ind w:left="567" w:hanging="567"/>
        <w:rPr>
          <w:rFonts w:ascii="Times New Roman" w:hAnsi="Times New Roman" w:cs="Times New Roman"/>
          <w:lang w:val="en-GB"/>
        </w:rPr>
      </w:pPr>
      <w:proofErr w:type="spellStart"/>
      <w:r w:rsidRPr="00F10F30">
        <w:rPr>
          <w:rFonts w:ascii="Times New Roman" w:hAnsi="Times New Roman" w:cs="Times New Roman"/>
          <w:lang w:val="en-GB"/>
        </w:rPr>
        <w:t>Thissen</w:t>
      </w:r>
      <w:proofErr w:type="spellEnd"/>
      <w:r w:rsidRPr="00F10F30">
        <w:rPr>
          <w:rFonts w:ascii="Times New Roman" w:hAnsi="Times New Roman" w:cs="Times New Roman"/>
          <w:lang w:val="en-GB"/>
        </w:rPr>
        <w:t xml:space="preserve"> F. , </w:t>
      </w:r>
      <w:proofErr w:type="spellStart"/>
      <w:r w:rsidRPr="00F10F30">
        <w:rPr>
          <w:rFonts w:ascii="Times New Roman" w:hAnsi="Times New Roman" w:cs="Times New Roman"/>
          <w:lang w:val="en-GB"/>
        </w:rPr>
        <w:t>Fortuijn</w:t>
      </w:r>
      <w:proofErr w:type="spellEnd"/>
      <w:r w:rsidRPr="00F10F30">
        <w:rPr>
          <w:rFonts w:ascii="Times New Roman" w:hAnsi="Times New Roman" w:cs="Times New Roman"/>
          <w:lang w:val="en-GB"/>
        </w:rPr>
        <w:t xml:space="preserve"> J. D., </w:t>
      </w:r>
      <w:proofErr w:type="spellStart"/>
      <w:r w:rsidRPr="00F10F30">
        <w:rPr>
          <w:rFonts w:ascii="Times New Roman" w:hAnsi="Times New Roman" w:cs="Times New Roman"/>
          <w:lang w:val="en-GB"/>
        </w:rPr>
        <w:t>Strijker</w:t>
      </w:r>
      <w:proofErr w:type="spellEnd"/>
      <w:r w:rsidRPr="00F10F30">
        <w:rPr>
          <w:rFonts w:ascii="Times New Roman" w:hAnsi="Times New Roman" w:cs="Times New Roman"/>
          <w:lang w:val="en-GB"/>
        </w:rPr>
        <w:t xml:space="preserve"> D. &amp; </w:t>
      </w:r>
      <w:proofErr w:type="spellStart"/>
      <w:r w:rsidRPr="00F10F30">
        <w:rPr>
          <w:rFonts w:ascii="Times New Roman" w:hAnsi="Times New Roman" w:cs="Times New Roman"/>
          <w:lang w:val="en-GB"/>
        </w:rPr>
        <w:t>Haartsen</w:t>
      </w:r>
      <w:proofErr w:type="spellEnd"/>
      <w:r w:rsidRPr="00F10F30">
        <w:rPr>
          <w:rFonts w:ascii="Times New Roman" w:hAnsi="Times New Roman" w:cs="Times New Roman"/>
          <w:lang w:val="en-GB"/>
        </w:rPr>
        <w:t xml:space="preserve"> T. (2010) Migration intentions of rural youth in the </w:t>
      </w:r>
      <w:proofErr w:type="spellStart"/>
      <w:r w:rsidRPr="00F10F30">
        <w:rPr>
          <w:rFonts w:ascii="Times New Roman" w:hAnsi="Times New Roman" w:cs="Times New Roman"/>
          <w:lang w:val="en-GB"/>
        </w:rPr>
        <w:t>Westhoek</w:t>
      </w:r>
      <w:proofErr w:type="spellEnd"/>
      <w:r w:rsidRPr="00F10F30">
        <w:rPr>
          <w:rFonts w:ascii="Times New Roman" w:hAnsi="Times New Roman" w:cs="Times New Roman"/>
          <w:lang w:val="en-GB"/>
        </w:rPr>
        <w:t xml:space="preserve">, Flanders, Belgium and the </w:t>
      </w:r>
      <w:proofErr w:type="spellStart"/>
      <w:r w:rsidRPr="00F10F30">
        <w:rPr>
          <w:rFonts w:ascii="Times New Roman" w:hAnsi="Times New Roman" w:cs="Times New Roman"/>
          <w:lang w:val="en-GB"/>
        </w:rPr>
        <w:t>Veenkoloniën</w:t>
      </w:r>
      <w:proofErr w:type="spellEnd"/>
      <w:r w:rsidRPr="00F10F30">
        <w:rPr>
          <w:rFonts w:ascii="Times New Roman" w:hAnsi="Times New Roman" w:cs="Times New Roman"/>
          <w:lang w:val="en-GB"/>
        </w:rPr>
        <w:t xml:space="preserve">, </w:t>
      </w:r>
      <w:r w:rsidRPr="00F10F30">
        <w:rPr>
          <w:rFonts w:ascii="Times New Roman" w:hAnsi="Times New Roman" w:cs="Times New Roman"/>
          <w:i/>
          <w:lang w:val="en-GB"/>
        </w:rPr>
        <w:t>The Netherlands Journal of Rural Studies</w:t>
      </w:r>
      <w:r w:rsidRPr="00F10F30">
        <w:rPr>
          <w:rFonts w:ascii="Times New Roman" w:hAnsi="Times New Roman" w:cs="Times New Roman"/>
          <w:lang w:val="en-GB"/>
        </w:rPr>
        <w:t xml:space="preserve"> 26 (2010) .</w:t>
      </w:r>
    </w:p>
    <w:p w:rsidR="00A46D3B" w:rsidRPr="00F10F30" w:rsidRDefault="00A46D3B" w:rsidP="00F10F30">
      <w:pPr>
        <w:spacing w:after="0"/>
        <w:ind w:left="567" w:hanging="567"/>
        <w:rPr>
          <w:rFonts w:ascii="Times New Roman" w:hAnsi="Times New Roman" w:cs="Times New Roman"/>
          <w:lang w:val="en-GB"/>
        </w:rPr>
      </w:pPr>
      <w:proofErr w:type="spellStart"/>
      <w:proofErr w:type="gramStart"/>
      <w:r w:rsidRPr="00F10F30">
        <w:rPr>
          <w:rFonts w:ascii="Times New Roman" w:hAnsi="Times New Roman" w:cs="Times New Roman"/>
          <w:lang w:val="en-GB"/>
        </w:rPr>
        <w:t>Wiborg</w:t>
      </w:r>
      <w:proofErr w:type="spellEnd"/>
      <w:r w:rsidRPr="00F10F30">
        <w:rPr>
          <w:rFonts w:ascii="Times New Roman" w:hAnsi="Times New Roman" w:cs="Times New Roman"/>
          <w:lang w:val="en-GB"/>
        </w:rPr>
        <w:t xml:space="preserve">  A</w:t>
      </w:r>
      <w:proofErr w:type="gramEnd"/>
      <w:r w:rsidRPr="00F10F30">
        <w:rPr>
          <w:rFonts w:ascii="Times New Roman" w:hAnsi="Times New Roman" w:cs="Times New Roman"/>
          <w:lang w:val="en-GB"/>
        </w:rPr>
        <w:t xml:space="preserve">. (2004) Place, Nature and </w:t>
      </w:r>
      <w:proofErr w:type="spellStart"/>
      <w:r w:rsidRPr="00F10F30">
        <w:rPr>
          <w:rFonts w:ascii="Times New Roman" w:hAnsi="Times New Roman" w:cs="Times New Roman"/>
          <w:lang w:val="en-GB"/>
        </w:rPr>
        <w:t>Migration:Students</w:t>
      </w:r>
      <w:proofErr w:type="spellEnd"/>
      <w:r w:rsidRPr="00F10F30">
        <w:rPr>
          <w:rFonts w:ascii="Times New Roman" w:hAnsi="Times New Roman" w:cs="Times New Roman"/>
          <w:lang w:val="en-GB"/>
        </w:rPr>
        <w:t xml:space="preserve">’ Attachment to their Rural Home Places, </w:t>
      </w:r>
      <w:proofErr w:type="spellStart"/>
      <w:r w:rsidRPr="00F10F30">
        <w:rPr>
          <w:rFonts w:ascii="Times New Roman" w:hAnsi="Times New Roman" w:cs="Times New Roman"/>
          <w:i/>
          <w:lang w:val="en-GB"/>
        </w:rPr>
        <w:t>Sociologia</w:t>
      </w:r>
      <w:proofErr w:type="spellEnd"/>
      <w:r w:rsidRPr="00F10F30">
        <w:rPr>
          <w:rFonts w:ascii="Times New Roman" w:hAnsi="Times New Roman" w:cs="Times New Roman"/>
          <w:i/>
          <w:lang w:val="en-GB"/>
        </w:rPr>
        <w:t xml:space="preserve"> </w:t>
      </w:r>
      <w:proofErr w:type="spellStart"/>
      <w:r w:rsidRPr="00F10F30">
        <w:rPr>
          <w:rFonts w:ascii="Times New Roman" w:hAnsi="Times New Roman" w:cs="Times New Roman"/>
          <w:i/>
          <w:lang w:val="en-GB"/>
        </w:rPr>
        <w:t>Ruralis</w:t>
      </w:r>
      <w:proofErr w:type="spellEnd"/>
      <w:r w:rsidRPr="00F10F30">
        <w:rPr>
          <w:rFonts w:ascii="Times New Roman" w:hAnsi="Times New Roman" w:cs="Times New Roman"/>
          <w:lang w:val="en-GB"/>
        </w:rPr>
        <w:t>, Vol 44, Number 4, October 2004</w:t>
      </w:r>
    </w:p>
    <w:p w:rsidR="00A46D3B" w:rsidRPr="00F10F30" w:rsidRDefault="00A46D3B" w:rsidP="00F10F30">
      <w:pPr>
        <w:spacing w:after="0"/>
        <w:ind w:left="567" w:hanging="567"/>
        <w:rPr>
          <w:rFonts w:ascii="Times New Roman" w:hAnsi="Times New Roman" w:cs="Times New Roman"/>
          <w:lang w:val="en-GB"/>
        </w:rPr>
      </w:pPr>
      <w:r w:rsidRPr="00F10F30">
        <w:rPr>
          <w:rFonts w:ascii="Times New Roman" w:hAnsi="Times New Roman" w:cs="Times New Roman"/>
        </w:rPr>
        <w:t xml:space="preserve">Ærø </w:t>
      </w:r>
      <w:r w:rsidR="003C19EE" w:rsidRPr="00F10F30">
        <w:rPr>
          <w:rFonts w:ascii="Times New Roman" w:hAnsi="Times New Roman" w:cs="Times New Roman"/>
        </w:rPr>
        <w:t>T., Skifter Andersen H. and Suenson V.</w:t>
      </w:r>
      <w:r w:rsidRPr="00F10F30">
        <w:rPr>
          <w:rFonts w:ascii="Times New Roman" w:hAnsi="Times New Roman" w:cs="Times New Roman"/>
        </w:rPr>
        <w:t xml:space="preserve"> </w:t>
      </w:r>
      <w:r w:rsidR="003C19EE" w:rsidRPr="00F10F30">
        <w:rPr>
          <w:rFonts w:ascii="Times New Roman" w:hAnsi="Times New Roman" w:cs="Times New Roman"/>
        </w:rPr>
        <w:t>(</w:t>
      </w:r>
      <w:r w:rsidRPr="00F10F30">
        <w:rPr>
          <w:rFonts w:ascii="Times New Roman" w:hAnsi="Times New Roman" w:cs="Times New Roman"/>
        </w:rPr>
        <w:t>2005</w:t>
      </w:r>
      <w:r w:rsidR="003C19EE" w:rsidRPr="00F10F30">
        <w:rPr>
          <w:rFonts w:ascii="Times New Roman" w:hAnsi="Times New Roman" w:cs="Times New Roman"/>
        </w:rPr>
        <w:t xml:space="preserve">) </w:t>
      </w:r>
      <w:r w:rsidR="003C19EE" w:rsidRPr="00F10F30">
        <w:rPr>
          <w:rFonts w:ascii="Times New Roman" w:hAnsi="Times New Roman" w:cs="Times New Roman"/>
          <w:i/>
        </w:rPr>
        <w:t>Bosætning i yderområder</w:t>
      </w:r>
      <w:r w:rsidR="003C19EE" w:rsidRPr="00F10F30">
        <w:rPr>
          <w:rFonts w:ascii="Times New Roman" w:hAnsi="Times New Roman" w:cs="Times New Roman"/>
        </w:rPr>
        <w:t xml:space="preserve"> (Settlement in </w:t>
      </w:r>
      <w:proofErr w:type="spellStart"/>
      <w:r w:rsidR="003C19EE" w:rsidRPr="00F10F30">
        <w:rPr>
          <w:rFonts w:ascii="Times New Roman" w:hAnsi="Times New Roman" w:cs="Times New Roman"/>
        </w:rPr>
        <w:t>fringe</w:t>
      </w:r>
      <w:proofErr w:type="spellEnd"/>
      <w:r w:rsidR="003C19EE" w:rsidRPr="00F10F30">
        <w:rPr>
          <w:rFonts w:ascii="Times New Roman" w:hAnsi="Times New Roman" w:cs="Times New Roman"/>
        </w:rPr>
        <w:t xml:space="preserve"> </w:t>
      </w:r>
      <w:proofErr w:type="spellStart"/>
      <w:r w:rsidR="003C19EE" w:rsidRPr="00F10F30">
        <w:rPr>
          <w:rFonts w:ascii="Times New Roman" w:hAnsi="Times New Roman" w:cs="Times New Roman"/>
        </w:rPr>
        <w:t>areas</w:t>
      </w:r>
      <w:proofErr w:type="spellEnd"/>
      <w:r w:rsidR="003C19EE" w:rsidRPr="00F10F30">
        <w:rPr>
          <w:rFonts w:ascii="Times New Roman" w:hAnsi="Times New Roman" w:cs="Times New Roman"/>
        </w:rPr>
        <w:t xml:space="preserve">). </w:t>
      </w:r>
      <w:r w:rsidR="003C19EE" w:rsidRPr="00F10F30">
        <w:rPr>
          <w:rFonts w:ascii="Times New Roman" w:hAnsi="Times New Roman" w:cs="Times New Roman"/>
          <w:lang w:val="en-GB"/>
        </w:rPr>
        <w:t>Copenhagen: Danish Building Research Institute, Aalborg University.</w:t>
      </w:r>
    </w:p>
    <w:p w:rsidR="00A46D3B" w:rsidRPr="00F10F30" w:rsidRDefault="00A46D3B" w:rsidP="00F10F30">
      <w:pPr>
        <w:spacing w:after="0"/>
        <w:ind w:left="567" w:hanging="567"/>
        <w:rPr>
          <w:rFonts w:ascii="Times New Roman" w:hAnsi="Times New Roman" w:cs="Times New Roman"/>
          <w:b/>
          <w:lang w:val="en-GB"/>
        </w:rPr>
      </w:pPr>
    </w:p>
    <w:p w:rsidR="00F32C2B" w:rsidRPr="00F10F30" w:rsidRDefault="00F32C2B" w:rsidP="00F10F30">
      <w:pPr>
        <w:spacing w:after="0"/>
        <w:ind w:left="567" w:hanging="567"/>
        <w:rPr>
          <w:rFonts w:ascii="Times New Roman" w:hAnsi="Times New Roman" w:cs="Times New Roman"/>
          <w:lang w:val="en-GB"/>
        </w:rPr>
      </w:pPr>
    </w:p>
    <w:sectPr w:rsidR="00F32C2B" w:rsidRPr="00F10F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D1E"/>
    <w:multiLevelType w:val="hybridMultilevel"/>
    <w:tmpl w:val="50645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8FA5265"/>
    <w:multiLevelType w:val="hybridMultilevel"/>
    <w:tmpl w:val="6E3A1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D556C88"/>
    <w:multiLevelType w:val="hybridMultilevel"/>
    <w:tmpl w:val="B358D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FAE0C8A"/>
    <w:multiLevelType w:val="hybridMultilevel"/>
    <w:tmpl w:val="61649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2B"/>
    <w:rsid w:val="00011971"/>
    <w:rsid w:val="000246F5"/>
    <w:rsid w:val="00041A80"/>
    <w:rsid w:val="00071D19"/>
    <w:rsid w:val="000D5E57"/>
    <w:rsid w:val="000F4F8C"/>
    <w:rsid w:val="001D7966"/>
    <w:rsid w:val="00206D63"/>
    <w:rsid w:val="00245449"/>
    <w:rsid w:val="002B2DB8"/>
    <w:rsid w:val="002F25D2"/>
    <w:rsid w:val="0033570F"/>
    <w:rsid w:val="003819BE"/>
    <w:rsid w:val="00383E7E"/>
    <w:rsid w:val="003B225E"/>
    <w:rsid w:val="003C19EE"/>
    <w:rsid w:val="003E3C79"/>
    <w:rsid w:val="004371F1"/>
    <w:rsid w:val="004A2B37"/>
    <w:rsid w:val="004C1F10"/>
    <w:rsid w:val="004C7DA6"/>
    <w:rsid w:val="00561EC6"/>
    <w:rsid w:val="005A0D84"/>
    <w:rsid w:val="00632B24"/>
    <w:rsid w:val="006453FE"/>
    <w:rsid w:val="00676352"/>
    <w:rsid w:val="00687470"/>
    <w:rsid w:val="006A072F"/>
    <w:rsid w:val="006A29FB"/>
    <w:rsid w:val="006C1894"/>
    <w:rsid w:val="006E6245"/>
    <w:rsid w:val="006F3732"/>
    <w:rsid w:val="006F45B7"/>
    <w:rsid w:val="00707A4B"/>
    <w:rsid w:val="00781353"/>
    <w:rsid w:val="007C7B3C"/>
    <w:rsid w:val="00825D81"/>
    <w:rsid w:val="00857078"/>
    <w:rsid w:val="008633D6"/>
    <w:rsid w:val="00872086"/>
    <w:rsid w:val="008840B4"/>
    <w:rsid w:val="008F3AB6"/>
    <w:rsid w:val="00905764"/>
    <w:rsid w:val="009058E9"/>
    <w:rsid w:val="0097418E"/>
    <w:rsid w:val="00987BAD"/>
    <w:rsid w:val="00990C89"/>
    <w:rsid w:val="009C7124"/>
    <w:rsid w:val="00A46D3B"/>
    <w:rsid w:val="00A60BF7"/>
    <w:rsid w:val="00AA46D0"/>
    <w:rsid w:val="00AB54A4"/>
    <w:rsid w:val="00AD0ACC"/>
    <w:rsid w:val="00AD67CC"/>
    <w:rsid w:val="00BA5833"/>
    <w:rsid w:val="00BC5B6F"/>
    <w:rsid w:val="00BD7CB4"/>
    <w:rsid w:val="00C12CA9"/>
    <w:rsid w:val="00C56A52"/>
    <w:rsid w:val="00C63750"/>
    <w:rsid w:val="00C869EC"/>
    <w:rsid w:val="00C878AA"/>
    <w:rsid w:val="00C928D3"/>
    <w:rsid w:val="00CE778F"/>
    <w:rsid w:val="00DC13A2"/>
    <w:rsid w:val="00E14B00"/>
    <w:rsid w:val="00E17172"/>
    <w:rsid w:val="00E42826"/>
    <w:rsid w:val="00E64A56"/>
    <w:rsid w:val="00E6506C"/>
    <w:rsid w:val="00E730C1"/>
    <w:rsid w:val="00E80F55"/>
    <w:rsid w:val="00ED7869"/>
    <w:rsid w:val="00EF1805"/>
    <w:rsid w:val="00EF67A3"/>
    <w:rsid w:val="00F0409C"/>
    <w:rsid w:val="00F10F30"/>
    <w:rsid w:val="00F22727"/>
    <w:rsid w:val="00F2424A"/>
    <w:rsid w:val="00F271A1"/>
    <w:rsid w:val="00F32C2B"/>
    <w:rsid w:val="00F35BB5"/>
    <w:rsid w:val="00F8096E"/>
    <w:rsid w:val="00FF0DDC"/>
    <w:rsid w:val="00FF7D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32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32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32C2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32C2B"/>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5833"/>
    <w:pPr>
      <w:ind w:left="720"/>
      <w:contextualSpacing/>
    </w:pPr>
  </w:style>
  <w:style w:type="paragraph" w:styleId="Markeringsbobletekst">
    <w:name w:val="Balloon Text"/>
    <w:basedOn w:val="Normal"/>
    <w:link w:val="MarkeringsbobletekstTegn"/>
    <w:uiPriority w:val="99"/>
    <w:semiHidden/>
    <w:unhideWhenUsed/>
    <w:rsid w:val="008570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7078"/>
    <w:rPr>
      <w:rFonts w:ascii="Tahoma" w:hAnsi="Tahoma" w:cs="Tahoma"/>
      <w:sz w:val="16"/>
      <w:szCs w:val="16"/>
    </w:rPr>
  </w:style>
  <w:style w:type="paragraph" w:styleId="Billedtekst">
    <w:name w:val="caption"/>
    <w:basedOn w:val="Normal"/>
    <w:next w:val="Normal"/>
    <w:unhideWhenUsed/>
    <w:qFormat/>
    <w:rsid w:val="004A2B37"/>
    <w:pPr>
      <w:spacing w:line="240" w:lineRule="auto"/>
    </w:pPr>
    <w:rPr>
      <w:b/>
      <w:bCs/>
      <w:color w:val="4F81BD" w:themeColor="accent1"/>
      <w:sz w:val="18"/>
      <w:szCs w:val="18"/>
    </w:rPr>
  </w:style>
  <w:style w:type="character" w:styleId="Hyperlink">
    <w:name w:val="Hyperlink"/>
    <w:basedOn w:val="Standardskrifttypeiafsnit"/>
    <w:uiPriority w:val="99"/>
    <w:unhideWhenUsed/>
    <w:rsid w:val="00A46D3B"/>
    <w:rPr>
      <w:strike w:val="0"/>
      <w:dstrike w:val="0"/>
      <w:color w:val="316C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32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32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32C2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32C2B"/>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A5833"/>
    <w:pPr>
      <w:ind w:left="720"/>
      <w:contextualSpacing/>
    </w:pPr>
  </w:style>
  <w:style w:type="paragraph" w:styleId="Markeringsbobletekst">
    <w:name w:val="Balloon Text"/>
    <w:basedOn w:val="Normal"/>
    <w:link w:val="MarkeringsbobletekstTegn"/>
    <w:uiPriority w:val="99"/>
    <w:semiHidden/>
    <w:unhideWhenUsed/>
    <w:rsid w:val="008570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7078"/>
    <w:rPr>
      <w:rFonts w:ascii="Tahoma" w:hAnsi="Tahoma" w:cs="Tahoma"/>
      <w:sz w:val="16"/>
      <w:szCs w:val="16"/>
    </w:rPr>
  </w:style>
  <w:style w:type="paragraph" w:styleId="Billedtekst">
    <w:name w:val="caption"/>
    <w:basedOn w:val="Normal"/>
    <w:next w:val="Normal"/>
    <w:unhideWhenUsed/>
    <w:qFormat/>
    <w:rsid w:val="004A2B37"/>
    <w:pPr>
      <w:spacing w:line="240" w:lineRule="auto"/>
    </w:pPr>
    <w:rPr>
      <w:b/>
      <w:bCs/>
      <w:color w:val="4F81BD" w:themeColor="accent1"/>
      <w:sz w:val="18"/>
      <w:szCs w:val="18"/>
    </w:rPr>
  </w:style>
  <w:style w:type="character" w:styleId="Hyperlink">
    <w:name w:val="Hyperlink"/>
    <w:basedOn w:val="Standardskrifttypeiafsnit"/>
    <w:uiPriority w:val="99"/>
    <w:unhideWhenUsed/>
    <w:rsid w:val="00A46D3B"/>
    <w:rPr>
      <w:strike w:val="0"/>
      <w:dstrike w:val="0"/>
      <w:color w:val="316C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366">
      <w:bodyDiv w:val="1"/>
      <w:marLeft w:val="0"/>
      <w:marRight w:val="0"/>
      <w:marTop w:val="0"/>
      <w:marBottom w:val="0"/>
      <w:divBdr>
        <w:top w:val="none" w:sz="0" w:space="0" w:color="auto"/>
        <w:left w:val="none" w:sz="0" w:space="0" w:color="auto"/>
        <w:bottom w:val="none" w:sz="0" w:space="0" w:color="auto"/>
        <w:right w:val="none" w:sz="0" w:space="0" w:color="auto"/>
      </w:divBdr>
    </w:div>
    <w:div w:id="945848044">
      <w:bodyDiv w:val="1"/>
      <w:marLeft w:val="0"/>
      <w:marRight w:val="0"/>
      <w:marTop w:val="0"/>
      <w:marBottom w:val="0"/>
      <w:divBdr>
        <w:top w:val="none" w:sz="0" w:space="0" w:color="auto"/>
        <w:left w:val="none" w:sz="0" w:space="0" w:color="auto"/>
        <w:bottom w:val="none" w:sz="0" w:space="0" w:color="auto"/>
        <w:right w:val="none" w:sz="0" w:space="0" w:color="auto"/>
      </w:divBdr>
    </w:div>
    <w:div w:id="1164399733">
      <w:bodyDiv w:val="1"/>
      <w:marLeft w:val="0"/>
      <w:marRight w:val="0"/>
      <w:marTop w:val="0"/>
      <w:marBottom w:val="0"/>
      <w:divBdr>
        <w:top w:val="none" w:sz="0" w:space="0" w:color="auto"/>
        <w:left w:val="none" w:sz="0" w:space="0" w:color="auto"/>
        <w:bottom w:val="none" w:sz="0" w:space="0" w:color="auto"/>
        <w:right w:val="none" w:sz="0" w:space="0" w:color="auto"/>
      </w:divBdr>
    </w:div>
    <w:div w:id="1375083916">
      <w:bodyDiv w:val="1"/>
      <w:marLeft w:val="0"/>
      <w:marRight w:val="0"/>
      <w:marTop w:val="0"/>
      <w:marBottom w:val="0"/>
      <w:divBdr>
        <w:top w:val="none" w:sz="0" w:space="0" w:color="auto"/>
        <w:left w:val="none" w:sz="0" w:space="0" w:color="auto"/>
        <w:bottom w:val="none" w:sz="0" w:space="0" w:color="auto"/>
        <w:right w:val="none" w:sz="0" w:space="0" w:color="auto"/>
      </w:divBdr>
    </w:div>
    <w:div w:id="1516767941">
      <w:bodyDiv w:val="1"/>
      <w:marLeft w:val="0"/>
      <w:marRight w:val="0"/>
      <w:marTop w:val="0"/>
      <w:marBottom w:val="0"/>
      <w:divBdr>
        <w:top w:val="none" w:sz="0" w:space="0" w:color="auto"/>
        <w:left w:val="none" w:sz="0" w:space="0" w:color="auto"/>
        <w:bottom w:val="none" w:sz="0" w:space="0" w:color="auto"/>
        <w:right w:val="none" w:sz="0" w:space="0" w:color="auto"/>
      </w:divBdr>
    </w:div>
    <w:div w:id="16022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s@sbi.aau.dk" TargetMode="External"/><Relationship Id="rId12" Type="http://schemas.openxmlformats.org/officeDocument/2006/relationships/chart" Target="charts/chart4.xml"/><Relationship Id="rId17" Type="http://schemas.openxmlformats.org/officeDocument/2006/relationships/hyperlink" Target="http://www.demogr.mpg.de/papers/workshops/000906_paper09.pdf" TargetMode="External"/><Relationship Id="rId2" Type="http://schemas.openxmlformats.org/officeDocument/2006/relationships/numbering" Target="numbering.xml"/><Relationship Id="rId16" Type="http://schemas.openxmlformats.org/officeDocument/2006/relationships/hyperlink" Target="http://www.sciencedirect.com.zorac.aub.aau.dk/science/journal/0049089X/3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sciencedirect.com.zorac.aub.aau.dk/science/journal/0049089X"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ciencedirect.com.zorac.aub.aau.dk/science/article/pii/S0049089X0200007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BI.AAU.DK\Users\hsa\Documents\artikler\ENHR%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BI.AAU.DK\Users\hsa\Documents\artikler\ENHR%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BI.AAU.DK\Users\hsa\Documents\artikler\ENHR%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BI.AAU.DK\Users\hsa\Documents\artikler\ENHR%201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BI.AAU.DK\Users\hsa\Documents\artikler\ENHR%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Population growth 1990-2013  (%) and deviation from country average</a:t>
            </a:r>
          </a:p>
        </c:rich>
      </c:tx>
      <c:layout>
        <c:manualLayout>
          <c:xMode val="edge"/>
          <c:yMode val="edge"/>
          <c:x val="8.2451443569553792E-2"/>
          <c:y val="7.1206042533555848E-3"/>
        </c:manualLayout>
      </c:layout>
      <c:overlay val="0"/>
    </c:title>
    <c:autoTitleDeleted val="0"/>
    <c:plotArea>
      <c:layout>
        <c:manualLayout>
          <c:layoutTarget val="inner"/>
          <c:xMode val="edge"/>
          <c:yMode val="edge"/>
          <c:x val="8.0488407699037617E-2"/>
          <c:y val="0.19269101448447684"/>
          <c:w val="0.54862160979877517"/>
          <c:h val="0.63316188490944525"/>
        </c:manualLayout>
      </c:layout>
      <c:barChart>
        <c:barDir val="col"/>
        <c:grouping val="clustered"/>
        <c:varyColors val="0"/>
        <c:ser>
          <c:idx val="0"/>
          <c:order val="0"/>
          <c:tx>
            <c:strRef>
              <c:f>'Ark1'!$A$34</c:f>
              <c:strCache>
                <c:ptCount val="1"/>
                <c:pt idx="0">
                  <c:v>Copenhagen area</c:v>
                </c:pt>
              </c:strCache>
            </c:strRef>
          </c:tx>
          <c:invertIfNegative val="0"/>
          <c:cat>
            <c:strRef>
              <c:f>'Ark1'!$B$33:$C$33</c:f>
              <c:strCache>
                <c:ptCount val="2"/>
                <c:pt idx="0">
                  <c:v>Population growht</c:v>
                </c:pt>
                <c:pt idx="1">
                  <c:v>Deviation from average</c:v>
                </c:pt>
              </c:strCache>
            </c:strRef>
          </c:cat>
          <c:val>
            <c:numRef>
              <c:f>'Ark1'!$B$34:$C$34</c:f>
              <c:numCache>
                <c:formatCode>0</c:formatCode>
                <c:ptCount val="2"/>
                <c:pt idx="0">
                  <c:v>12.033402091403644</c:v>
                </c:pt>
                <c:pt idx="1">
                  <c:v>3.3020491093907811</c:v>
                </c:pt>
              </c:numCache>
            </c:numRef>
          </c:val>
        </c:ser>
        <c:ser>
          <c:idx val="1"/>
          <c:order val="1"/>
          <c:tx>
            <c:strRef>
              <c:f>'Ark1'!$A$35</c:f>
              <c:strCache>
                <c:ptCount val="1"/>
                <c:pt idx="0">
                  <c:v>Other growth areas</c:v>
                </c:pt>
              </c:strCache>
            </c:strRef>
          </c:tx>
          <c:spPr>
            <a:solidFill>
              <a:schemeClr val="accent1">
                <a:lumMod val="20000"/>
                <a:lumOff val="80000"/>
              </a:schemeClr>
            </a:solidFill>
            <a:ln>
              <a:solidFill>
                <a:schemeClr val="tx2">
                  <a:lumMod val="20000"/>
                  <a:lumOff val="80000"/>
                </a:schemeClr>
              </a:solidFill>
            </a:ln>
          </c:spPr>
          <c:invertIfNegative val="0"/>
          <c:cat>
            <c:strRef>
              <c:f>'Ark1'!$B$33:$C$33</c:f>
              <c:strCache>
                <c:ptCount val="2"/>
                <c:pt idx="0">
                  <c:v>Population growht</c:v>
                </c:pt>
                <c:pt idx="1">
                  <c:v>Deviation from average</c:v>
                </c:pt>
              </c:strCache>
            </c:strRef>
          </c:cat>
          <c:val>
            <c:numRef>
              <c:f>'Ark1'!$B$35:$C$35</c:f>
              <c:numCache>
                <c:formatCode>0</c:formatCode>
                <c:ptCount val="2"/>
                <c:pt idx="0">
                  <c:v>13.340860448409009</c:v>
                </c:pt>
                <c:pt idx="1">
                  <c:v>4.6095074663961455</c:v>
                </c:pt>
              </c:numCache>
            </c:numRef>
          </c:val>
        </c:ser>
        <c:ser>
          <c:idx val="2"/>
          <c:order val="2"/>
          <c:tx>
            <c:strRef>
              <c:f>'Ark1'!$A$36</c:f>
              <c:strCache>
                <c:ptCount val="1"/>
                <c:pt idx="0">
                  <c:v>Medium areas</c:v>
                </c:pt>
              </c:strCache>
            </c:strRef>
          </c:tx>
          <c:spPr>
            <a:solidFill>
              <a:srgbClr val="FFFF00"/>
            </a:solidFill>
          </c:spPr>
          <c:invertIfNegative val="0"/>
          <c:cat>
            <c:strRef>
              <c:f>'Ark1'!$B$33:$C$33</c:f>
              <c:strCache>
                <c:ptCount val="2"/>
                <c:pt idx="0">
                  <c:v>Population growht</c:v>
                </c:pt>
                <c:pt idx="1">
                  <c:v>Deviation from average</c:v>
                </c:pt>
              </c:strCache>
            </c:strRef>
          </c:cat>
          <c:val>
            <c:numRef>
              <c:f>'Ark1'!$B$36:$C$36</c:f>
              <c:numCache>
                <c:formatCode>0</c:formatCode>
                <c:ptCount val="2"/>
                <c:pt idx="0">
                  <c:v>8.8933504195464419</c:v>
                </c:pt>
                <c:pt idx="1">
                  <c:v>0.16199743753357865</c:v>
                </c:pt>
              </c:numCache>
            </c:numRef>
          </c:val>
        </c:ser>
        <c:ser>
          <c:idx val="3"/>
          <c:order val="3"/>
          <c:tx>
            <c:strRef>
              <c:f>'Ark1'!$A$37</c:f>
              <c:strCache>
                <c:ptCount val="1"/>
                <c:pt idx="0">
                  <c:v>Fringe areas</c:v>
                </c:pt>
              </c:strCache>
            </c:strRef>
          </c:tx>
          <c:spPr>
            <a:solidFill>
              <a:srgbClr val="FFC000"/>
            </a:solidFill>
          </c:spPr>
          <c:invertIfNegative val="0"/>
          <c:cat>
            <c:strRef>
              <c:f>'Ark1'!$B$33:$C$33</c:f>
              <c:strCache>
                <c:ptCount val="2"/>
                <c:pt idx="0">
                  <c:v>Population growht</c:v>
                </c:pt>
                <c:pt idx="1">
                  <c:v>Deviation from average</c:v>
                </c:pt>
              </c:strCache>
            </c:strRef>
          </c:cat>
          <c:val>
            <c:numRef>
              <c:f>'Ark1'!$B$37:$C$37</c:f>
              <c:numCache>
                <c:formatCode>0</c:formatCode>
                <c:ptCount val="2"/>
                <c:pt idx="0">
                  <c:v>-3.7690422985741656</c:v>
                </c:pt>
                <c:pt idx="1">
                  <c:v>-12.500395280587028</c:v>
                </c:pt>
              </c:numCache>
            </c:numRef>
          </c:val>
        </c:ser>
        <c:ser>
          <c:idx val="4"/>
          <c:order val="4"/>
          <c:tx>
            <c:strRef>
              <c:f>'Ark1'!$A$38</c:f>
              <c:strCache>
                <c:ptCount val="1"/>
                <c:pt idx="0">
                  <c:v>Islands</c:v>
                </c:pt>
              </c:strCache>
            </c:strRef>
          </c:tx>
          <c:spPr>
            <a:solidFill>
              <a:srgbClr val="FF0000"/>
            </a:solidFill>
          </c:spPr>
          <c:invertIfNegative val="0"/>
          <c:cat>
            <c:strRef>
              <c:f>'Ark1'!$B$33:$C$33</c:f>
              <c:strCache>
                <c:ptCount val="2"/>
                <c:pt idx="0">
                  <c:v>Population growht</c:v>
                </c:pt>
                <c:pt idx="1">
                  <c:v>Deviation from average</c:v>
                </c:pt>
              </c:strCache>
            </c:strRef>
          </c:cat>
          <c:val>
            <c:numRef>
              <c:f>'Ark1'!$B$38:$C$38</c:f>
              <c:numCache>
                <c:formatCode>0</c:formatCode>
                <c:ptCount val="2"/>
                <c:pt idx="0">
                  <c:v>-11.426007154685303</c:v>
                </c:pt>
                <c:pt idx="1">
                  <c:v>-20.157360136698166</c:v>
                </c:pt>
              </c:numCache>
            </c:numRef>
          </c:val>
        </c:ser>
        <c:dLbls>
          <c:showLegendKey val="0"/>
          <c:showVal val="0"/>
          <c:showCatName val="0"/>
          <c:showSerName val="0"/>
          <c:showPercent val="0"/>
          <c:showBubbleSize val="0"/>
        </c:dLbls>
        <c:gapWidth val="150"/>
        <c:axId val="75832320"/>
        <c:axId val="75842304"/>
      </c:barChart>
      <c:catAx>
        <c:axId val="75832320"/>
        <c:scaling>
          <c:orientation val="minMax"/>
        </c:scaling>
        <c:delete val="0"/>
        <c:axPos val="b"/>
        <c:majorTickMark val="out"/>
        <c:minorTickMark val="none"/>
        <c:tickLblPos val="low"/>
        <c:txPr>
          <a:bodyPr/>
          <a:lstStyle/>
          <a:p>
            <a:pPr>
              <a:defRPr sz="1200" b="1"/>
            </a:pPr>
            <a:endParaRPr lang="da-DK"/>
          </a:p>
        </c:txPr>
        <c:crossAx val="75842304"/>
        <c:crosses val="autoZero"/>
        <c:auto val="1"/>
        <c:lblAlgn val="ctr"/>
        <c:lblOffset val="100"/>
        <c:noMultiLvlLbl val="0"/>
      </c:catAx>
      <c:valAx>
        <c:axId val="75842304"/>
        <c:scaling>
          <c:orientation val="minMax"/>
          <c:max val="15"/>
          <c:min val="-20"/>
        </c:scaling>
        <c:delete val="0"/>
        <c:axPos val="l"/>
        <c:majorGridlines/>
        <c:numFmt formatCode="0" sourceLinked="1"/>
        <c:majorTickMark val="out"/>
        <c:minorTickMark val="none"/>
        <c:tickLblPos val="low"/>
        <c:txPr>
          <a:bodyPr/>
          <a:lstStyle/>
          <a:p>
            <a:pPr>
              <a:defRPr b="1"/>
            </a:pPr>
            <a:endParaRPr lang="da-DK"/>
          </a:p>
        </c:txPr>
        <c:crossAx val="75832320"/>
        <c:crosses val="autoZero"/>
        <c:crossBetween val="between"/>
      </c:valAx>
    </c:plotArea>
    <c:legend>
      <c:legendPos val="r"/>
      <c:layout>
        <c:manualLayout>
          <c:xMode val="edge"/>
          <c:yMode val="edge"/>
          <c:x val="0.66244335083114614"/>
          <c:y val="0.177406607332353"/>
          <c:w val="0.32366776027996502"/>
          <c:h val="0.3648486003359922"/>
        </c:manualLayout>
      </c:layout>
      <c:overlay val="0"/>
      <c:txPr>
        <a:bodyPr/>
        <a:lstStyle/>
        <a:p>
          <a:pPr>
            <a:defRPr sz="1200" b="1"/>
          </a:pPr>
          <a:endParaRPr lang="da-D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Growth (%) in age groups 1990-2013</a:t>
            </a:r>
          </a:p>
        </c:rich>
      </c:tx>
      <c:layout>
        <c:manualLayout>
          <c:xMode val="edge"/>
          <c:yMode val="edge"/>
          <c:x val="6.5583333333333327E-2"/>
          <c:y val="2.2315198964012496E-2"/>
        </c:manualLayout>
      </c:layout>
      <c:overlay val="0"/>
    </c:title>
    <c:autoTitleDeleted val="0"/>
    <c:plotArea>
      <c:layout>
        <c:manualLayout>
          <c:layoutTarget val="inner"/>
          <c:xMode val="edge"/>
          <c:yMode val="edge"/>
          <c:x val="8.6766185476815402E-2"/>
          <c:y val="0.13427248497897187"/>
          <c:w val="0.61844160104986878"/>
          <c:h val="0.7042515725333286"/>
        </c:manualLayout>
      </c:layout>
      <c:lineChart>
        <c:grouping val="standard"/>
        <c:varyColors val="0"/>
        <c:ser>
          <c:idx val="0"/>
          <c:order val="0"/>
          <c:tx>
            <c:strRef>
              <c:f>'Ark1'!$A$19</c:f>
              <c:strCache>
                <c:ptCount val="1"/>
                <c:pt idx="0">
                  <c:v>Copenhagen area</c:v>
                </c:pt>
              </c:strCache>
            </c:strRef>
          </c:tx>
          <c:marker>
            <c:symbol val="none"/>
          </c:marker>
          <c:cat>
            <c:strRef>
              <c:f>'Ark1'!$B$18:$G$18</c:f>
              <c:strCache>
                <c:ptCount val="6"/>
                <c:pt idx="0">
                  <c:v>0-15 year</c:v>
                </c:pt>
                <c:pt idx="1">
                  <c:v>16-24 year</c:v>
                </c:pt>
                <c:pt idx="2">
                  <c:v>25-30 year</c:v>
                </c:pt>
                <c:pt idx="3">
                  <c:v>31- 45 year</c:v>
                </c:pt>
                <c:pt idx="4">
                  <c:v>46- 60 year</c:v>
                </c:pt>
                <c:pt idx="5">
                  <c:v>60- year</c:v>
                </c:pt>
              </c:strCache>
            </c:strRef>
          </c:cat>
          <c:val>
            <c:numRef>
              <c:f>'Ark1'!$B$19:$G$19</c:f>
              <c:numCache>
                <c:formatCode>0_ ;[Red]\-0\ </c:formatCode>
                <c:ptCount val="6"/>
                <c:pt idx="0">
                  <c:v>32.446231873583798</c:v>
                </c:pt>
                <c:pt idx="1">
                  <c:v>-2.5997490832820658</c:v>
                </c:pt>
                <c:pt idx="2">
                  <c:v>-8.1912239060312864</c:v>
                </c:pt>
                <c:pt idx="3">
                  <c:v>9.0984816297323245</c:v>
                </c:pt>
                <c:pt idx="4">
                  <c:v>20.335850020578185</c:v>
                </c:pt>
                <c:pt idx="5">
                  <c:v>12.794805806056475</c:v>
                </c:pt>
              </c:numCache>
            </c:numRef>
          </c:val>
          <c:smooth val="0"/>
        </c:ser>
        <c:ser>
          <c:idx val="1"/>
          <c:order val="1"/>
          <c:tx>
            <c:strRef>
              <c:f>'Ark1'!$A$20</c:f>
              <c:strCache>
                <c:ptCount val="1"/>
                <c:pt idx="0">
                  <c:v>Other growth areas</c:v>
                </c:pt>
              </c:strCache>
            </c:strRef>
          </c:tx>
          <c:spPr>
            <a:ln>
              <a:solidFill>
                <a:schemeClr val="accent1">
                  <a:lumMod val="40000"/>
                  <a:lumOff val="60000"/>
                </a:schemeClr>
              </a:solidFill>
            </a:ln>
          </c:spPr>
          <c:marker>
            <c:symbol val="none"/>
          </c:marker>
          <c:cat>
            <c:strRef>
              <c:f>'Ark1'!$B$18:$G$18</c:f>
              <c:strCache>
                <c:ptCount val="6"/>
                <c:pt idx="0">
                  <c:v>0-15 year</c:v>
                </c:pt>
                <c:pt idx="1">
                  <c:v>16-24 year</c:v>
                </c:pt>
                <c:pt idx="2">
                  <c:v>25-30 year</c:v>
                </c:pt>
                <c:pt idx="3">
                  <c:v>31- 45 year</c:v>
                </c:pt>
                <c:pt idx="4">
                  <c:v>46- 60 year</c:v>
                </c:pt>
                <c:pt idx="5">
                  <c:v>60- year</c:v>
                </c:pt>
              </c:strCache>
            </c:strRef>
          </c:cat>
          <c:val>
            <c:numRef>
              <c:f>'Ark1'!$B$20:$G$20</c:f>
              <c:numCache>
                <c:formatCode>0_ ;[Red]\-0\ </c:formatCode>
                <c:ptCount val="6"/>
                <c:pt idx="0">
                  <c:v>14.826233336789208</c:v>
                </c:pt>
                <c:pt idx="1">
                  <c:v>4.9019290208453414</c:v>
                </c:pt>
                <c:pt idx="2">
                  <c:v>-5.0492145466323528</c:v>
                </c:pt>
                <c:pt idx="3">
                  <c:v>-0.89443732928805586</c:v>
                </c:pt>
                <c:pt idx="4">
                  <c:v>33.074064422564888</c:v>
                </c:pt>
                <c:pt idx="5">
                  <c:v>28.280912803646462</c:v>
                </c:pt>
              </c:numCache>
            </c:numRef>
          </c:val>
          <c:smooth val="0"/>
        </c:ser>
        <c:ser>
          <c:idx val="2"/>
          <c:order val="2"/>
          <c:tx>
            <c:strRef>
              <c:f>'Ark1'!$A$21</c:f>
              <c:strCache>
                <c:ptCount val="1"/>
                <c:pt idx="0">
                  <c:v>Medium areas</c:v>
                </c:pt>
              </c:strCache>
            </c:strRef>
          </c:tx>
          <c:spPr>
            <a:ln>
              <a:solidFill>
                <a:srgbClr val="FFFF00"/>
              </a:solidFill>
            </a:ln>
          </c:spPr>
          <c:marker>
            <c:symbol val="none"/>
          </c:marker>
          <c:cat>
            <c:strRef>
              <c:f>'Ark1'!$B$18:$G$18</c:f>
              <c:strCache>
                <c:ptCount val="6"/>
                <c:pt idx="0">
                  <c:v>0-15 year</c:v>
                </c:pt>
                <c:pt idx="1">
                  <c:v>16-24 year</c:v>
                </c:pt>
                <c:pt idx="2">
                  <c:v>25-30 year</c:v>
                </c:pt>
                <c:pt idx="3">
                  <c:v>31- 45 year</c:v>
                </c:pt>
                <c:pt idx="4">
                  <c:v>46- 60 year</c:v>
                </c:pt>
                <c:pt idx="5">
                  <c:v>60- year</c:v>
                </c:pt>
              </c:strCache>
            </c:strRef>
          </c:cat>
          <c:val>
            <c:numRef>
              <c:f>'Ark1'!$B$21:$G$21</c:f>
              <c:numCache>
                <c:formatCode>0_ ;[Red]\-0\ </c:formatCode>
                <c:ptCount val="6"/>
                <c:pt idx="0">
                  <c:v>7.5405480807030356</c:v>
                </c:pt>
                <c:pt idx="1">
                  <c:v>-11.37503133617448</c:v>
                </c:pt>
                <c:pt idx="2">
                  <c:v>-36.720901478109369</c:v>
                </c:pt>
                <c:pt idx="3">
                  <c:v>-8.8270369486990745</c:v>
                </c:pt>
                <c:pt idx="4">
                  <c:v>36.445032752944371</c:v>
                </c:pt>
                <c:pt idx="5">
                  <c:v>38.750818776490917</c:v>
                </c:pt>
              </c:numCache>
            </c:numRef>
          </c:val>
          <c:smooth val="0"/>
        </c:ser>
        <c:ser>
          <c:idx val="3"/>
          <c:order val="3"/>
          <c:tx>
            <c:strRef>
              <c:f>'Ark1'!$A$22</c:f>
              <c:strCache>
                <c:ptCount val="1"/>
                <c:pt idx="0">
                  <c:v>Fringe areas</c:v>
                </c:pt>
              </c:strCache>
            </c:strRef>
          </c:tx>
          <c:spPr>
            <a:ln>
              <a:solidFill>
                <a:srgbClr val="FFC000"/>
              </a:solidFill>
            </a:ln>
          </c:spPr>
          <c:marker>
            <c:symbol val="none"/>
          </c:marker>
          <c:cat>
            <c:strRef>
              <c:f>'Ark1'!$B$18:$G$18</c:f>
              <c:strCache>
                <c:ptCount val="6"/>
                <c:pt idx="0">
                  <c:v>0-15 year</c:v>
                </c:pt>
                <c:pt idx="1">
                  <c:v>16-24 year</c:v>
                </c:pt>
                <c:pt idx="2">
                  <c:v>25-30 year</c:v>
                </c:pt>
                <c:pt idx="3">
                  <c:v>31- 45 year</c:v>
                </c:pt>
                <c:pt idx="4">
                  <c:v>46- 60 year</c:v>
                </c:pt>
                <c:pt idx="5">
                  <c:v>60- year</c:v>
                </c:pt>
              </c:strCache>
            </c:strRef>
          </c:cat>
          <c:val>
            <c:numRef>
              <c:f>'Ark1'!$B$22:$G$22</c:f>
              <c:numCache>
                <c:formatCode>0_ ;[Red]\-0\ </c:formatCode>
                <c:ptCount val="6"/>
                <c:pt idx="0">
                  <c:v>-12.720538211505028</c:v>
                </c:pt>
                <c:pt idx="1">
                  <c:v>-18.658285587139122</c:v>
                </c:pt>
                <c:pt idx="2">
                  <c:v>-41.225582860743536</c:v>
                </c:pt>
                <c:pt idx="3">
                  <c:v>-22.66065911090821</c:v>
                </c:pt>
                <c:pt idx="4">
                  <c:v>23.711762489145215</c:v>
                </c:pt>
                <c:pt idx="5">
                  <c:v>23.485820524234736</c:v>
                </c:pt>
              </c:numCache>
            </c:numRef>
          </c:val>
          <c:smooth val="0"/>
        </c:ser>
        <c:ser>
          <c:idx val="4"/>
          <c:order val="4"/>
          <c:tx>
            <c:strRef>
              <c:f>'Ark1'!$A$23</c:f>
              <c:strCache>
                <c:ptCount val="1"/>
                <c:pt idx="0">
                  <c:v>Islands</c:v>
                </c:pt>
              </c:strCache>
            </c:strRef>
          </c:tx>
          <c:spPr>
            <a:ln>
              <a:solidFill>
                <a:srgbClr val="FF0000"/>
              </a:solidFill>
            </a:ln>
          </c:spPr>
          <c:marker>
            <c:symbol val="none"/>
          </c:marker>
          <c:cat>
            <c:strRef>
              <c:f>'Ark1'!$B$18:$G$18</c:f>
              <c:strCache>
                <c:ptCount val="6"/>
                <c:pt idx="0">
                  <c:v>0-15 year</c:v>
                </c:pt>
                <c:pt idx="1">
                  <c:v>16-24 year</c:v>
                </c:pt>
                <c:pt idx="2">
                  <c:v>25-30 year</c:v>
                </c:pt>
                <c:pt idx="3">
                  <c:v>31- 45 year</c:v>
                </c:pt>
                <c:pt idx="4">
                  <c:v>46- 60 year</c:v>
                </c:pt>
                <c:pt idx="5">
                  <c:v>60- year</c:v>
                </c:pt>
              </c:strCache>
            </c:strRef>
          </c:cat>
          <c:val>
            <c:numRef>
              <c:f>'Ark1'!$B$23:$G$23</c:f>
              <c:numCache>
                <c:formatCode>0_ ;[Red]\-0\ </c:formatCode>
                <c:ptCount val="6"/>
                <c:pt idx="0">
                  <c:v>-29.154624277456641</c:v>
                </c:pt>
                <c:pt idx="1">
                  <c:v>-25.42053876014586</c:v>
                </c:pt>
                <c:pt idx="2">
                  <c:v>-57.618276668465555</c:v>
                </c:pt>
                <c:pt idx="3">
                  <c:v>-39.110265255144526</c:v>
                </c:pt>
                <c:pt idx="4">
                  <c:v>22.659459459459462</c:v>
                </c:pt>
                <c:pt idx="5">
                  <c:v>18.479532163742697</c:v>
                </c:pt>
              </c:numCache>
            </c:numRef>
          </c:val>
          <c:smooth val="0"/>
        </c:ser>
        <c:dLbls>
          <c:showLegendKey val="0"/>
          <c:showVal val="0"/>
          <c:showCatName val="0"/>
          <c:showSerName val="0"/>
          <c:showPercent val="0"/>
          <c:showBubbleSize val="0"/>
        </c:dLbls>
        <c:marker val="1"/>
        <c:smooth val="0"/>
        <c:axId val="75874304"/>
        <c:axId val="75875840"/>
      </c:lineChart>
      <c:catAx>
        <c:axId val="75874304"/>
        <c:scaling>
          <c:orientation val="minMax"/>
        </c:scaling>
        <c:delete val="0"/>
        <c:axPos val="b"/>
        <c:majorTickMark val="out"/>
        <c:minorTickMark val="none"/>
        <c:tickLblPos val="low"/>
        <c:txPr>
          <a:bodyPr/>
          <a:lstStyle/>
          <a:p>
            <a:pPr>
              <a:defRPr sz="1200" b="1"/>
            </a:pPr>
            <a:endParaRPr lang="da-DK"/>
          </a:p>
        </c:txPr>
        <c:crossAx val="75875840"/>
        <c:crosses val="autoZero"/>
        <c:auto val="1"/>
        <c:lblAlgn val="ctr"/>
        <c:lblOffset val="100"/>
        <c:noMultiLvlLbl val="0"/>
      </c:catAx>
      <c:valAx>
        <c:axId val="75875840"/>
        <c:scaling>
          <c:orientation val="minMax"/>
          <c:max val="40"/>
          <c:min val="-60"/>
        </c:scaling>
        <c:delete val="0"/>
        <c:axPos val="l"/>
        <c:majorGridlines/>
        <c:numFmt formatCode="0_ ;[Red]\-0\ " sourceLinked="1"/>
        <c:majorTickMark val="out"/>
        <c:minorTickMark val="none"/>
        <c:tickLblPos val="nextTo"/>
        <c:txPr>
          <a:bodyPr/>
          <a:lstStyle/>
          <a:p>
            <a:pPr>
              <a:defRPr b="1"/>
            </a:pPr>
            <a:endParaRPr lang="da-DK"/>
          </a:p>
        </c:txPr>
        <c:crossAx val="75874304"/>
        <c:crosses val="autoZero"/>
        <c:crossBetween val="between"/>
      </c:valAx>
    </c:plotArea>
    <c:legend>
      <c:legendPos val="r"/>
      <c:layout>
        <c:manualLayout>
          <c:xMode val="edge"/>
          <c:yMode val="edge"/>
          <c:x val="0.62187445319335088"/>
          <c:y val="0.35629290075037051"/>
          <c:w val="0.36145888013998251"/>
          <c:h val="0.44240028371344825"/>
        </c:manualLayout>
      </c:layout>
      <c:overlay val="0"/>
      <c:txPr>
        <a:bodyPr/>
        <a:lstStyle/>
        <a:p>
          <a:pPr>
            <a:defRPr sz="1200" b="1"/>
          </a:pPr>
          <a:endParaRPr lang="da-DK"/>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Proportion (%) leaving area type 2011</a:t>
            </a:r>
          </a:p>
        </c:rich>
      </c:tx>
      <c:layout>
        <c:manualLayout>
          <c:xMode val="edge"/>
          <c:yMode val="edge"/>
          <c:x val="5.6361111111111133E-2"/>
          <c:y val="4.3328402931195921E-2"/>
        </c:manualLayout>
      </c:layout>
      <c:overlay val="0"/>
    </c:title>
    <c:autoTitleDeleted val="0"/>
    <c:plotArea>
      <c:layout>
        <c:manualLayout>
          <c:layoutTarget val="inner"/>
          <c:xMode val="edge"/>
          <c:yMode val="edge"/>
          <c:x val="8.607174103237096E-2"/>
          <c:y val="0.14614481115236494"/>
          <c:w val="0.54303827646544178"/>
          <c:h val="0.69494447172069584"/>
        </c:manualLayout>
      </c:layout>
      <c:barChart>
        <c:barDir val="col"/>
        <c:grouping val="clustered"/>
        <c:varyColors val="0"/>
        <c:ser>
          <c:idx val="0"/>
          <c:order val="0"/>
          <c:tx>
            <c:strRef>
              <c:f>'Ark3'!$A$5</c:f>
              <c:strCache>
                <c:ptCount val="1"/>
                <c:pt idx="0">
                  <c:v>Copenhagen area</c:v>
                </c:pt>
              </c:strCache>
            </c:strRef>
          </c:tx>
          <c:invertIfNegative val="0"/>
          <c:cat>
            <c:strRef>
              <c:f>'Ark3'!$B$4:$D$4</c:f>
              <c:strCache>
                <c:ptCount val="3"/>
                <c:pt idx="0">
                  <c:v>Vocational training etc.</c:v>
                </c:pt>
                <c:pt idx="1">
                  <c:v>Medium term</c:v>
                </c:pt>
                <c:pt idx="2">
                  <c:v>Higher education</c:v>
                </c:pt>
              </c:strCache>
            </c:strRef>
          </c:cat>
          <c:val>
            <c:numRef>
              <c:f>'Ark3'!$B$5:$D$5</c:f>
              <c:numCache>
                <c:formatCode>0</c:formatCode>
                <c:ptCount val="3"/>
                <c:pt idx="0">
                  <c:v>3.1926792069140819</c:v>
                </c:pt>
                <c:pt idx="1">
                  <c:v>4.6466332776850301</c:v>
                </c:pt>
                <c:pt idx="2">
                  <c:v>7.7414871438498958</c:v>
                </c:pt>
              </c:numCache>
            </c:numRef>
          </c:val>
        </c:ser>
        <c:ser>
          <c:idx val="1"/>
          <c:order val="1"/>
          <c:tx>
            <c:strRef>
              <c:f>'Ark3'!$A$6</c:f>
              <c:strCache>
                <c:ptCount val="1"/>
                <c:pt idx="0">
                  <c:v>Other growth areas</c:v>
                </c:pt>
              </c:strCache>
            </c:strRef>
          </c:tx>
          <c:spPr>
            <a:solidFill>
              <a:schemeClr val="accent1">
                <a:lumMod val="20000"/>
                <a:lumOff val="80000"/>
              </a:schemeClr>
            </a:solidFill>
          </c:spPr>
          <c:invertIfNegative val="0"/>
          <c:cat>
            <c:strRef>
              <c:f>'Ark3'!$B$4:$D$4</c:f>
              <c:strCache>
                <c:ptCount val="3"/>
                <c:pt idx="0">
                  <c:v>Vocational training etc.</c:v>
                </c:pt>
                <c:pt idx="1">
                  <c:v>Medium term</c:v>
                </c:pt>
                <c:pt idx="2">
                  <c:v>Higher education</c:v>
                </c:pt>
              </c:strCache>
            </c:strRef>
          </c:cat>
          <c:val>
            <c:numRef>
              <c:f>'Ark3'!$B$6:$D$6</c:f>
              <c:numCache>
                <c:formatCode>0</c:formatCode>
                <c:ptCount val="3"/>
                <c:pt idx="0">
                  <c:v>6.2375315866471599</c:v>
                </c:pt>
                <c:pt idx="1">
                  <c:v>11.673553719008265</c:v>
                </c:pt>
                <c:pt idx="2">
                  <c:v>15.178947368421053</c:v>
                </c:pt>
              </c:numCache>
            </c:numRef>
          </c:val>
        </c:ser>
        <c:ser>
          <c:idx val="2"/>
          <c:order val="2"/>
          <c:tx>
            <c:strRef>
              <c:f>'Ark3'!$A$7</c:f>
              <c:strCache>
                <c:ptCount val="1"/>
                <c:pt idx="0">
                  <c:v>Medium areas</c:v>
                </c:pt>
              </c:strCache>
            </c:strRef>
          </c:tx>
          <c:spPr>
            <a:solidFill>
              <a:srgbClr val="FFFF00"/>
            </a:solidFill>
          </c:spPr>
          <c:invertIfNegative val="0"/>
          <c:cat>
            <c:strRef>
              <c:f>'Ark3'!$B$4:$D$4</c:f>
              <c:strCache>
                <c:ptCount val="3"/>
                <c:pt idx="0">
                  <c:v>Vocational training etc.</c:v>
                </c:pt>
                <c:pt idx="1">
                  <c:v>Medium term</c:v>
                </c:pt>
                <c:pt idx="2">
                  <c:v>Higher education</c:v>
                </c:pt>
              </c:strCache>
            </c:strRef>
          </c:cat>
          <c:val>
            <c:numRef>
              <c:f>'Ark3'!$B$7:$D$7</c:f>
              <c:numCache>
                <c:formatCode>0</c:formatCode>
                <c:ptCount val="3"/>
                <c:pt idx="0">
                  <c:v>9.7418879056047203</c:v>
                </c:pt>
                <c:pt idx="1">
                  <c:v>39.489136817381095</c:v>
                </c:pt>
                <c:pt idx="2">
                  <c:v>70.764462809917347</c:v>
                </c:pt>
              </c:numCache>
            </c:numRef>
          </c:val>
        </c:ser>
        <c:ser>
          <c:idx val="3"/>
          <c:order val="3"/>
          <c:tx>
            <c:strRef>
              <c:f>'Ark3'!$A$8</c:f>
              <c:strCache>
                <c:ptCount val="1"/>
                <c:pt idx="0">
                  <c:v>Fringe areas</c:v>
                </c:pt>
              </c:strCache>
            </c:strRef>
          </c:tx>
          <c:spPr>
            <a:solidFill>
              <a:srgbClr val="FFC000"/>
            </a:solidFill>
          </c:spPr>
          <c:invertIfNegative val="0"/>
          <c:cat>
            <c:strRef>
              <c:f>'Ark3'!$B$4:$D$4</c:f>
              <c:strCache>
                <c:ptCount val="3"/>
                <c:pt idx="0">
                  <c:v>Vocational training etc.</c:v>
                </c:pt>
                <c:pt idx="1">
                  <c:v>Medium term</c:v>
                </c:pt>
                <c:pt idx="2">
                  <c:v>Higher education</c:v>
                </c:pt>
              </c:strCache>
            </c:strRef>
          </c:cat>
          <c:val>
            <c:numRef>
              <c:f>'Ark3'!$B$8:$D$8</c:f>
              <c:numCache>
                <c:formatCode>0</c:formatCode>
                <c:ptCount val="3"/>
                <c:pt idx="0">
                  <c:v>12.314709236031927</c:v>
                </c:pt>
                <c:pt idx="1">
                  <c:v>48.23359769286229</c:v>
                </c:pt>
                <c:pt idx="2">
                  <c:v>85.031663788140477</c:v>
                </c:pt>
              </c:numCache>
            </c:numRef>
          </c:val>
        </c:ser>
        <c:ser>
          <c:idx val="4"/>
          <c:order val="4"/>
          <c:tx>
            <c:strRef>
              <c:f>'Ark3'!$A$9</c:f>
              <c:strCache>
                <c:ptCount val="1"/>
                <c:pt idx="0">
                  <c:v>Islands</c:v>
                </c:pt>
              </c:strCache>
            </c:strRef>
          </c:tx>
          <c:spPr>
            <a:solidFill>
              <a:srgbClr val="FF0000"/>
            </a:solidFill>
          </c:spPr>
          <c:invertIfNegative val="0"/>
          <c:cat>
            <c:strRef>
              <c:f>'Ark3'!$B$4:$D$4</c:f>
              <c:strCache>
                <c:ptCount val="3"/>
                <c:pt idx="0">
                  <c:v>Vocational training etc.</c:v>
                </c:pt>
                <c:pt idx="1">
                  <c:v>Medium term</c:v>
                </c:pt>
                <c:pt idx="2">
                  <c:v>Higher education</c:v>
                </c:pt>
              </c:strCache>
            </c:strRef>
          </c:cat>
          <c:val>
            <c:numRef>
              <c:f>'Ark3'!$B$9:$D$9</c:f>
              <c:numCache>
                <c:formatCode>0</c:formatCode>
                <c:ptCount val="3"/>
                <c:pt idx="0">
                  <c:v>24.061810154525386</c:v>
                </c:pt>
                <c:pt idx="1">
                  <c:v>65.789473684210535</c:v>
                </c:pt>
                <c:pt idx="2">
                  <c:v>94.73684210526315</c:v>
                </c:pt>
              </c:numCache>
            </c:numRef>
          </c:val>
        </c:ser>
        <c:dLbls>
          <c:showLegendKey val="0"/>
          <c:showVal val="0"/>
          <c:showCatName val="0"/>
          <c:showSerName val="0"/>
          <c:showPercent val="0"/>
          <c:showBubbleSize val="0"/>
        </c:dLbls>
        <c:gapWidth val="150"/>
        <c:axId val="77886592"/>
        <c:axId val="77888128"/>
      </c:barChart>
      <c:catAx>
        <c:axId val="77886592"/>
        <c:scaling>
          <c:orientation val="minMax"/>
        </c:scaling>
        <c:delete val="0"/>
        <c:axPos val="b"/>
        <c:majorTickMark val="out"/>
        <c:minorTickMark val="none"/>
        <c:tickLblPos val="nextTo"/>
        <c:txPr>
          <a:bodyPr/>
          <a:lstStyle/>
          <a:p>
            <a:pPr>
              <a:defRPr sz="1100" b="1"/>
            </a:pPr>
            <a:endParaRPr lang="da-DK"/>
          </a:p>
        </c:txPr>
        <c:crossAx val="77888128"/>
        <c:crosses val="autoZero"/>
        <c:auto val="1"/>
        <c:lblAlgn val="ctr"/>
        <c:lblOffset val="100"/>
        <c:noMultiLvlLbl val="0"/>
      </c:catAx>
      <c:valAx>
        <c:axId val="77888128"/>
        <c:scaling>
          <c:orientation val="minMax"/>
        </c:scaling>
        <c:delete val="0"/>
        <c:axPos val="l"/>
        <c:majorGridlines/>
        <c:numFmt formatCode="0" sourceLinked="1"/>
        <c:majorTickMark val="out"/>
        <c:minorTickMark val="none"/>
        <c:tickLblPos val="nextTo"/>
        <c:txPr>
          <a:bodyPr/>
          <a:lstStyle/>
          <a:p>
            <a:pPr>
              <a:defRPr b="1"/>
            </a:pPr>
            <a:endParaRPr lang="da-DK"/>
          </a:p>
        </c:txPr>
        <c:crossAx val="77886592"/>
        <c:crosses val="autoZero"/>
        <c:crossBetween val="between"/>
      </c:valAx>
    </c:plotArea>
    <c:legend>
      <c:legendPos val="r"/>
      <c:layout/>
      <c:overlay val="0"/>
      <c:txPr>
        <a:bodyPr/>
        <a:lstStyle/>
        <a:p>
          <a:pPr>
            <a:defRPr sz="1200" b="1"/>
          </a:pPr>
          <a:endParaRPr lang="da-DK"/>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Change 1990-2011 (</a:t>
            </a:r>
            <a:r>
              <a:rPr lang="da-DK" sz="1400" b="1" i="0" u="none" strike="noStrike" baseline="0">
                <a:effectLst/>
              </a:rPr>
              <a:t>percentage points)</a:t>
            </a:r>
            <a:endParaRPr lang="da-DK" sz="1400"/>
          </a:p>
        </c:rich>
      </c:tx>
      <c:layout>
        <c:manualLayout>
          <c:xMode val="edge"/>
          <c:yMode val="edge"/>
          <c:x val="7.6250000000000012E-2"/>
          <c:y val="1.6284984667109908E-2"/>
        </c:manualLayout>
      </c:layout>
      <c:overlay val="0"/>
    </c:title>
    <c:autoTitleDeleted val="0"/>
    <c:plotArea>
      <c:layout>
        <c:manualLayout>
          <c:layoutTarget val="inner"/>
          <c:xMode val="edge"/>
          <c:yMode val="edge"/>
          <c:x val="7.8266185476815395E-2"/>
          <c:y val="0.12255476787806009"/>
          <c:w val="0.5508438320209974"/>
          <c:h val="0.71319705664930666"/>
        </c:manualLayout>
      </c:layout>
      <c:barChart>
        <c:barDir val="col"/>
        <c:grouping val="clustered"/>
        <c:varyColors val="0"/>
        <c:ser>
          <c:idx val="0"/>
          <c:order val="0"/>
          <c:tx>
            <c:strRef>
              <c:f>'Ark3'!$A$13</c:f>
              <c:strCache>
                <c:ptCount val="1"/>
                <c:pt idx="0">
                  <c:v>Copenhagen area</c:v>
                </c:pt>
              </c:strCache>
            </c:strRef>
          </c:tx>
          <c:invertIfNegative val="0"/>
          <c:cat>
            <c:strRef>
              <c:f>'Ark3'!$B$12:$D$12</c:f>
              <c:strCache>
                <c:ptCount val="3"/>
                <c:pt idx="0">
                  <c:v>Vocational training etc.</c:v>
                </c:pt>
                <c:pt idx="1">
                  <c:v>Medium sized</c:v>
                </c:pt>
                <c:pt idx="2">
                  <c:v>Higher education</c:v>
                </c:pt>
              </c:strCache>
            </c:strRef>
          </c:cat>
          <c:val>
            <c:numRef>
              <c:f>'Ark3'!$B$13:$D$13</c:f>
              <c:numCache>
                <c:formatCode>0_ ;[Red]\-0\ </c:formatCode>
                <c:ptCount val="3"/>
                <c:pt idx="0">
                  <c:v>0.82441913525455224</c:v>
                </c:pt>
                <c:pt idx="1">
                  <c:v>-1.7253740887974747</c:v>
                </c:pt>
                <c:pt idx="2">
                  <c:v>-0.23572083335808092</c:v>
                </c:pt>
              </c:numCache>
            </c:numRef>
          </c:val>
        </c:ser>
        <c:ser>
          <c:idx val="1"/>
          <c:order val="1"/>
          <c:tx>
            <c:strRef>
              <c:f>'Ark3'!$A$14</c:f>
              <c:strCache>
                <c:ptCount val="1"/>
                <c:pt idx="0">
                  <c:v>Other growth areas</c:v>
                </c:pt>
              </c:strCache>
            </c:strRef>
          </c:tx>
          <c:spPr>
            <a:solidFill>
              <a:schemeClr val="accent1">
                <a:lumMod val="20000"/>
                <a:lumOff val="80000"/>
              </a:schemeClr>
            </a:solidFill>
          </c:spPr>
          <c:invertIfNegative val="0"/>
          <c:cat>
            <c:strRef>
              <c:f>'Ark3'!$B$12:$D$12</c:f>
              <c:strCache>
                <c:ptCount val="3"/>
                <c:pt idx="0">
                  <c:v>Vocational training etc.</c:v>
                </c:pt>
                <c:pt idx="1">
                  <c:v>Medium sized</c:v>
                </c:pt>
                <c:pt idx="2">
                  <c:v>Higher education</c:v>
                </c:pt>
              </c:strCache>
            </c:strRef>
          </c:cat>
          <c:val>
            <c:numRef>
              <c:f>'Ark3'!$B$14:$D$14</c:f>
              <c:numCache>
                <c:formatCode>0_ ;[Red]\-0\ </c:formatCode>
                <c:ptCount val="3"/>
                <c:pt idx="0">
                  <c:v>1.5111888756497178</c:v>
                </c:pt>
                <c:pt idx="1">
                  <c:v>-0.80917313497607424</c:v>
                </c:pt>
                <c:pt idx="2">
                  <c:v>0.95268932831511144</c:v>
                </c:pt>
              </c:numCache>
            </c:numRef>
          </c:val>
        </c:ser>
        <c:ser>
          <c:idx val="2"/>
          <c:order val="2"/>
          <c:tx>
            <c:strRef>
              <c:f>'Ark3'!$A$15</c:f>
              <c:strCache>
                <c:ptCount val="1"/>
                <c:pt idx="0">
                  <c:v>Medium areas</c:v>
                </c:pt>
              </c:strCache>
            </c:strRef>
          </c:tx>
          <c:spPr>
            <a:solidFill>
              <a:srgbClr val="FFFF00"/>
            </a:solidFill>
          </c:spPr>
          <c:invertIfNegative val="0"/>
          <c:cat>
            <c:strRef>
              <c:f>'Ark3'!$B$12:$D$12</c:f>
              <c:strCache>
                <c:ptCount val="3"/>
                <c:pt idx="0">
                  <c:v>Vocational training etc.</c:v>
                </c:pt>
                <c:pt idx="1">
                  <c:v>Medium sized</c:v>
                </c:pt>
                <c:pt idx="2">
                  <c:v>Higher education</c:v>
                </c:pt>
              </c:strCache>
            </c:strRef>
          </c:cat>
          <c:val>
            <c:numRef>
              <c:f>'Ark3'!$B$15:$D$15</c:f>
              <c:numCache>
                <c:formatCode>0_ ;[Red]\-0\ </c:formatCode>
                <c:ptCount val="3"/>
                <c:pt idx="0">
                  <c:v>3.3606562340504684</c:v>
                </c:pt>
                <c:pt idx="1">
                  <c:v>8.5999669901581726</c:v>
                </c:pt>
                <c:pt idx="2">
                  <c:v>5.1549484392533174</c:v>
                </c:pt>
              </c:numCache>
            </c:numRef>
          </c:val>
        </c:ser>
        <c:ser>
          <c:idx val="3"/>
          <c:order val="3"/>
          <c:tx>
            <c:strRef>
              <c:f>'Ark3'!$A$16</c:f>
              <c:strCache>
                <c:ptCount val="1"/>
                <c:pt idx="0">
                  <c:v>Fringe areas</c:v>
                </c:pt>
              </c:strCache>
            </c:strRef>
          </c:tx>
          <c:spPr>
            <a:solidFill>
              <a:srgbClr val="FFC000"/>
            </a:solidFill>
          </c:spPr>
          <c:invertIfNegative val="0"/>
          <c:cat>
            <c:strRef>
              <c:f>'Ark3'!$B$12:$D$12</c:f>
              <c:strCache>
                <c:ptCount val="3"/>
                <c:pt idx="0">
                  <c:v>Vocational training etc.</c:v>
                </c:pt>
                <c:pt idx="1">
                  <c:v>Medium sized</c:v>
                </c:pt>
                <c:pt idx="2">
                  <c:v>Higher education</c:v>
                </c:pt>
              </c:strCache>
            </c:strRef>
          </c:cat>
          <c:val>
            <c:numRef>
              <c:f>'Ark3'!$B$16:$D$16</c:f>
              <c:numCache>
                <c:formatCode>0_ ;[Red]\-0\ </c:formatCode>
                <c:ptCount val="3"/>
                <c:pt idx="0">
                  <c:v>5.0991142403961991</c:v>
                </c:pt>
                <c:pt idx="1">
                  <c:v>7.4634957676074762</c:v>
                </c:pt>
                <c:pt idx="2">
                  <c:v>7.5862312901614928</c:v>
                </c:pt>
              </c:numCache>
            </c:numRef>
          </c:val>
        </c:ser>
        <c:ser>
          <c:idx val="4"/>
          <c:order val="4"/>
          <c:tx>
            <c:strRef>
              <c:f>'Ark3'!$A$17</c:f>
              <c:strCache>
                <c:ptCount val="1"/>
                <c:pt idx="0">
                  <c:v>Islands</c:v>
                </c:pt>
              </c:strCache>
            </c:strRef>
          </c:tx>
          <c:spPr>
            <a:solidFill>
              <a:srgbClr val="FF0000"/>
            </a:solidFill>
          </c:spPr>
          <c:invertIfNegative val="0"/>
          <c:cat>
            <c:strRef>
              <c:f>'Ark3'!$B$12:$D$12</c:f>
              <c:strCache>
                <c:ptCount val="3"/>
                <c:pt idx="0">
                  <c:v>Vocational training etc.</c:v>
                </c:pt>
                <c:pt idx="1">
                  <c:v>Medium sized</c:v>
                </c:pt>
                <c:pt idx="2">
                  <c:v>Higher education</c:v>
                </c:pt>
              </c:strCache>
            </c:strRef>
          </c:cat>
          <c:val>
            <c:numRef>
              <c:f>'Ark3'!$B$17:$D$17</c:f>
              <c:numCache>
                <c:formatCode>0_ ;[Red]\-0\ </c:formatCode>
                <c:ptCount val="3"/>
                <c:pt idx="0">
                  <c:v>10.310141262669577</c:v>
                </c:pt>
                <c:pt idx="1">
                  <c:v>14.912280701754391</c:v>
                </c:pt>
                <c:pt idx="2">
                  <c:v>2.1442495126705552</c:v>
                </c:pt>
              </c:numCache>
            </c:numRef>
          </c:val>
        </c:ser>
        <c:dLbls>
          <c:showLegendKey val="0"/>
          <c:showVal val="0"/>
          <c:showCatName val="0"/>
          <c:showSerName val="0"/>
          <c:showPercent val="0"/>
          <c:showBubbleSize val="0"/>
        </c:dLbls>
        <c:gapWidth val="150"/>
        <c:axId val="77928320"/>
        <c:axId val="77929856"/>
      </c:barChart>
      <c:catAx>
        <c:axId val="77928320"/>
        <c:scaling>
          <c:orientation val="minMax"/>
        </c:scaling>
        <c:delete val="0"/>
        <c:axPos val="b"/>
        <c:majorTickMark val="out"/>
        <c:minorTickMark val="none"/>
        <c:tickLblPos val="low"/>
        <c:txPr>
          <a:bodyPr/>
          <a:lstStyle/>
          <a:p>
            <a:pPr>
              <a:defRPr sz="1100" b="1"/>
            </a:pPr>
            <a:endParaRPr lang="da-DK"/>
          </a:p>
        </c:txPr>
        <c:crossAx val="77929856"/>
        <c:crosses val="autoZero"/>
        <c:auto val="1"/>
        <c:lblAlgn val="ctr"/>
        <c:lblOffset val="100"/>
        <c:noMultiLvlLbl val="0"/>
      </c:catAx>
      <c:valAx>
        <c:axId val="77929856"/>
        <c:scaling>
          <c:orientation val="minMax"/>
        </c:scaling>
        <c:delete val="0"/>
        <c:axPos val="l"/>
        <c:majorGridlines/>
        <c:numFmt formatCode="0_ ;[Red]\-0\ " sourceLinked="1"/>
        <c:majorTickMark val="out"/>
        <c:minorTickMark val="none"/>
        <c:tickLblPos val="nextTo"/>
        <c:txPr>
          <a:bodyPr/>
          <a:lstStyle/>
          <a:p>
            <a:pPr>
              <a:defRPr b="1"/>
            </a:pPr>
            <a:endParaRPr lang="da-DK"/>
          </a:p>
        </c:txPr>
        <c:crossAx val="77928320"/>
        <c:crosses val="autoZero"/>
        <c:crossBetween val="between"/>
      </c:valAx>
    </c:plotArea>
    <c:legend>
      <c:legendPos val="r"/>
      <c:layout/>
      <c:overlay val="0"/>
      <c:txPr>
        <a:bodyPr/>
        <a:lstStyle/>
        <a:p>
          <a:pPr>
            <a:defRPr sz="1200" b="1"/>
          </a:pPr>
          <a:endParaRPr lang="da-DK"/>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Causes of outmigration from fringe areas</a:t>
            </a:r>
          </a:p>
        </c:rich>
      </c:tx>
      <c:layout/>
      <c:overlay val="0"/>
    </c:title>
    <c:autoTitleDeleted val="0"/>
    <c:plotArea>
      <c:layout>
        <c:manualLayout>
          <c:layoutTarget val="inner"/>
          <c:xMode val="edge"/>
          <c:yMode val="edge"/>
          <c:x val="9.1849518810148731E-2"/>
          <c:y val="9.5731383960636629E-2"/>
          <c:w val="0.8901935695538058"/>
          <c:h val="0.71960985695202417"/>
        </c:manualLayout>
      </c:layout>
      <c:barChart>
        <c:barDir val="col"/>
        <c:grouping val="clustered"/>
        <c:varyColors val="0"/>
        <c:ser>
          <c:idx val="0"/>
          <c:order val="0"/>
          <c:tx>
            <c:strRef>
              <c:f>'Ark5'!$B$3</c:f>
              <c:strCache>
                <c:ptCount val="1"/>
                <c:pt idx="0">
                  <c:v>1990-94</c:v>
                </c:pt>
              </c:strCache>
            </c:strRef>
          </c:tx>
          <c:invertIfNegative val="0"/>
          <c:cat>
            <c:strRef>
              <c:f>'Ark5'!$A$4:$A$8</c:f>
              <c:strCache>
                <c:ptCount val="5"/>
                <c:pt idx="0">
                  <c:v>Not moved</c:v>
                </c:pt>
                <c:pt idx="1">
                  <c:v>Starting education</c:v>
                </c:pt>
                <c:pt idx="2">
                  <c:v>Starting first job</c:v>
                </c:pt>
                <c:pt idx="3">
                  <c:v>New job in other municipality</c:v>
                </c:pt>
                <c:pt idx="4">
                  <c:v>Other causes</c:v>
                </c:pt>
              </c:strCache>
            </c:strRef>
          </c:cat>
          <c:val>
            <c:numRef>
              <c:f>'Ark5'!$B$4:$B$8</c:f>
              <c:numCache>
                <c:formatCode>####%</c:formatCode>
                <c:ptCount val="5"/>
                <c:pt idx="0">
                  <c:v>0.46854682270682785</c:v>
                </c:pt>
                <c:pt idx="1">
                  <c:v>0.29172262369167146</c:v>
                </c:pt>
                <c:pt idx="2">
                  <c:v>9.2110592398371369E-2</c:v>
                </c:pt>
                <c:pt idx="3">
                  <c:v>8.1452111445076844E-2</c:v>
                </c:pt>
                <c:pt idx="4">
                  <c:v>6.6167849758052483E-2</c:v>
                </c:pt>
              </c:numCache>
            </c:numRef>
          </c:val>
        </c:ser>
        <c:ser>
          <c:idx val="1"/>
          <c:order val="1"/>
          <c:tx>
            <c:strRef>
              <c:f>'Ark5'!$C$3</c:f>
              <c:strCache>
                <c:ptCount val="1"/>
                <c:pt idx="0">
                  <c:v>1995-99</c:v>
                </c:pt>
              </c:strCache>
            </c:strRef>
          </c:tx>
          <c:invertIfNegative val="0"/>
          <c:cat>
            <c:strRef>
              <c:f>'Ark5'!$A$4:$A$8</c:f>
              <c:strCache>
                <c:ptCount val="5"/>
                <c:pt idx="0">
                  <c:v>Not moved</c:v>
                </c:pt>
                <c:pt idx="1">
                  <c:v>Starting education</c:v>
                </c:pt>
                <c:pt idx="2">
                  <c:v>Starting first job</c:v>
                </c:pt>
                <c:pt idx="3">
                  <c:v>New job in other municipality</c:v>
                </c:pt>
                <c:pt idx="4">
                  <c:v>Other causes</c:v>
                </c:pt>
              </c:strCache>
            </c:strRef>
          </c:cat>
          <c:val>
            <c:numRef>
              <c:f>'Ark5'!$C$4:$C$8</c:f>
              <c:numCache>
                <c:formatCode>####%</c:formatCode>
                <c:ptCount val="5"/>
                <c:pt idx="0">
                  <c:v>0.43071615069004104</c:v>
                </c:pt>
                <c:pt idx="1">
                  <c:v>0.3265572547556882</c:v>
                </c:pt>
                <c:pt idx="2">
                  <c:v>9.003170458784035E-2</c:v>
                </c:pt>
                <c:pt idx="3">
                  <c:v>8.3550913838120119E-2</c:v>
                </c:pt>
                <c:pt idx="4">
                  <c:v>6.914397612831033E-2</c:v>
                </c:pt>
              </c:numCache>
            </c:numRef>
          </c:val>
        </c:ser>
        <c:ser>
          <c:idx val="2"/>
          <c:order val="2"/>
          <c:tx>
            <c:strRef>
              <c:f>'Ark5'!$D$3</c:f>
              <c:strCache>
                <c:ptCount val="1"/>
                <c:pt idx="0">
                  <c:v>2000-04</c:v>
                </c:pt>
              </c:strCache>
            </c:strRef>
          </c:tx>
          <c:invertIfNegative val="0"/>
          <c:cat>
            <c:strRef>
              <c:f>'Ark5'!$A$4:$A$8</c:f>
              <c:strCache>
                <c:ptCount val="5"/>
                <c:pt idx="0">
                  <c:v>Not moved</c:v>
                </c:pt>
                <c:pt idx="1">
                  <c:v>Starting education</c:v>
                </c:pt>
                <c:pt idx="2">
                  <c:v>Starting first job</c:v>
                </c:pt>
                <c:pt idx="3">
                  <c:v>New job in other municipality</c:v>
                </c:pt>
                <c:pt idx="4">
                  <c:v>Other causes</c:v>
                </c:pt>
              </c:strCache>
            </c:strRef>
          </c:cat>
          <c:val>
            <c:numRef>
              <c:f>'Ark5'!$D$4:$D$8</c:f>
              <c:numCache>
                <c:formatCode>####%</c:formatCode>
                <c:ptCount val="5"/>
                <c:pt idx="0">
                  <c:v>0.407462135205024</c:v>
                </c:pt>
                <c:pt idx="1">
                  <c:v>0.34492585360705053</c:v>
                </c:pt>
                <c:pt idx="2">
                  <c:v>8.7972980104491005E-2</c:v>
                </c:pt>
                <c:pt idx="3">
                  <c:v>8.6627262652382714E-2</c:v>
                </c:pt>
                <c:pt idx="4">
                  <c:v>7.3011768431051768E-2</c:v>
                </c:pt>
              </c:numCache>
            </c:numRef>
          </c:val>
        </c:ser>
        <c:dLbls>
          <c:showLegendKey val="0"/>
          <c:showVal val="0"/>
          <c:showCatName val="0"/>
          <c:showSerName val="0"/>
          <c:showPercent val="0"/>
          <c:showBubbleSize val="0"/>
        </c:dLbls>
        <c:gapWidth val="150"/>
        <c:axId val="113264512"/>
        <c:axId val="113266048"/>
      </c:barChart>
      <c:catAx>
        <c:axId val="113264512"/>
        <c:scaling>
          <c:orientation val="minMax"/>
        </c:scaling>
        <c:delete val="0"/>
        <c:axPos val="b"/>
        <c:majorTickMark val="out"/>
        <c:minorTickMark val="none"/>
        <c:tickLblPos val="nextTo"/>
        <c:txPr>
          <a:bodyPr/>
          <a:lstStyle/>
          <a:p>
            <a:pPr>
              <a:defRPr b="1"/>
            </a:pPr>
            <a:endParaRPr lang="da-DK"/>
          </a:p>
        </c:txPr>
        <c:crossAx val="113266048"/>
        <c:crosses val="autoZero"/>
        <c:auto val="1"/>
        <c:lblAlgn val="ctr"/>
        <c:lblOffset val="100"/>
        <c:noMultiLvlLbl val="0"/>
      </c:catAx>
      <c:valAx>
        <c:axId val="113266048"/>
        <c:scaling>
          <c:orientation val="minMax"/>
        </c:scaling>
        <c:delete val="0"/>
        <c:axPos val="l"/>
        <c:majorGridlines/>
        <c:numFmt formatCode="####%" sourceLinked="1"/>
        <c:majorTickMark val="out"/>
        <c:minorTickMark val="none"/>
        <c:tickLblPos val="nextTo"/>
        <c:txPr>
          <a:bodyPr/>
          <a:lstStyle/>
          <a:p>
            <a:pPr>
              <a:defRPr b="1"/>
            </a:pPr>
            <a:endParaRPr lang="da-DK"/>
          </a:p>
        </c:txPr>
        <c:crossAx val="113264512"/>
        <c:crosses val="autoZero"/>
        <c:crossBetween val="between"/>
      </c:valAx>
    </c:plotArea>
    <c:legend>
      <c:legendPos val="r"/>
      <c:layout>
        <c:manualLayout>
          <c:xMode val="edge"/>
          <c:yMode val="edge"/>
          <c:x val="0.64315419947506558"/>
          <c:y val="0.29054594518396198"/>
          <c:w val="0.16483355205599301"/>
          <c:h val="0.20975491874257407"/>
        </c:manualLayout>
      </c:layout>
      <c:overlay val="0"/>
      <c:txPr>
        <a:bodyPr/>
        <a:lstStyle/>
        <a:p>
          <a:pPr>
            <a:defRPr sz="1200" b="1"/>
          </a:pPr>
          <a:endParaRPr lang="da-DK"/>
        </a:p>
      </c:txPr>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0.61358</cdr:x>
      <cdr:y>0.1777</cdr:y>
    </cdr:from>
    <cdr:to>
      <cdr:x>0.8416</cdr:x>
      <cdr:y>0.32216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05289" y="661812"/>
          <a:ext cx="1042506" cy="537990"/>
        </a:xfrm>
        <a:prstGeom xmlns:a="http://schemas.openxmlformats.org/drawingml/2006/main" prst="rect">
          <a:avLst/>
        </a:prstGeom>
      </cdr:spPr>
    </cdr:pic>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BEB7-14AC-4E5D-9746-D8879A90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17</Pages>
  <Words>6272</Words>
  <Characters>38262</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38</cp:revision>
  <dcterms:created xsi:type="dcterms:W3CDTF">2016-04-18T08:19:00Z</dcterms:created>
  <dcterms:modified xsi:type="dcterms:W3CDTF">2016-06-16T09:11:00Z</dcterms:modified>
</cp:coreProperties>
</file>