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643C4" w:rsidRPr="00C643C4" w:rsidTr="00C643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643C4" w:rsidRPr="00C643C4" w:rsidRDefault="00C643C4" w:rsidP="00C643C4">
            <w:pPr>
              <w:spacing w:before="30" w:after="30"/>
              <w:ind w:left="30" w:right="30"/>
              <w:jc w:val="both"/>
              <w:rPr>
                <w:sz w:val="15"/>
                <w:szCs w:val="15"/>
              </w:rPr>
            </w:pPr>
            <w:proofErr w:type="spellStart"/>
            <w:r w:rsidRPr="00C643C4">
              <w:rPr>
                <w:sz w:val="15"/>
                <w:szCs w:val="15"/>
              </w:rPr>
              <w:t>Myocardial</w:t>
            </w:r>
            <w:proofErr w:type="spellEnd"/>
            <w:r w:rsidRPr="00C643C4">
              <w:rPr>
                <w:sz w:val="15"/>
                <w:szCs w:val="15"/>
              </w:rPr>
              <w:t xml:space="preserve"> </w:t>
            </w:r>
            <w:proofErr w:type="spellStart"/>
            <w:r w:rsidRPr="00C643C4">
              <w:rPr>
                <w:sz w:val="15"/>
                <w:szCs w:val="15"/>
              </w:rPr>
              <w:t>infarction</w:t>
            </w:r>
            <w:proofErr w:type="spellEnd"/>
            <w:r w:rsidRPr="00C643C4">
              <w:rPr>
                <w:sz w:val="15"/>
                <w:szCs w:val="15"/>
              </w:rPr>
              <w:t>, STEMI</w:t>
            </w:r>
          </w:p>
        </w:tc>
      </w:tr>
      <w:tr w:rsidR="00C643C4" w:rsidRPr="00F1648D" w:rsidTr="00C643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643C4" w:rsidRPr="00C643C4" w:rsidRDefault="00C643C4" w:rsidP="00C643C4">
            <w:pPr>
              <w:spacing w:before="30" w:after="30"/>
              <w:ind w:left="30" w:right="30"/>
              <w:jc w:val="both"/>
              <w:rPr>
                <w:sz w:val="15"/>
                <w:szCs w:val="15"/>
                <w:lang w:val="en-US"/>
              </w:rPr>
            </w:pPr>
            <w:r w:rsidRPr="00C643C4">
              <w:rPr>
                <w:sz w:val="15"/>
                <w:szCs w:val="15"/>
                <w:lang w:val="en-US"/>
              </w:rPr>
              <w:t>BEHRNDTZ Pia (</w:t>
            </w:r>
            <w:hyperlink r:id="rId8" w:tgtFrame="_blank" w:history="1">
              <w:r w:rsidRPr="00C643C4">
                <w:rPr>
                  <w:color w:val="0000FF"/>
                  <w:sz w:val="15"/>
                  <w:u w:val="single"/>
                  <w:lang w:val="en-US"/>
                </w:rPr>
                <w:t>pib@rn.dk</w:t>
              </w:r>
            </w:hyperlink>
            <w:r w:rsidRPr="00C643C4">
              <w:rPr>
                <w:sz w:val="15"/>
                <w:szCs w:val="15"/>
                <w:lang w:val="en-US"/>
              </w:rPr>
              <w:t xml:space="preserve">) </w:t>
            </w:r>
          </w:p>
        </w:tc>
      </w:tr>
      <w:tr w:rsidR="00C643C4" w:rsidRPr="00C643C4" w:rsidTr="00C643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643C4" w:rsidRPr="00C643C4" w:rsidRDefault="00150956" w:rsidP="00BB0FE5">
            <w:pPr>
              <w:spacing w:before="30" w:after="30"/>
              <w:ind w:left="30" w:right="3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 xml:space="preserve">February 13, 2013 </w:t>
            </w:r>
            <w:r w:rsidR="00BB0FE5" w:rsidRPr="00BB0FE5">
              <w:rPr>
                <w:sz w:val="15"/>
                <w:szCs w:val="15"/>
              </w:rPr>
              <w:t>13:47</w:t>
            </w:r>
            <w:r w:rsidR="00C643C4" w:rsidRPr="00BB0FE5">
              <w:rPr>
                <w:sz w:val="15"/>
                <w:szCs w:val="15"/>
              </w:rPr>
              <w:t xml:space="preserve"> PM</w:t>
            </w:r>
            <w:r w:rsidR="00C643C4" w:rsidRPr="00C643C4">
              <w:rPr>
                <w:sz w:val="15"/>
                <w:szCs w:val="15"/>
              </w:rPr>
              <w:t xml:space="preserve"> </w:t>
            </w:r>
          </w:p>
        </w:tc>
      </w:tr>
    </w:tbl>
    <w:p w:rsidR="00C643C4" w:rsidRPr="00C643C4" w:rsidRDefault="00C643C4" w:rsidP="00C643C4">
      <w:pPr>
        <w:rPr>
          <w:lang w:val="en-US"/>
        </w:rPr>
      </w:pPr>
    </w:p>
    <w:p w:rsidR="00C643C4" w:rsidRPr="00F1648D" w:rsidRDefault="00150956" w:rsidP="00C643C4">
      <w:pPr>
        <w:rPr>
          <w:b/>
          <w:color w:val="000000"/>
          <w:sz w:val="18"/>
          <w:szCs w:val="18"/>
          <w:lang w:val="en-US"/>
        </w:rPr>
      </w:pPr>
      <w:r w:rsidRPr="00F1648D">
        <w:rPr>
          <w:b/>
          <w:color w:val="000000"/>
          <w:sz w:val="18"/>
          <w:szCs w:val="18"/>
          <w:lang w:val="en-US"/>
        </w:rPr>
        <w:t>"How to consent a STEMI patient"</w:t>
      </w:r>
    </w:p>
    <w:p w:rsidR="00150956" w:rsidRPr="00150956" w:rsidRDefault="00150956" w:rsidP="00C643C4">
      <w:pPr>
        <w:rPr>
          <w:lang w:val="en-US"/>
        </w:rPr>
      </w:pPr>
    </w:p>
    <w:p w:rsidR="00C643C4" w:rsidRPr="00C643C4" w:rsidRDefault="00C643C4" w:rsidP="00C643C4">
      <w:pPr>
        <w:spacing w:before="30" w:after="30"/>
        <w:ind w:left="30" w:right="30"/>
        <w:jc w:val="both"/>
        <w:rPr>
          <w:sz w:val="15"/>
          <w:szCs w:val="15"/>
        </w:rPr>
      </w:pPr>
      <w:r w:rsidRPr="00EC2B9F">
        <w:rPr>
          <w:i/>
          <w:iCs/>
          <w:sz w:val="15"/>
          <w:szCs w:val="15"/>
        </w:rPr>
        <w:t xml:space="preserve">ANDERSEN A.H., </w:t>
      </w:r>
      <w:r w:rsidRPr="00EC2B9F">
        <w:rPr>
          <w:i/>
          <w:iCs/>
          <w:sz w:val="15"/>
          <w:szCs w:val="15"/>
          <w:u w:val="single"/>
        </w:rPr>
        <w:t>BEHRNDTZ P.</w:t>
      </w:r>
      <w:r w:rsidRPr="00C643C4">
        <w:rPr>
          <w:i/>
          <w:iCs/>
          <w:sz w:val="15"/>
          <w:szCs w:val="15"/>
        </w:rPr>
        <w:t>, BREGENDAHL M., HALD H.</w:t>
      </w:r>
    </w:p>
    <w:p w:rsidR="00C643C4" w:rsidRPr="00C643C4" w:rsidRDefault="00C643C4" w:rsidP="00C643C4">
      <w:pPr>
        <w:spacing w:before="30" w:after="30"/>
        <w:ind w:left="30" w:right="30"/>
        <w:jc w:val="both"/>
        <w:rPr>
          <w:sz w:val="15"/>
          <w:szCs w:val="15"/>
          <w:lang w:val="en-US"/>
        </w:rPr>
      </w:pPr>
      <w:r w:rsidRPr="00C643C4">
        <w:rPr>
          <w:i/>
          <w:iCs/>
          <w:sz w:val="15"/>
          <w:szCs w:val="15"/>
          <w:lang w:val="en-US"/>
        </w:rPr>
        <w:t>AALBORG HOSPITAL, DENMARK, AALBORG, DENMARK</w:t>
      </w:r>
    </w:p>
    <w:p w:rsidR="00C643C4" w:rsidRPr="00C643C4" w:rsidRDefault="00C643C4" w:rsidP="00C643C4">
      <w:pPr>
        <w:spacing w:before="30" w:after="30"/>
        <w:ind w:left="30" w:right="30"/>
        <w:jc w:val="both"/>
        <w:rPr>
          <w:sz w:val="15"/>
          <w:szCs w:val="15"/>
          <w:lang w:val="en-US"/>
        </w:rPr>
      </w:pPr>
      <w:r w:rsidRPr="00C643C4">
        <w:rPr>
          <w:sz w:val="15"/>
          <w:szCs w:val="15"/>
          <w:lang w:val="en-US"/>
        </w:rPr>
        <w:t> </w:t>
      </w:r>
    </w:p>
    <w:p w:rsidR="00BD0F99" w:rsidRDefault="00BD0F99" w:rsidP="00C643C4">
      <w:pPr>
        <w:rPr>
          <w:color w:val="365F91" w:themeColor="accent1" w:themeShade="BF"/>
          <w:sz w:val="20"/>
          <w:szCs w:val="20"/>
          <w:lang w:val="en-US"/>
        </w:rPr>
      </w:pPr>
      <w:bookmarkStart w:id="0" w:name="data1"/>
      <w:bookmarkEnd w:id="0"/>
    </w:p>
    <w:p w:rsidR="004B720E" w:rsidRPr="00F1648D" w:rsidRDefault="004B720E" w:rsidP="00C643C4">
      <w:pPr>
        <w:rPr>
          <w:b/>
          <w:sz w:val="16"/>
          <w:szCs w:val="16"/>
          <w:lang w:val="en-US"/>
        </w:rPr>
      </w:pPr>
      <w:r w:rsidRPr="00F1648D">
        <w:rPr>
          <w:b/>
          <w:sz w:val="16"/>
          <w:szCs w:val="16"/>
          <w:lang w:val="en-US"/>
        </w:rPr>
        <w:t>Background and objectives</w:t>
      </w:r>
    </w:p>
    <w:p w:rsidR="00FD1AE8" w:rsidRPr="00F1648D" w:rsidRDefault="00FD1AE8" w:rsidP="00FD1AE8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Clinical studies should be carried out according to International Conference on Harmonization (ICH) and Good Clinical Practice (GCP) standards</w:t>
      </w:r>
      <w:r w:rsidR="001B7F87" w:rsidRPr="00F1648D">
        <w:rPr>
          <w:sz w:val="16"/>
          <w:szCs w:val="16"/>
          <w:lang w:val="en-US"/>
        </w:rPr>
        <w:t xml:space="preserve">. This </w:t>
      </w:r>
      <w:r w:rsidRPr="00F1648D">
        <w:rPr>
          <w:sz w:val="16"/>
          <w:szCs w:val="16"/>
          <w:lang w:val="en-US"/>
        </w:rPr>
        <w:t>include</w:t>
      </w:r>
      <w:r w:rsidR="001B7F87" w:rsidRPr="00F1648D">
        <w:rPr>
          <w:sz w:val="16"/>
          <w:szCs w:val="16"/>
          <w:lang w:val="en-US"/>
        </w:rPr>
        <w:t>s</w:t>
      </w:r>
      <w:r w:rsidRPr="00F1648D">
        <w:rPr>
          <w:sz w:val="16"/>
          <w:szCs w:val="16"/>
          <w:lang w:val="en-US"/>
        </w:rPr>
        <w:t xml:space="preserve"> Informed Consent, confirming the subjects’ willingness to pa</w:t>
      </w:r>
      <w:r w:rsidR="00DA1512" w:rsidRPr="00F1648D">
        <w:rPr>
          <w:sz w:val="16"/>
          <w:szCs w:val="16"/>
          <w:lang w:val="en-US"/>
        </w:rPr>
        <w:t>rticipate in a particular trial</w:t>
      </w:r>
      <w:r w:rsidR="00BB0FE5" w:rsidRPr="00F1648D">
        <w:rPr>
          <w:sz w:val="16"/>
          <w:szCs w:val="16"/>
          <w:lang w:val="en-US"/>
        </w:rPr>
        <w:t>,</w:t>
      </w:r>
      <w:r w:rsidR="001B7F87" w:rsidRPr="00F1648D">
        <w:rPr>
          <w:sz w:val="16"/>
          <w:szCs w:val="16"/>
          <w:lang w:val="en-US"/>
        </w:rPr>
        <w:t xml:space="preserve"> after</w:t>
      </w:r>
      <w:r w:rsidRPr="00F1648D">
        <w:rPr>
          <w:sz w:val="16"/>
          <w:szCs w:val="16"/>
          <w:lang w:val="en-US"/>
        </w:rPr>
        <w:t xml:space="preserve"> receiv</w:t>
      </w:r>
      <w:r w:rsidR="001B7F87" w:rsidRPr="00F1648D">
        <w:rPr>
          <w:sz w:val="16"/>
          <w:szCs w:val="16"/>
          <w:lang w:val="en-US"/>
        </w:rPr>
        <w:t xml:space="preserve">ing </w:t>
      </w:r>
      <w:r w:rsidRPr="00F1648D">
        <w:rPr>
          <w:sz w:val="16"/>
          <w:szCs w:val="16"/>
          <w:lang w:val="en-US"/>
        </w:rPr>
        <w:t>ful</w:t>
      </w:r>
      <w:r w:rsidR="001B7F87" w:rsidRPr="00F1648D">
        <w:rPr>
          <w:sz w:val="16"/>
          <w:szCs w:val="16"/>
          <w:lang w:val="en-US"/>
        </w:rPr>
        <w:t>l information (orally and written) of all aspects of the trial</w:t>
      </w:r>
      <w:r w:rsidR="00DA1512" w:rsidRPr="00F1648D">
        <w:rPr>
          <w:sz w:val="16"/>
          <w:szCs w:val="16"/>
          <w:lang w:val="en-US"/>
        </w:rPr>
        <w:t>,</w:t>
      </w:r>
      <w:r w:rsidR="001B7F87" w:rsidRPr="00F1648D">
        <w:rPr>
          <w:sz w:val="16"/>
          <w:szCs w:val="16"/>
          <w:lang w:val="en-US"/>
        </w:rPr>
        <w:t xml:space="preserve"> that are of relevance to the subjects’ decision to participa</w:t>
      </w:r>
      <w:r w:rsidR="00DA1512" w:rsidRPr="00F1648D">
        <w:rPr>
          <w:sz w:val="16"/>
          <w:szCs w:val="16"/>
          <w:lang w:val="en-US"/>
        </w:rPr>
        <w:t>tion</w:t>
      </w:r>
      <w:r w:rsidR="001B7F87" w:rsidRPr="00F1648D">
        <w:rPr>
          <w:sz w:val="16"/>
          <w:szCs w:val="16"/>
          <w:lang w:val="en-US"/>
        </w:rPr>
        <w:t xml:space="preserve">. </w:t>
      </w:r>
    </w:p>
    <w:p w:rsidR="001B7F87" w:rsidRPr="00F1648D" w:rsidRDefault="001B7F87" w:rsidP="001B7F87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STEMI patients, as trial subjects, must be considered vulnerable subjects due to the emergency of the situation</w:t>
      </w:r>
      <w:r w:rsidR="00DA1512" w:rsidRPr="00F1648D">
        <w:rPr>
          <w:sz w:val="16"/>
          <w:szCs w:val="16"/>
          <w:lang w:val="en-US"/>
        </w:rPr>
        <w:t>,</w:t>
      </w:r>
      <w:r w:rsidRPr="00F1648D">
        <w:rPr>
          <w:sz w:val="16"/>
          <w:szCs w:val="16"/>
          <w:lang w:val="en-US"/>
        </w:rPr>
        <w:t xml:space="preserve"> and the circumstances of the illness. It is however necessary to try include these patients in Clinical Trials to continuously develop the STEMI treatment. </w:t>
      </w:r>
    </w:p>
    <w:p w:rsidR="001B7F87" w:rsidRPr="00F1648D" w:rsidRDefault="001B7F87" w:rsidP="001B7F87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 xml:space="preserve">Obtaining informed consent from a STEMI patient is a sensitive task considering the circumstances of the illness. </w:t>
      </w:r>
      <w:r w:rsidR="00DA1512" w:rsidRPr="00F1648D">
        <w:rPr>
          <w:sz w:val="16"/>
          <w:szCs w:val="16"/>
          <w:lang w:val="en-US"/>
        </w:rPr>
        <w:t>Under these circumstances it is only possible to fully inform the patient orally, and</w:t>
      </w:r>
      <w:r w:rsidR="00BB0FE5" w:rsidRPr="00F1648D">
        <w:rPr>
          <w:sz w:val="16"/>
          <w:szCs w:val="16"/>
          <w:lang w:val="en-US"/>
        </w:rPr>
        <w:t xml:space="preserve"> hereby</w:t>
      </w:r>
      <w:r w:rsidR="00DA1512" w:rsidRPr="00F1648D">
        <w:rPr>
          <w:sz w:val="16"/>
          <w:szCs w:val="16"/>
          <w:lang w:val="en-US"/>
        </w:rPr>
        <w:t xml:space="preserve"> secure a signed and dated informed consent form prior to any study related activity. </w:t>
      </w:r>
    </w:p>
    <w:p w:rsidR="001B7F87" w:rsidRPr="00F1648D" w:rsidRDefault="001B7F87" w:rsidP="001B7F87">
      <w:pPr>
        <w:rPr>
          <w:sz w:val="16"/>
          <w:szCs w:val="16"/>
          <w:lang w:val="en-US"/>
        </w:rPr>
      </w:pPr>
    </w:p>
    <w:p w:rsidR="00FD1AE8" w:rsidRPr="00F1648D" w:rsidRDefault="00DA1512" w:rsidP="00FD1AE8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This pilot project was initiated by the question</w:t>
      </w:r>
      <w:r w:rsidR="004B720E" w:rsidRPr="00F1648D">
        <w:rPr>
          <w:sz w:val="16"/>
          <w:szCs w:val="16"/>
          <w:lang w:val="en-US"/>
        </w:rPr>
        <w:t>,</w:t>
      </w:r>
      <w:r w:rsidRPr="00F1648D">
        <w:rPr>
          <w:sz w:val="16"/>
          <w:szCs w:val="16"/>
          <w:lang w:val="en-US"/>
        </w:rPr>
        <w:t xml:space="preserve"> whether the STEMI patient</w:t>
      </w:r>
      <w:r w:rsidR="004B720E" w:rsidRPr="00F1648D">
        <w:rPr>
          <w:sz w:val="16"/>
          <w:szCs w:val="16"/>
          <w:lang w:val="en-US"/>
        </w:rPr>
        <w:t xml:space="preserve"> who is ask</w:t>
      </w:r>
      <w:r w:rsidR="00F1648D">
        <w:rPr>
          <w:sz w:val="16"/>
          <w:szCs w:val="16"/>
          <w:lang w:val="en-US"/>
        </w:rPr>
        <w:t>ed to consider participation in</w:t>
      </w:r>
      <w:r w:rsidR="004B720E" w:rsidRPr="00F1648D">
        <w:rPr>
          <w:sz w:val="16"/>
          <w:szCs w:val="16"/>
          <w:lang w:val="en-US"/>
        </w:rPr>
        <w:t xml:space="preserve"> Randomized Clinical Trials (RCT), as a part of the STEMI treatment, can actually relate to the oral information given by the PCI-operator in the Cath. Lab. </w:t>
      </w:r>
    </w:p>
    <w:p w:rsidR="00755AA4" w:rsidRPr="00F1648D" w:rsidRDefault="00755AA4" w:rsidP="00FD1AE8">
      <w:pPr>
        <w:rPr>
          <w:sz w:val="16"/>
          <w:szCs w:val="16"/>
          <w:lang w:val="en-US"/>
        </w:rPr>
      </w:pPr>
    </w:p>
    <w:p w:rsidR="00FD1AE8" w:rsidRPr="00F1648D" w:rsidRDefault="00755AA4" w:rsidP="00FD1AE8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It was assumed that several factors influenced on the STEMI patients' attitudes</w:t>
      </w:r>
      <w:r w:rsidR="003B7607" w:rsidRPr="00F1648D">
        <w:rPr>
          <w:sz w:val="16"/>
          <w:szCs w:val="16"/>
          <w:lang w:val="en-US"/>
        </w:rPr>
        <w:t xml:space="preserve"> towards participation in RCT. </w:t>
      </w:r>
    </w:p>
    <w:p w:rsidR="00FD1AE8" w:rsidRPr="00F1648D" w:rsidRDefault="00755AA4" w:rsidP="00C643C4">
      <w:p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Hypothesis:</w:t>
      </w:r>
    </w:p>
    <w:p w:rsidR="00755AA4" w:rsidRPr="00F1648D" w:rsidRDefault="00755AA4" w:rsidP="00755AA4">
      <w:pPr>
        <w:pStyle w:val="Listeafsnit"/>
        <w:numPr>
          <w:ilvl w:val="0"/>
          <w:numId w:val="2"/>
        </w:num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The STEMI patient might feel pressured to participate in RCT as a part of the treatment</w:t>
      </w:r>
      <w:r w:rsidR="003B7607" w:rsidRPr="00F1648D">
        <w:rPr>
          <w:sz w:val="16"/>
          <w:szCs w:val="16"/>
          <w:lang w:val="en-US"/>
        </w:rPr>
        <w:t>.</w:t>
      </w:r>
    </w:p>
    <w:p w:rsidR="003B7607" w:rsidRPr="00F1648D" w:rsidRDefault="003B7607" w:rsidP="00755AA4">
      <w:pPr>
        <w:pStyle w:val="Listeafsnit"/>
        <w:numPr>
          <w:ilvl w:val="0"/>
          <w:numId w:val="2"/>
        </w:numPr>
        <w:rPr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It was difficult for the patient to accept participation in RCT when asked to consider participation in more than one RCT at the same time.</w:t>
      </w:r>
    </w:p>
    <w:p w:rsidR="003B7607" w:rsidRPr="00F1648D" w:rsidRDefault="003B7607" w:rsidP="003B7607">
      <w:pPr>
        <w:rPr>
          <w:sz w:val="16"/>
          <w:szCs w:val="16"/>
          <w:lang w:val="en-US"/>
        </w:rPr>
      </w:pPr>
    </w:p>
    <w:p w:rsidR="00BD0F99" w:rsidRPr="00F1648D" w:rsidRDefault="003B7607" w:rsidP="00C643C4">
      <w:pPr>
        <w:rPr>
          <w:color w:val="365F91" w:themeColor="accent1" w:themeShade="BF"/>
          <w:sz w:val="16"/>
          <w:szCs w:val="16"/>
          <w:lang w:val="en-US"/>
        </w:rPr>
      </w:pPr>
      <w:r w:rsidRPr="00F1648D">
        <w:rPr>
          <w:sz w:val="16"/>
          <w:szCs w:val="16"/>
          <w:lang w:val="en-US"/>
        </w:rPr>
        <w:t>Objective: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8"/>
      </w:tblGrid>
      <w:tr w:rsidR="00755AA4" w:rsidRPr="00F1648D" w:rsidTr="00B50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607" w:rsidRPr="00F1648D" w:rsidRDefault="003B7607" w:rsidP="003B7607">
            <w:pPr>
              <w:rPr>
                <w:sz w:val="16"/>
                <w:szCs w:val="16"/>
                <w:lang w:val="en-US"/>
              </w:rPr>
            </w:pPr>
            <w:r w:rsidRPr="00F1648D">
              <w:rPr>
                <w:sz w:val="16"/>
                <w:szCs w:val="16"/>
                <w:lang w:val="en-US"/>
              </w:rPr>
              <w:t>T</w:t>
            </w:r>
            <w:r w:rsidR="00755AA4" w:rsidRPr="00F1648D">
              <w:rPr>
                <w:sz w:val="16"/>
                <w:szCs w:val="16"/>
                <w:lang w:val="en-US"/>
              </w:rPr>
              <w:t>o understand to which extent the STEMI patient f</w:t>
            </w:r>
            <w:r w:rsidRPr="00F1648D">
              <w:rPr>
                <w:sz w:val="16"/>
                <w:szCs w:val="16"/>
                <w:lang w:val="en-US"/>
              </w:rPr>
              <w:t>elt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capable of considering participa</w:t>
            </w:r>
            <w:r w:rsidRPr="00F1648D">
              <w:rPr>
                <w:sz w:val="16"/>
                <w:szCs w:val="16"/>
                <w:lang w:val="en-US"/>
              </w:rPr>
              <w:t xml:space="preserve">tion in RCT, and what influenced </w:t>
            </w:r>
            <w:r w:rsidR="00755AA4" w:rsidRPr="00F1648D">
              <w:rPr>
                <w:sz w:val="16"/>
                <w:szCs w:val="16"/>
                <w:lang w:val="en-US"/>
              </w:rPr>
              <w:t>on this decision.</w:t>
            </w:r>
            <w:r w:rsidR="00755AA4" w:rsidRPr="00F1648D">
              <w:rPr>
                <w:sz w:val="16"/>
                <w:szCs w:val="16"/>
                <w:lang w:val="en-US"/>
              </w:rPr>
              <w:br/>
            </w:r>
          </w:p>
          <w:p w:rsidR="003B7607" w:rsidRPr="00F1648D" w:rsidRDefault="00755AA4" w:rsidP="003B7607">
            <w:pPr>
              <w:rPr>
                <w:b/>
                <w:sz w:val="16"/>
                <w:szCs w:val="16"/>
                <w:lang w:val="en-US"/>
              </w:rPr>
            </w:pPr>
            <w:r w:rsidRPr="00F1648D">
              <w:rPr>
                <w:b/>
                <w:sz w:val="16"/>
                <w:szCs w:val="16"/>
                <w:lang w:val="en-US"/>
              </w:rPr>
              <w:t>Methods</w:t>
            </w:r>
            <w:r w:rsidR="003B7607" w:rsidRPr="00F1648D">
              <w:rPr>
                <w:b/>
                <w:sz w:val="16"/>
                <w:szCs w:val="16"/>
                <w:lang w:val="en-US"/>
              </w:rPr>
              <w:t xml:space="preserve"> and results</w:t>
            </w:r>
          </w:p>
          <w:p w:rsidR="003B7607" w:rsidRPr="00F1648D" w:rsidRDefault="003B7607" w:rsidP="003B7607">
            <w:pPr>
              <w:rPr>
                <w:sz w:val="16"/>
                <w:szCs w:val="16"/>
                <w:lang w:val="en-US"/>
              </w:rPr>
            </w:pPr>
            <w:r w:rsidRPr="00F1648D">
              <w:rPr>
                <w:sz w:val="16"/>
                <w:szCs w:val="16"/>
                <w:lang w:val="en-US"/>
              </w:rPr>
              <w:t>This pilot project was s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et up as a semi-quantitative </w:t>
            </w:r>
            <w:r w:rsidRPr="00F1648D">
              <w:rPr>
                <w:sz w:val="16"/>
                <w:szCs w:val="16"/>
                <w:lang w:val="en-US"/>
              </w:rPr>
              <w:t>questionnaire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during the patients' admittance t</w:t>
            </w:r>
            <w:r w:rsidRPr="00F1648D">
              <w:rPr>
                <w:sz w:val="16"/>
                <w:szCs w:val="16"/>
                <w:lang w:val="en-US"/>
              </w:rPr>
              <w:t>o the hospital 6-48 hours after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primary PCI. </w:t>
            </w:r>
            <w:r w:rsidR="00755AA4" w:rsidRPr="00F1648D">
              <w:rPr>
                <w:sz w:val="16"/>
                <w:szCs w:val="16"/>
                <w:lang w:val="en-US"/>
              </w:rPr>
              <w:br/>
            </w:r>
            <w:r w:rsidRPr="00F1648D">
              <w:rPr>
                <w:sz w:val="16"/>
                <w:szCs w:val="16"/>
                <w:lang w:val="en-US"/>
              </w:rPr>
              <w:t>Questionnaires were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delivered to 100 STEMI patients admitted to the hospital during all week, all hours.  </w:t>
            </w:r>
            <w:r w:rsidR="00755AA4" w:rsidRPr="00F1648D">
              <w:rPr>
                <w:sz w:val="16"/>
                <w:szCs w:val="16"/>
                <w:lang w:val="en-US"/>
              </w:rPr>
              <w:br/>
            </w:r>
            <w:r w:rsidRPr="00F1648D">
              <w:rPr>
                <w:sz w:val="16"/>
                <w:szCs w:val="16"/>
                <w:lang w:val="en-US"/>
              </w:rPr>
              <w:t>Study subjects had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the opportunity to answer anonymously, and express their feelings and attitudes towards being asked to consider participation in RCT </w:t>
            </w:r>
            <w:r w:rsidRPr="00F1648D">
              <w:rPr>
                <w:sz w:val="16"/>
                <w:szCs w:val="16"/>
                <w:lang w:val="en-US"/>
              </w:rPr>
              <w:t>prior to,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and during their treatment for STEMI. Some questions on the </w:t>
            </w:r>
            <w:r w:rsidRPr="00F1648D">
              <w:rPr>
                <w:sz w:val="16"/>
                <w:szCs w:val="16"/>
                <w:lang w:val="en-US"/>
              </w:rPr>
              <w:t>questionnaires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 were designed as yes/no questions, others as a scale to give an </w:t>
            </w:r>
            <w:r w:rsidRPr="00F1648D">
              <w:rPr>
                <w:sz w:val="16"/>
                <w:szCs w:val="16"/>
                <w:lang w:val="en-US"/>
              </w:rPr>
              <w:t>intuitive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expression of satisfaction and non-satisfaction. In addition it was possible for the </w:t>
            </w:r>
            <w:r w:rsidRPr="00F1648D">
              <w:rPr>
                <w:sz w:val="16"/>
                <w:szCs w:val="16"/>
                <w:lang w:val="en-US"/>
              </w:rPr>
              <w:t>subjects</w:t>
            </w:r>
            <w:r w:rsidR="00755AA4" w:rsidRPr="00F1648D">
              <w:rPr>
                <w:sz w:val="16"/>
                <w:szCs w:val="16"/>
                <w:lang w:val="en-US"/>
              </w:rPr>
              <w:t xml:space="preserve"> to add thoughts and comments. </w:t>
            </w:r>
            <w:r w:rsidR="00755AA4" w:rsidRPr="00F1648D">
              <w:rPr>
                <w:sz w:val="16"/>
                <w:szCs w:val="16"/>
                <w:lang w:val="en-US"/>
              </w:rPr>
              <w:br/>
            </w:r>
          </w:p>
          <w:p w:rsidR="003B7607" w:rsidRPr="00F1648D" w:rsidRDefault="00755AA4" w:rsidP="003B7607">
            <w:pPr>
              <w:rPr>
                <w:sz w:val="16"/>
                <w:szCs w:val="16"/>
                <w:lang w:val="en-US"/>
              </w:rPr>
            </w:pPr>
            <w:r w:rsidRPr="00F1648D">
              <w:rPr>
                <w:sz w:val="16"/>
                <w:szCs w:val="16"/>
                <w:lang w:val="en-US"/>
              </w:rPr>
              <w:t xml:space="preserve">Results: </w:t>
            </w:r>
            <w:r w:rsidR="003B7607" w:rsidRPr="00F1648D">
              <w:rPr>
                <w:sz w:val="16"/>
                <w:szCs w:val="16"/>
                <w:lang w:val="en-US"/>
              </w:rPr>
              <w:t>Will be ready by May 2013.</w:t>
            </w:r>
          </w:p>
          <w:p w:rsidR="00755AA4" w:rsidRPr="00F1648D" w:rsidRDefault="00755AA4" w:rsidP="003B7607">
            <w:pPr>
              <w:rPr>
                <w:sz w:val="16"/>
                <w:szCs w:val="16"/>
                <w:lang w:val="en-US"/>
              </w:rPr>
            </w:pPr>
            <w:r w:rsidRPr="00F1648D">
              <w:rPr>
                <w:sz w:val="16"/>
                <w:szCs w:val="16"/>
                <w:lang w:val="en-US"/>
              </w:rPr>
              <w:br/>
              <w:t xml:space="preserve">Conclusions: </w:t>
            </w:r>
            <w:r w:rsidR="003B7607" w:rsidRPr="00F1648D">
              <w:rPr>
                <w:sz w:val="16"/>
                <w:szCs w:val="16"/>
                <w:lang w:val="en-US"/>
              </w:rPr>
              <w:t>Will be ready by May 2013</w:t>
            </w:r>
          </w:p>
        </w:tc>
      </w:tr>
    </w:tbl>
    <w:p w:rsidR="00BD0F99" w:rsidRPr="00C22A1D" w:rsidRDefault="00BD0F99" w:rsidP="00C643C4">
      <w:pPr>
        <w:rPr>
          <w:sz w:val="20"/>
          <w:szCs w:val="20"/>
          <w:lang w:val="en-US"/>
        </w:rPr>
      </w:pPr>
    </w:p>
    <w:p w:rsidR="00F27C5D" w:rsidRPr="00C22A1D" w:rsidRDefault="00F27C5D" w:rsidP="00C643C4">
      <w:pPr>
        <w:rPr>
          <w:sz w:val="20"/>
          <w:szCs w:val="20"/>
          <w:lang w:val="en-US"/>
        </w:rPr>
      </w:pPr>
    </w:p>
    <w:sectPr w:rsidR="00F27C5D" w:rsidRPr="00C22A1D" w:rsidSect="007A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24" w:rsidRDefault="008D0E24" w:rsidP="008D0E24">
      <w:r>
        <w:separator/>
      </w:r>
    </w:p>
  </w:endnote>
  <w:endnote w:type="continuationSeparator" w:id="0">
    <w:p w:rsidR="008D0E24" w:rsidRDefault="008D0E24" w:rsidP="008D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24" w:rsidRDefault="008D0E24" w:rsidP="008D0E24">
      <w:r>
        <w:separator/>
      </w:r>
    </w:p>
  </w:footnote>
  <w:footnote w:type="continuationSeparator" w:id="0">
    <w:p w:rsidR="008D0E24" w:rsidRDefault="008D0E24" w:rsidP="008D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24" w:rsidRDefault="008D0E2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307"/>
    <w:multiLevelType w:val="hybridMultilevel"/>
    <w:tmpl w:val="4710C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A3CF3"/>
    <w:multiLevelType w:val="multilevel"/>
    <w:tmpl w:val="D8E41A52"/>
    <w:lvl w:ilvl="0">
      <w:start w:val="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7C"/>
    <w:rsid w:val="00150956"/>
    <w:rsid w:val="001B7F87"/>
    <w:rsid w:val="002230F7"/>
    <w:rsid w:val="0038607F"/>
    <w:rsid w:val="003B1F0D"/>
    <w:rsid w:val="003B7607"/>
    <w:rsid w:val="004328CC"/>
    <w:rsid w:val="004B720E"/>
    <w:rsid w:val="0051004E"/>
    <w:rsid w:val="00524873"/>
    <w:rsid w:val="006D566B"/>
    <w:rsid w:val="00710EE4"/>
    <w:rsid w:val="00755AA4"/>
    <w:rsid w:val="00782BF1"/>
    <w:rsid w:val="007A579A"/>
    <w:rsid w:val="007A5963"/>
    <w:rsid w:val="007A6C16"/>
    <w:rsid w:val="008330E7"/>
    <w:rsid w:val="008D0E24"/>
    <w:rsid w:val="009C5246"/>
    <w:rsid w:val="009F53BC"/>
    <w:rsid w:val="00AC3DF8"/>
    <w:rsid w:val="00BB0FE5"/>
    <w:rsid w:val="00BD0F99"/>
    <w:rsid w:val="00C13F75"/>
    <w:rsid w:val="00C22A1D"/>
    <w:rsid w:val="00C643C4"/>
    <w:rsid w:val="00CA417C"/>
    <w:rsid w:val="00DA1512"/>
    <w:rsid w:val="00E5036F"/>
    <w:rsid w:val="00EC2B9F"/>
    <w:rsid w:val="00EF622C"/>
    <w:rsid w:val="00F1648D"/>
    <w:rsid w:val="00F27C5D"/>
    <w:rsid w:val="00F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79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643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3C4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C643C4"/>
    <w:rPr>
      <w:b/>
      <w:bCs/>
    </w:rPr>
  </w:style>
  <w:style w:type="paragraph" w:customStyle="1" w:styleId="Default">
    <w:name w:val="Default"/>
    <w:rsid w:val="00F27C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55AA4"/>
    <w:pPr>
      <w:ind w:left="720"/>
      <w:contextualSpacing/>
    </w:pPr>
  </w:style>
  <w:style w:type="paragraph" w:styleId="Sidehoved">
    <w:name w:val="header"/>
    <w:basedOn w:val="Normal"/>
    <w:link w:val="SidehovedTegn"/>
    <w:rsid w:val="008D0E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D0E24"/>
    <w:rPr>
      <w:sz w:val="24"/>
      <w:szCs w:val="24"/>
    </w:rPr>
  </w:style>
  <w:style w:type="paragraph" w:styleId="Sidefod">
    <w:name w:val="footer"/>
    <w:basedOn w:val="Normal"/>
    <w:link w:val="SidefodTegn"/>
    <w:rsid w:val="008D0E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D0E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rn.dk/owa/redir.aspx?C=R6Vg5ZusoUSFFaQchXllXoyay_ejqc8Ib7RT5psx1c60QhWpBV_U87u21HNgTJ6MAvG5qsP7zWI.&amp;URL=mailto%3apib%40r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073E-95D6-49BB-918E-E1B6B3EC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Sundhed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Behrndtz</dc:creator>
  <cp:lastModifiedBy>Hanne Madsen</cp:lastModifiedBy>
  <cp:revision>2</cp:revision>
  <cp:lastPrinted>2012-12-09T12:59:00Z</cp:lastPrinted>
  <dcterms:created xsi:type="dcterms:W3CDTF">2014-04-08T08:29:00Z</dcterms:created>
  <dcterms:modified xsi:type="dcterms:W3CDTF">2014-04-08T08:29:00Z</dcterms:modified>
</cp:coreProperties>
</file>