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E82C" w14:textId="1D644A8D" w:rsidR="00074313" w:rsidRPr="005D3F5C" w:rsidRDefault="00FE6AE2" w:rsidP="00B531CD">
      <w:pPr>
        <w:pStyle w:val="Overskrift1"/>
        <w:ind w:firstLine="0"/>
        <w:rPr>
          <w:rFonts w:ascii="Times New Roman" w:hAnsi="Times New Roman"/>
          <w:color w:val="auto"/>
        </w:rPr>
      </w:pPr>
      <w:bookmarkStart w:id="0" w:name="_GoBack"/>
      <w:bookmarkEnd w:id="0"/>
      <w:r>
        <w:rPr>
          <w:rStyle w:val="Fodnotehenvisning"/>
          <w:rFonts w:ascii="Times New Roman" w:hAnsi="Times New Roman"/>
          <w:color w:val="auto"/>
        </w:rPr>
        <w:footnoteReference w:id="1"/>
      </w:r>
      <w:r w:rsidR="008379CC" w:rsidRPr="005D3F5C">
        <w:rPr>
          <w:rFonts w:ascii="Times New Roman" w:hAnsi="Times New Roman"/>
          <w:color w:val="auto"/>
        </w:rPr>
        <w:t xml:space="preserve">Intracellular accumulation of acetate in </w:t>
      </w:r>
      <w:proofErr w:type="spellStart"/>
      <w:r w:rsidR="008379CC" w:rsidRPr="005D3F5C">
        <w:rPr>
          <w:rFonts w:ascii="Times New Roman" w:hAnsi="Times New Roman"/>
          <w:i/>
          <w:color w:val="auto"/>
        </w:rPr>
        <w:t>Tetrasphaera</w:t>
      </w:r>
      <w:proofErr w:type="spellEnd"/>
      <w:r w:rsidR="008379CC" w:rsidRPr="005D3F5C">
        <w:rPr>
          <w:rFonts w:ascii="Times New Roman" w:hAnsi="Times New Roman"/>
          <w:i/>
          <w:color w:val="auto"/>
        </w:rPr>
        <w:t xml:space="preserve"> </w:t>
      </w:r>
      <w:proofErr w:type="spellStart"/>
      <w:r w:rsidR="008379CC" w:rsidRPr="005D3F5C">
        <w:rPr>
          <w:rFonts w:ascii="Times New Roman" w:hAnsi="Times New Roman"/>
          <w:i/>
          <w:color w:val="auto"/>
        </w:rPr>
        <w:t>elongata</w:t>
      </w:r>
      <w:proofErr w:type="spellEnd"/>
      <w:r w:rsidR="008379CC" w:rsidRPr="005D3F5C">
        <w:rPr>
          <w:rFonts w:ascii="Times New Roman" w:hAnsi="Times New Roman"/>
          <w:color w:val="auto"/>
        </w:rPr>
        <w:t xml:space="preserve"> and activated sludge during dynamic anaerobic-aerobic conditions</w:t>
      </w:r>
      <w:r w:rsidR="00074313" w:rsidRPr="005D3F5C">
        <w:rPr>
          <w:rFonts w:ascii="Times New Roman" w:hAnsi="Times New Roman"/>
          <w:color w:val="auto"/>
        </w:rPr>
        <w:t xml:space="preserve"> </w:t>
      </w:r>
    </w:p>
    <w:p w14:paraId="1343D626" w14:textId="77777777" w:rsidR="00074313" w:rsidRPr="00462E99" w:rsidRDefault="00074313" w:rsidP="00B531CD">
      <w:pPr>
        <w:rPr>
          <w:lang w:val="en-US"/>
        </w:rPr>
      </w:pPr>
    </w:p>
    <w:p w14:paraId="2C7B3484" w14:textId="77777777" w:rsidR="00074313" w:rsidRPr="005D3F5C" w:rsidRDefault="008379CC" w:rsidP="00B531CD">
      <w:pPr>
        <w:ind w:firstLine="0"/>
        <w:rPr>
          <w:sz w:val="20"/>
          <w:szCs w:val="20"/>
          <w:vertAlign w:val="superscript"/>
          <w:lang w:val="en-US"/>
        </w:rPr>
      </w:pPr>
      <w:r w:rsidRPr="005D3F5C">
        <w:rPr>
          <w:sz w:val="20"/>
          <w:szCs w:val="20"/>
          <w:lang w:val="en-US"/>
        </w:rPr>
        <w:t xml:space="preserve">Hien </w:t>
      </w:r>
      <w:proofErr w:type="spellStart"/>
      <w:r w:rsidRPr="005D3F5C">
        <w:rPr>
          <w:sz w:val="20"/>
          <w:szCs w:val="20"/>
          <w:lang w:val="en-US"/>
        </w:rPr>
        <w:t>Thi</w:t>
      </w:r>
      <w:proofErr w:type="spellEnd"/>
      <w:r w:rsidRPr="005D3F5C">
        <w:rPr>
          <w:sz w:val="20"/>
          <w:szCs w:val="20"/>
          <w:lang w:val="en-US"/>
        </w:rPr>
        <w:t xml:space="preserve"> Thu Nguyen*, Marta Nierychlo, Reinhard Wimmer, and Per Halkjær Nielsen </w:t>
      </w:r>
    </w:p>
    <w:p w14:paraId="0D9A7516" w14:textId="77777777" w:rsidR="00074313" w:rsidRPr="00462E99" w:rsidRDefault="00074313" w:rsidP="00B531CD">
      <w:pPr>
        <w:rPr>
          <w:vertAlign w:val="superscript"/>
          <w:lang w:val="en-US"/>
        </w:rPr>
      </w:pPr>
    </w:p>
    <w:p w14:paraId="481A5AE2" w14:textId="6C158485" w:rsidR="00074313" w:rsidRPr="00AA0445" w:rsidRDefault="008379CC" w:rsidP="00B531CD">
      <w:pPr>
        <w:ind w:firstLine="0"/>
        <w:rPr>
          <w:b w:val="0"/>
          <w:sz w:val="20"/>
          <w:szCs w:val="20"/>
          <w:lang w:val="en-US"/>
        </w:rPr>
      </w:pPr>
      <w:r w:rsidRPr="00B531CD">
        <w:rPr>
          <w:b w:val="0"/>
          <w:sz w:val="20"/>
          <w:szCs w:val="20"/>
          <w:lang w:val="en-US"/>
        </w:rPr>
        <w:t xml:space="preserve">Center for Microbial Communities, Department of Chemistry and Bioscience, Aalborg University, </w:t>
      </w:r>
      <w:r w:rsidR="0099175E">
        <w:rPr>
          <w:b w:val="0"/>
          <w:sz w:val="20"/>
          <w:szCs w:val="20"/>
          <w:lang w:val="en-US"/>
        </w:rPr>
        <w:t xml:space="preserve">Fredrik </w:t>
      </w:r>
      <w:proofErr w:type="spellStart"/>
      <w:r w:rsidR="0099175E">
        <w:rPr>
          <w:b w:val="0"/>
          <w:sz w:val="20"/>
          <w:szCs w:val="20"/>
          <w:lang w:val="en-US"/>
        </w:rPr>
        <w:t>Bajers</w:t>
      </w:r>
      <w:proofErr w:type="spellEnd"/>
      <w:r w:rsidR="0099175E">
        <w:rPr>
          <w:b w:val="0"/>
          <w:sz w:val="20"/>
          <w:szCs w:val="20"/>
          <w:lang w:val="en-US"/>
        </w:rPr>
        <w:t xml:space="preserve"> </w:t>
      </w:r>
      <w:proofErr w:type="spellStart"/>
      <w:r w:rsidR="0099175E">
        <w:rPr>
          <w:b w:val="0"/>
          <w:sz w:val="20"/>
          <w:szCs w:val="20"/>
          <w:lang w:val="en-US"/>
        </w:rPr>
        <w:t>Vej</w:t>
      </w:r>
      <w:proofErr w:type="spellEnd"/>
      <w:r w:rsidR="0099175E">
        <w:rPr>
          <w:b w:val="0"/>
          <w:sz w:val="20"/>
          <w:szCs w:val="20"/>
          <w:lang w:val="en-US"/>
        </w:rPr>
        <w:t xml:space="preserve"> 7H, 9220 Aalborg,</w:t>
      </w:r>
      <w:r w:rsidR="0099175E" w:rsidRPr="0099175E">
        <w:rPr>
          <w:b w:val="0"/>
          <w:sz w:val="20"/>
          <w:szCs w:val="20"/>
          <w:lang w:val="en-US"/>
        </w:rPr>
        <w:t xml:space="preserve"> Denmark</w:t>
      </w:r>
    </w:p>
    <w:p w14:paraId="361D7196" w14:textId="3FEF54A1" w:rsidR="00074313" w:rsidRPr="00B531CD" w:rsidRDefault="00074313" w:rsidP="00B531CD">
      <w:pPr>
        <w:ind w:firstLine="0"/>
        <w:rPr>
          <w:b w:val="0"/>
          <w:sz w:val="20"/>
          <w:szCs w:val="20"/>
          <w:lang w:val="en-US"/>
        </w:rPr>
      </w:pPr>
      <w:r w:rsidRPr="00B531CD">
        <w:rPr>
          <w:b w:val="0"/>
          <w:sz w:val="20"/>
          <w:szCs w:val="20"/>
          <w:vertAlign w:val="superscript"/>
          <w:lang w:val="en-US"/>
        </w:rPr>
        <w:t>*</w:t>
      </w:r>
      <w:r w:rsidRPr="00B531CD">
        <w:rPr>
          <w:b w:val="0"/>
          <w:sz w:val="20"/>
          <w:szCs w:val="20"/>
          <w:lang w:val="en-US"/>
        </w:rPr>
        <w:t xml:space="preserve"> </w:t>
      </w:r>
      <w:proofErr w:type="gramStart"/>
      <w:r w:rsidRPr="00B531CD">
        <w:rPr>
          <w:b w:val="0"/>
          <w:sz w:val="20"/>
          <w:szCs w:val="20"/>
          <w:lang w:val="en-US"/>
        </w:rPr>
        <w:t>corresponding</w:t>
      </w:r>
      <w:proofErr w:type="gramEnd"/>
      <w:r w:rsidRPr="00B531CD">
        <w:rPr>
          <w:b w:val="0"/>
          <w:sz w:val="20"/>
          <w:szCs w:val="20"/>
          <w:lang w:val="en-US"/>
        </w:rPr>
        <w:t xml:space="preserve"> author: hn@bio.aau.dk; + 45 9940 </w:t>
      </w:r>
      <w:r w:rsidR="004B5ADD">
        <w:rPr>
          <w:b w:val="0"/>
          <w:sz w:val="20"/>
          <w:szCs w:val="20"/>
          <w:lang w:val="en-US"/>
        </w:rPr>
        <w:t>3598</w:t>
      </w:r>
    </w:p>
    <w:p w14:paraId="1FE0897C" w14:textId="77777777" w:rsidR="00AB317E" w:rsidRDefault="00AB317E" w:rsidP="00B531CD"/>
    <w:p w14:paraId="229B4709" w14:textId="15F8D6A1" w:rsidR="00074313" w:rsidRPr="00122C87" w:rsidRDefault="00AB317E" w:rsidP="00B531CD">
      <w:pPr>
        <w:ind w:firstLine="0"/>
        <w:rPr>
          <w:b w:val="0"/>
          <w:sz w:val="20"/>
          <w:szCs w:val="20"/>
          <w:lang w:val="en-US"/>
        </w:rPr>
      </w:pPr>
      <w:r w:rsidRPr="00732CCA">
        <w:rPr>
          <w:sz w:val="20"/>
          <w:szCs w:val="20"/>
        </w:rPr>
        <w:t>Keywords:</w:t>
      </w:r>
      <w:r w:rsidR="00122C87">
        <w:rPr>
          <w:sz w:val="20"/>
          <w:szCs w:val="20"/>
        </w:rPr>
        <w:t xml:space="preserve"> </w:t>
      </w:r>
      <w:r w:rsidR="00FF7561">
        <w:rPr>
          <w:b w:val="0"/>
          <w:sz w:val="20"/>
          <w:szCs w:val="20"/>
        </w:rPr>
        <w:t>Intracellular accumulation;</w:t>
      </w:r>
      <w:r w:rsidR="00122C87" w:rsidRPr="00122C87">
        <w:rPr>
          <w:b w:val="0"/>
          <w:sz w:val="20"/>
          <w:szCs w:val="20"/>
        </w:rPr>
        <w:t xml:space="preserve"> </w:t>
      </w:r>
      <w:r w:rsidR="00FF7561">
        <w:rPr>
          <w:b w:val="0"/>
          <w:sz w:val="20"/>
          <w:szCs w:val="20"/>
        </w:rPr>
        <w:t>EBPR;</w:t>
      </w:r>
      <w:r w:rsidR="00122C87" w:rsidRPr="00122C87">
        <w:rPr>
          <w:b w:val="0"/>
          <w:sz w:val="20"/>
          <w:szCs w:val="20"/>
        </w:rPr>
        <w:t xml:space="preserve"> </w:t>
      </w:r>
      <w:r w:rsidR="00122C87" w:rsidRPr="00122C87">
        <w:rPr>
          <w:b w:val="0"/>
          <w:i/>
          <w:sz w:val="20"/>
          <w:szCs w:val="20"/>
        </w:rPr>
        <w:t>Tetrasphaera</w:t>
      </w:r>
      <w:r w:rsidR="00122C87" w:rsidRPr="00122C87">
        <w:rPr>
          <w:b w:val="0"/>
          <w:sz w:val="20"/>
          <w:szCs w:val="20"/>
        </w:rPr>
        <w:t>-related PAOs</w:t>
      </w:r>
      <w:r w:rsidR="00FF7561">
        <w:rPr>
          <w:b w:val="0"/>
          <w:sz w:val="20"/>
          <w:szCs w:val="20"/>
        </w:rPr>
        <w:t>, NMR</w:t>
      </w:r>
    </w:p>
    <w:p w14:paraId="0407183E" w14:textId="77777777" w:rsidR="00AB317E" w:rsidRDefault="00AB317E" w:rsidP="00B531CD">
      <w:pPr>
        <w:ind w:firstLine="0"/>
        <w:rPr>
          <w:lang w:val="en-US"/>
        </w:rPr>
      </w:pPr>
    </w:p>
    <w:p w14:paraId="7F81CFE5" w14:textId="77777777" w:rsidR="009F1ABA" w:rsidRDefault="00AB317E" w:rsidP="00B531CD">
      <w:pPr>
        <w:ind w:firstLine="0"/>
        <w:rPr>
          <w:lang w:val="en-US"/>
        </w:rPr>
      </w:pPr>
      <w:r>
        <w:rPr>
          <w:lang w:val="en-US"/>
        </w:rPr>
        <w:t>Introduction</w:t>
      </w:r>
      <w:r w:rsidR="00074313" w:rsidRPr="00462E99">
        <w:rPr>
          <w:lang w:val="en-US"/>
        </w:rPr>
        <w:t xml:space="preserve">. </w:t>
      </w:r>
    </w:p>
    <w:p w14:paraId="60289316" w14:textId="46DFAE4B" w:rsidR="00EE4A87" w:rsidRPr="00B531CD" w:rsidRDefault="00EE4A87" w:rsidP="00B531CD">
      <w:pPr>
        <w:rPr>
          <w:b w:val="0"/>
          <w:lang w:val="en-US"/>
        </w:rPr>
      </w:pPr>
      <w:r w:rsidRPr="00B531CD">
        <w:rPr>
          <w:b w:val="0"/>
          <w:lang w:val="en-US"/>
        </w:rPr>
        <w:t xml:space="preserve">It has now become clear from various analyses that </w:t>
      </w:r>
      <w:r w:rsidRPr="00B531CD">
        <w:rPr>
          <w:b w:val="0"/>
          <w:i/>
          <w:lang w:val="en-US"/>
        </w:rPr>
        <w:t>Tetrasphaera</w:t>
      </w:r>
      <w:r w:rsidRPr="00B531CD">
        <w:rPr>
          <w:b w:val="0"/>
          <w:lang w:val="en-US"/>
        </w:rPr>
        <w:t>-related polyphosphate accumulating organisms (PAOs) play important role</w:t>
      </w:r>
      <w:r w:rsidR="009C60C0">
        <w:rPr>
          <w:b w:val="0"/>
          <w:lang w:val="en-US"/>
        </w:rPr>
        <w:t>s</w:t>
      </w:r>
      <w:r w:rsidRPr="00B531CD">
        <w:rPr>
          <w:b w:val="0"/>
          <w:lang w:val="en-US"/>
        </w:rPr>
        <w:t xml:space="preserve"> in Enhanced Biological Phosphorus Removal (EBPR) plants. </w:t>
      </w:r>
      <w:r w:rsidR="0082424C" w:rsidRPr="00B531CD">
        <w:rPr>
          <w:b w:val="0"/>
          <w:lang w:val="en-US"/>
        </w:rPr>
        <w:t xml:space="preserve">They </w:t>
      </w:r>
      <w:r w:rsidR="00ED35D9">
        <w:rPr>
          <w:b w:val="0"/>
          <w:lang w:val="en-US"/>
        </w:rPr>
        <w:t xml:space="preserve">are </w:t>
      </w:r>
      <w:r w:rsidR="0082424C" w:rsidRPr="00B531CD">
        <w:rPr>
          <w:b w:val="0"/>
          <w:lang w:val="en-US"/>
        </w:rPr>
        <w:t xml:space="preserve">present in </w:t>
      </w:r>
      <w:r w:rsidR="00ED35D9">
        <w:rPr>
          <w:b w:val="0"/>
          <w:lang w:val="en-US"/>
        </w:rPr>
        <w:t>very</w:t>
      </w:r>
      <w:r w:rsidR="00ED35D9" w:rsidRPr="00B531CD">
        <w:rPr>
          <w:b w:val="0"/>
          <w:lang w:val="en-US"/>
        </w:rPr>
        <w:t xml:space="preserve"> </w:t>
      </w:r>
      <w:r w:rsidR="0082424C" w:rsidRPr="00B531CD">
        <w:rPr>
          <w:b w:val="0"/>
          <w:lang w:val="en-US"/>
        </w:rPr>
        <w:t xml:space="preserve">high abundances (up to 30% of the total bacterial </w:t>
      </w:r>
      <w:proofErr w:type="spellStart"/>
      <w:r w:rsidR="0082424C" w:rsidRPr="00B531CD">
        <w:rPr>
          <w:b w:val="0"/>
          <w:lang w:val="en-US"/>
        </w:rPr>
        <w:t>biovolume</w:t>
      </w:r>
      <w:proofErr w:type="spellEnd"/>
      <w:r w:rsidR="009C60C0">
        <w:rPr>
          <w:b w:val="0"/>
          <w:lang w:val="en-US"/>
        </w:rPr>
        <w:t xml:space="preserve">, </w:t>
      </w:r>
      <w:r w:rsidR="0082424C" w:rsidRPr="00B531CD">
        <w:rPr>
          <w:b w:val="0"/>
          <w:lang w:val="en-US"/>
        </w:rPr>
        <w:t xml:space="preserve">Kong et al., 2005; Nguyen et al., 2011), </w:t>
      </w:r>
      <w:r w:rsidR="00ED35D9">
        <w:rPr>
          <w:b w:val="0"/>
          <w:lang w:val="en-US"/>
        </w:rPr>
        <w:t xml:space="preserve">and </w:t>
      </w:r>
      <w:r w:rsidR="0082424C" w:rsidRPr="00B531CD">
        <w:rPr>
          <w:b w:val="0"/>
          <w:lang w:val="en-US"/>
        </w:rPr>
        <w:t xml:space="preserve">have </w:t>
      </w:r>
      <w:r w:rsidR="009C60C0">
        <w:rPr>
          <w:b w:val="0"/>
          <w:lang w:val="en-US"/>
        </w:rPr>
        <w:t>a</w:t>
      </w:r>
      <w:r w:rsidR="00ED35D9">
        <w:rPr>
          <w:b w:val="0"/>
          <w:lang w:val="en-US"/>
        </w:rPr>
        <w:t xml:space="preserve"> </w:t>
      </w:r>
      <w:r w:rsidR="0082424C" w:rsidRPr="00B531CD">
        <w:rPr>
          <w:b w:val="0"/>
          <w:lang w:val="en-US"/>
        </w:rPr>
        <w:t xml:space="preserve">physiology </w:t>
      </w:r>
      <w:r w:rsidR="00ED35D9">
        <w:rPr>
          <w:b w:val="0"/>
          <w:lang w:val="en-US"/>
        </w:rPr>
        <w:t xml:space="preserve">that </w:t>
      </w:r>
      <w:r w:rsidR="0082424C" w:rsidRPr="00B531CD">
        <w:rPr>
          <w:b w:val="0"/>
          <w:lang w:val="en-US"/>
        </w:rPr>
        <w:t xml:space="preserve">is markedly different from </w:t>
      </w:r>
      <w:r w:rsidR="00ED35D9">
        <w:rPr>
          <w:b w:val="0"/>
          <w:lang w:val="en-US"/>
        </w:rPr>
        <w:t xml:space="preserve">the </w:t>
      </w:r>
      <w:r w:rsidR="0082424C" w:rsidRPr="00B531CD">
        <w:rPr>
          <w:b w:val="0"/>
          <w:lang w:val="en-US"/>
        </w:rPr>
        <w:t xml:space="preserve">model PAOs, </w:t>
      </w:r>
      <w:r w:rsidR="00ED35D9" w:rsidRPr="0099175E">
        <w:rPr>
          <w:b w:val="0"/>
          <w:i/>
          <w:lang w:val="en-US"/>
        </w:rPr>
        <w:t>Ca</w:t>
      </w:r>
      <w:r w:rsidR="00ED35D9">
        <w:rPr>
          <w:b w:val="0"/>
          <w:lang w:val="en-US"/>
        </w:rPr>
        <w:t xml:space="preserve">. </w:t>
      </w:r>
      <w:r w:rsidR="0082424C" w:rsidRPr="0099175E">
        <w:rPr>
          <w:b w:val="0"/>
          <w:lang w:val="en-US"/>
        </w:rPr>
        <w:t>Accumulibacter</w:t>
      </w:r>
      <w:r w:rsidR="0082424C" w:rsidRPr="00B531CD">
        <w:rPr>
          <w:b w:val="0"/>
          <w:lang w:val="en-US"/>
        </w:rPr>
        <w:t xml:space="preserve">. </w:t>
      </w:r>
      <w:r w:rsidR="00724F7C" w:rsidRPr="00B531CD">
        <w:rPr>
          <w:b w:val="0"/>
          <w:lang w:val="en-US"/>
        </w:rPr>
        <w:t xml:space="preserve">PHA is not </w:t>
      </w:r>
      <w:r w:rsidR="009C60C0">
        <w:rPr>
          <w:b w:val="0"/>
          <w:lang w:val="en-US"/>
        </w:rPr>
        <w:t>a</w:t>
      </w:r>
      <w:r w:rsidR="00ED35D9">
        <w:rPr>
          <w:b w:val="0"/>
          <w:lang w:val="en-US"/>
        </w:rPr>
        <w:t xml:space="preserve">n </w:t>
      </w:r>
      <w:r w:rsidR="00724F7C" w:rsidRPr="00B531CD">
        <w:rPr>
          <w:b w:val="0"/>
          <w:lang w:val="en-US"/>
        </w:rPr>
        <w:t xml:space="preserve">important storage polymer for </w:t>
      </w:r>
      <w:r w:rsidR="00724F7C" w:rsidRPr="00B531CD">
        <w:rPr>
          <w:b w:val="0"/>
          <w:i/>
          <w:lang w:val="en-US"/>
        </w:rPr>
        <w:t>Tetrasphaera</w:t>
      </w:r>
      <w:r w:rsidR="00724F7C" w:rsidRPr="00B531CD">
        <w:rPr>
          <w:b w:val="0"/>
          <w:lang w:val="en-US"/>
        </w:rPr>
        <w:t>-related PAOs. Instead, glycogen and monomer</w:t>
      </w:r>
      <w:r w:rsidR="009C60C0">
        <w:rPr>
          <w:b w:val="0"/>
          <w:lang w:val="en-US"/>
        </w:rPr>
        <w:t>ic</w:t>
      </w:r>
      <w:r w:rsidR="00724F7C" w:rsidRPr="00B531CD">
        <w:rPr>
          <w:b w:val="0"/>
          <w:lang w:val="en-US"/>
        </w:rPr>
        <w:t xml:space="preserve"> substrate</w:t>
      </w:r>
      <w:r w:rsidR="00ED35D9">
        <w:rPr>
          <w:b w:val="0"/>
          <w:lang w:val="en-US"/>
        </w:rPr>
        <w:t>s such</w:t>
      </w:r>
      <w:r w:rsidR="00724F7C" w:rsidRPr="00B531CD">
        <w:rPr>
          <w:b w:val="0"/>
          <w:lang w:val="en-US"/>
        </w:rPr>
        <w:t xml:space="preserve"> as glycine are probably significant storage </w:t>
      </w:r>
      <w:r w:rsidR="00ED35D9">
        <w:rPr>
          <w:b w:val="0"/>
          <w:lang w:val="en-US"/>
        </w:rPr>
        <w:t>compounds</w:t>
      </w:r>
      <w:r w:rsidR="00724F7C" w:rsidRPr="00B531CD">
        <w:rPr>
          <w:b w:val="0"/>
          <w:lang w:val="en-US"/>
        </w:rPr>
        <w:t xml:space="preserve">. The </w:t>
      </w:r>
      <w:r w:rsidR="009C60C0">
        <w:rPr>
          <w:b w:val="0"/>
          <w:lang w:val="en-US"/>
        </w:rPr>
        <w:t xml:space="preserve">metabolic </w:t>
      </w:r>
      <w:r w:rsidR="00724F7C" w:rsidRPr="00B531CD">
        <w:rPr>
          <w:b w:val="0"/>
          <w:lang w:val="en-US"/>
        </w:rPr>
        <w:t>model detail</w:t>
      </w:r>
      <w:r w:rsidR="00ED35D9">
        <w:rPr>
          <w:b w:val="0"/>
          <w:lang w:val="en-US"/>
        </w:rPr>
        <w:t>s</w:t>
      </w:r>
      <w:r w:rsidR="00724F7C" w:rsidRPr="00B531CD">
        <w:rPr>
          <w:b w:val="0"/>
          <w:lang w:val="en-US"/>
        </w:rPr>
        <w:t xml:space="preserve"> that</w:t>
      </w:r>
      <w:r w:rsidR="00271851" w:rsidRPr="00B531CD">
        <w:rPr>
          <w:b w:val="0"/>
          <w:i/>
          <w:lang w:val="en-US"/>
        </w:rPr>
        <w:t xml:space="preserve"> </w:t>
      </w:r>
      <w:r w:rsidRPr="00B531CD">
        <w:rPr>
          <w:b w:val="0"/>
          <w:i/>
          <w:lang w:val="en-US"/>
        </w:rPr>
        <w:t>Tetrasphaera</w:t>
      </w:r>
      <w:r w:rsidRPr="00B531CD">
        <w:rPr>
          <w:b w:val="0"/>
          <w:lang w:val="en-US"/>
        </w:rPr>
        <w:t xml:space="preserve">-related </w:t>
      </w:r>
      <w:r w:rsidR="00ED35D9">
        <w:rPr>
          <w:b w:val="0"/>
          <w:lang w:val="en-US"/>
        </w:rPr>
        <w:t xml:space="preserve">PAOs </w:t>
      </w:r>
      <w:r w:rsidRPr="00B531CD">
        <w:rPr>
          <w:b w:val="0"/>
          <w:lang w:val="en-US"/>
        </w:rPr>
        <w:t xml:space="preserve">take up glucose anaerobically and ferment this to succinate and other components. They also synthesize glycogen as a storage polymer, using energy generated from substrate fermentation and degradation of stored polyphosphate. During the aerobic phase, the stored glycogen is catabolized to provide energy for growth and to replenish the intracellular polyphosphate reserves needed for subsequent anaerobic metabolism (Kristiansen et al., 2013). Glycine was </w:t>
      </w:r>
      <w:r w:rsidR="00ED35D9">
        <w:rPr>
          <w:b w:val="0"/>
          <w:lang w:val="en-US"/>
        </w:rPr>
        <w:t>recently</w:t>
      </w:r>
      <w:r w:rsidR="00ED35D9" w:rsidRPr="00B531CD">
        <w:rPr>
          <w:b w:val="0"/>
          <w:lang w:val="en-US"/>
        </w:rPr>
        <w:t xml:space="preserve"> </w:t>
      </w:r>
      <w:r w:rsidRPr="00B531CD">
        <w:rPr>
          <w:b w:val="0"/>
          <w:lang w:val="en-US"/>
        </w:rPr>
        <w:t xml:space="preserve">found </w:t>
      </w:r>
      <w:r w:rsidR="00ED35D9">
        <w:rPr>
          <w:b w:val="0"/>
          <w:lang w:val="en-US"/>
        </w:rPr>
        <w:t>to accumulate</w:t>
      </w:r>
      <w:r w:rsidRPr="00B531CD">
        <w:rPr>
          <w:b w:val="0"/>
          <w:lang w:val="en-US"/>
        </w:rPr>
        <w:t xml:space="preserve"> intracellularly when </w:t>
      </w:r>
      <w:r w:rsidRPr="00B531CD">
        <w:rPr>
          <w:b w:val="0"/>
          <w:i/>
          <w:lang w:val="en-US"/>
        </w:rPr>
        <w:t>Tetrasphaera</w:t>
      </w:r>
      <w:r w:rsidRPr="00B531CD">
        <w:rPr>
          <w:b w:val="0"/>
          <w:lang w:val="en-US"/>
        </w:rPr>
        <w:t>-related PAOs biomass was fed with glycine under anaerobic conditions. Subsequently, in the aerobic phase without addition of external substrate, the stored glycine was consumed. The uptake of glycine and oxidation of intracellular metabolites took place along a release and uptake of orthophosphate, respectively (Nguyen et al., 2015).</w:t>
      </w:r>
    </w:p>
    <w:p w14:paraId="0F9FA2CA" w14:textId="77777777" w:rsidR="00EE4A87" w:rsidRPr="00B531CD" w:rsidRDefault="00EE4A87" w:rsidP="00B531CD">
      <w:pPr>
        <w:rPr>
          <w:b w:val="0"/>
          <w:lang w:val="en-US"/>
        </w:rPr>
      </w:pPr>
    </w:p>
    <w:p w14:paraId="7A34D328" w14:textId="3CCC67A3" w:rsidR="00EE4A87" w:rsidRPr="00B531CD" w:rsidRDefault="00EE4A87" w:rsidP="00B531CD">
      <w:pPr>
        <w:rPr>
          <w:b w:val="0"/>
          <w:lang w:val="en-US"/>
        </w:rPr>
      </w:pPr>
      <w:r w:rsidRPr="00B531CD">
        <w:rPr>
          <w:b w:val="0"/>
          <w:lang w:val="en-US"/>
        </w:rPr>
        <w:t xml:space="preserve">In situ ecophysiological studies have shown that </w:t>
      </w:r>
      <w:r w:rsidRPr="00B531CD">
        <w:rPr>
          <w:b w:val="0"/>
          <w:i/>
          <w:lang w:val="en-US"/>
        </w:rPr>
        <w:t xml:space="preserve">Tetrasphaera </w:t>
      </w:r>
      <w:r w:rsidRPr="00B531CD">
        <w:rPr>
          <w:b w:val="0"/>
          <w:lang w:val="en-US"/>
        </w:rPr>
        <w:t xml:space="preserve">can assimilate a range of substrates under anaerobic conditions (glucose, acetate and amino acids) (Kong et al., 2005; Nguyen et al., 2011). Genomic investigation of four </w:t>
      </w:r>
      <w:r w:rsidRPr="00B531CD">
        <w:rPr>
          <w:b w:val="0"/>
          <w:i/>
          <w:lang w:val="en-US"/>
        </w:rPr>
        <w:t>Tetrasphaera</w:t>
      </w:r>
      <w:r w:rsidRPr="00B531CD">
        <w:rPr>
          <w:b w:val="0"/>
          <w:lang w:val="en-US"/>
        </w:rPr>
        <w:t xml:space="preserve"> isolates showed that they had the potential to take up acetate in addition to glucose and amino acid, but the metabolic models were described and validated only for glucose (Kristiansen et al., 2013) and glycine (Nguyen et al., 2015). </w:t>
      </w:r>
      <w:r w:rsidR="00ED35D9">
        <w:rPr>
          <w:b w:val="0"/>
          <w:lang w:val="en-US"/>
        </w:rPr>
        <w:t>The aim of th</w:t>
      </w:r>
      <w:r w:rsidR="00ED35D9" w:rsidRPr="00B531CD">
        <w:rPr>
          <w:b w:val="0"/>
          <w:lang w:val="en-US"/>
        </w:rPr>
        <w:t>is study</w:t>
      </w:r>
      <w:r w:rsidR="00ED35D9">
        <w:rPr>
          <w:b w:val="0"/>
          <w:lang w:val="en-US"/>
        </w:rPr>
        <w:t xml:space="preserve"> was to identify</w:t>
      </w:r>
      <w:r w:rsidR="00ED35D9" w:rsidRPr="00B531CD">
        <w:rPr>
          <w:b w:val="0"/>
          <w:lang w:val="en-US"/>
        </w:rPr>
        <w:t xml:space="preserve"> potential storage products and metabolic pathways when pure cultures of </w:t>
      </w:r>
      <w:proofErr w:type="spellStart"/>
      <w:r w:rsidR="00ED35D9" w:rsidRPr="00B531CD">
        <w:rPr>
          <w:b w:val="0"/>
          <w:i/>
          <w:lang w:val="en-US"/>
        </w:rPr>
        <w:t>Tetrasphaera</w:t>
      </w:r>
      <w:proofErr w:type="spellEnd"/>
      <w:r w:rsidR="00ED35D9" w:rsidRPr="00B531CD">
        <w:rPr>
          <w:b w:val="0"/>
          <w:i/>
          <w:lang w:val="en-US"/>
        </w:rPr>
        <w:t xml:space="preserve"> </w:t>
      </w:r>
      <w:proofErr w:type="spellStart"/>
      <w:r w:rsidR="00ED35D9" w:rsidRPr="00B531CD">
        <w:rPr>
          <w:b w:val="0"/>
          <w:i/>
          <w:lang w:val="en-US"/>
        </w:rPr>
        <w:t>elongata</w:t>
      </w:r>
      <w:proofErr w:type="spellEnd"/>
      <w:r w:rsidR="00ED35D9">
        <w:rPr>
          <w:b w:val="0"/>
          <w:lang w:val="en-US"/>
        </w:rPr>
        <w:t xml:space="preserve"> or biomass from</w:t>
      </w:r>
      <w:r w:rsidR="00ED35D9" w:rsidRPr="00B531CD">
        <w:rPr>
          <w:b w:val="0"/>
          <w:lang w:val="en-US"/>
        </w:rPr>
        <w:t xml:space="preserve"> full-scale EBPR wastewater treatment plants </w:t>
      </w:r>
      <w:r w:rsidR="00ED35D9">
        <w:rPr>
          <w:b w:val="0"/>
          <w:lang w:val="en-US"/>
        </w:rPr>
        <w:t xml:space="preserve">were </w:t>
      </w:r>
      <w:r w:rsidR="00ED35D9" w:rsidRPr="00B531CD">
        <w:rPr>
          <w:b w:val="0"/>
          <w:lang w:val="en-US"/>
        </w:rPr>
        <w:t>exposed to acetate under anaerobic conditions</w:t>
      </w:r>
      <w:r w:rsidR="00ED35D9">
        <w:rPr>
          <w:b w:val="0"/>
          <w:lang w:val="en-US"/>
        </w:rPr>
        <w:t>.</w:t>
      </w:r>
    </w:p>
    <w:p w14:paraId="284999D0" w14:textId="77777777" w:rsidR="00724F7C" w:rsidRPr="00B531CD" w:rsidRDefault="00724F7C" w:rsidP="00B531CD">
      <w:pPr>
        <w:rPr>
          <w:b w:val="0"/>
          <w:lang w:val="en-US"/>
        </w:rPr>
      </w:pPr>
    </w:p>
    <w:p w14:paraId="35779F45" w14:textId="21F6CF2A" w:rsidR="0000645F" w:rsidRPr="0000645F" w:rsidRDefault="00ED35D9" w:rsidP="0000645F">
      <w:pPr>
        <w:ind w:firstLine="0"/>
        <w:rPr>
          <w:lang w:val="en-US"/>
        </w:rPr>
      </w:pPr>
      <w:r>
        <w:rPr>
          <w:lang w:val="en-US"/>
        </w:rPr>
        <w:t xml:space="preserve">Materials </w:t>
      </w:r>
      <w:r w:rsidR="0000645F">
        <w:rPr>
          <w:lang w:val="en-US"/>
        </w:rPr>
        <w:t xml:space="preserve">and </w:t>
      </w:r>
      <w:r w:rsidR="00FC44BC">
        <w:rPr>
          <w:lang w:val="en-US"/>
        </w:rPr>
        <w:t>methods</w:t>
      </w:r>
    </w:p>
    <w:p w14:paraId="3E134382" w14:textId="01549223" w:rsidR="0090758C" w:rsidRDefault="00ED35D9" w:rsidP="000B44F5">
      <w:pPr>
        <w:rPr>
          <w:b w:val="0"/>
          <w:lang w:val="en-US"/>
        </w:rPr>
      </w:pPr>
      <w:r>
        <w:rPr>
          <w:b w:val="0"/>
          <w:lang w:val="en-US"/>
        </w:rPr>
        <w:t>P</w:t>
      </w:r>
      <w:r w:rsidR="00EE4A87" w:rsidRPr="00B531CD">
        <w:rPr>
          <w:b w:val="0"/>
          <w:lang w:val="en-US"/>
        </w:rPr>
        <w:t xml:space="preserve">ure cultures of </w:t>
      </w:r>
      <w:proofErr w:type="spellStart"/>
      <w:r w:rsidR="00EE4A87" w:rsidRPr="00B531CD">
        <w:rPr>
          <w:b w:val="0"/>
          <w:i/>
          <w:lang w:val="en-US"/>
        </w:rPr>
        <w:t>Tetrasphaera</w:t>
      </w:r>
      <w:proofErr w:type="spellEnd"/>
      <w:r w:rsidR="00EE4A87" w:rsidRPr="00B531CD">
        <w:rPr>
          <w:b w:val="0"/>
          <w:i/>
          <w:lang w:val="en-US"/>
        </w:rPr>
        <w:t xml:space="preserve"> </w:t>
      </w:r>
      <w:proofErr w:type="spellStart"/>
      <w:r w:rsidR="00EE4A87" w:rsidRPr="00B531CD">
        <w:rPr>
          <w:b w:val="0"/>
          <w:i/>
          <w:lang w:val="en-US"/>
        </w:rPr>
        <w:t>elongata</w:t>
      </w:r>
      <w:proofErr w:type="spellEnd"/>
      <w:r w:rsidR="00EE4A87" w:rsidRPr="00B531CD">
        <w:rPr>
          <w:b w:val="0"/>
          <w:lang w:val="en-US"/>
        </w:rPr>
        <w:t xml:space="preserve"> </w:t>
      </w:r>
      <w:r>
        <w:rPr>
          <w:b w:val="0"/>
          <w:lang w:val="en-US"/>
        </w:rPr>
        <w:t>was grown</w:t>
      </w:r>
      <w:r w:rsidR="0099175E">
        <w:rPr>
          <w:b w:val="0"/>
          <w:lang w:val="en-US"/>
        </w:rPr>
        <w:t xml:space="preserve"> </w:t>
      </w:r>
      <w:r w:rsidR="0099175E" w:rsidRPr="0099175E">
        <w:rPr>
          <w:b w:val="0"/>
          <w:lang w:val="en-US"/>
        </w:rPr>
        <w:t>in R2A broth without starch and sodium pyruvate, to generate enough biomass for biochemical studies</w:t>
      </w:r>
      <w:r w:rsidR="000B44F5">
        <w:rPr>
          <w:b w:val="0"/>
          <w:lang w:val="en-US"/>
        </w:rPr>
        <w:t>.</w:t>
      </w:r>
      <w:r>
        <w:rPr>
          <w:b w:val="0"/>
          <w:lang w:val="en-US"/>
        </w:rPr>
        <w:t xml:space="preserve"> B</w:t>
      </w:r>
      <w:r w:rsidR="00EE4A87" w:rsidRPr="00B531CD">
        <w:rPr>
          <w:b w:val="0"/>
          <w:lang w:val="en-US"/>
        </w:rPr>
        <w:t>iomass from 21 full-scale EBPR wastewater treatment plants</w:t>
      </w:r>
      <w:r w:rsidR="000B44F5">
        <w:rPr>
          <w:b w:val="0"/>
          <w:lang w:val="en-US"/>
        </w:rPr>
        <w:t xml:space="preserve"> were collected from the aeration tank,</w:t>
      </w:r>
      <w:r w:rsidR="000B44F5" w:rsidRPr="000B44F5">
        <w:rPr>
          <w:b w:val="0"/>
          <w:lang w:val="en-US"/>
        </w:rPr>
        <w:t xml:space="preserve"> stored at 4</w:t>
      </w:r>
      <w:r w:rsidR="000B44F5" w:rsidRPr="00F950B9">
        <w:rPr>
          <w:b w:val="0"/>
          <w:vertAlign w:val="superscript"/>
          <w:lang w:val="en-US"/>
        </w:rPr>
        <w:t>0</w:t>
      </w:r>
      <w:r w:rsidR="000B44F5" w:rsidRPr="000B44F5">
        <w:rPr>
          <w:b w:val="0"/>
          <w:lang w:val="en-US"/>
        </w:rPr>
        <w:t>C for &lt; 24 h to carry out all experiments</w:t>
      </w:r>
      <w:r w:rsidR="000B44F5">
        <w:rPr>
          <w:b w:val="0"/>
          <w:lang w:val="en-US"/>
        </w:rPr>
        <w:t>.</w:t>
      </w:r>
      <w:r w:rsidR="009C60C0">
        <w:rPr>
          <w:b w:val="0"/>
          <w:lang w:val="en-US"/>
        </w:rPr>
        <w:t xml:space="preserve"> Intracellular storage product</w:t>
      </w:r>
      <w:r w:rsidR="001D1D58">
        <w:rPr>
          <w:b w:val="0"/>
          <w:lang w:val="en-US"/>
        </w:rPr>
        <w:t>s</w:t>
      </w:r>
      <w:r w:rsidR="009C60C0">
        <w:rPr>
          <w:b w:val="0"/>
          <w:lang w:val="en-US"/>
        </w:rPr>
        <w:t xml:space="preserve"> were </w:t>
      </w:r>
      <w:r w:rsidR="00EF3904">
        <w:rPr>
          <w:b w:val="0"/>
          <w:lang w:val="en-US"/>
        </w:rPr>
        <w:t>analyzed</w:t>
      </w:r>
      <w:r w:rsidR="00EE4A87" w:rsidRPr="00B531CD">
        <w:rPr>
          <w:b w:val="0"/>
          <w:lang w:val="en-US"/>
        </w:rPr>
        <w:t xml:space="preserve"> using </w:t>
      </w:r>
      <w:r w:rsidR="00305DB0" w:rsidRPr="00B531CD">
        <w:rPr>
          <w:b w:val="0"/>
          <w:lang w:val="en-US"/>
        </w:rPr>
        <w:t>NMR</w:t>
      </w:r>
      <w:r w:rsidR="009C60C0">
        <w:rPr>
          <w:b w:val="0"/>
          <w:lang w:val="en-US"/>
        </w:rPr>
        <w:t xml:space="preserve"> (</w:t>
      </w:r>
      <w:r w:rsidR="009C60C0" w:rsidRPr="00B531CD">
        <w:rPr>
          <w:b w:val="0"/>
          <w:lang w:val="en-US"/>
        </w:rPr>
        <w:t>Nguyen et al., 2015</w:t>
      </w:r>
      <w:r w:rsidR="009C60C0">
        <w:rPr>
          <w:b w:val="0"/>
          <w:lang w:val="en-US"/>
        </w:rPr>
        <w:t>)</w:t>
      </w:r>
      <w:r w:rsidR="00EE4A87" w:rsidRPr="00B531CD">
        <w:rPr>
          <w:b w:val="0"/>
          <w:lang w:val="en-US"/>
        </w:rPr>
        <w:t xml:space="preserve">. </w:t>
      </w:r>
      <w:r w:rsidR="00305DB0" w:rsidRPr="00B531CD">
        <w:rPr>
          <w:b w:val="0"/>
          <w:lang w:val="en-US"/>
        </w:rPr>
        <w:lastRenderedPageBreak/>
        <w:t xml:space="preserve">16S </w:t>
      </w:r>
      <w:r w:rsidR="009C60C0">
        <w:rPr>
          <w:b w:val="0"/>
          <w:lang w:val="en-US"/>
        </w:rPr>
        <w:t xml:space="preserve">rRNA gene </w:t>
      </w:r>
      <w:r w:rsidR="00305DB0" w:rsidRPr="00B531CD">
        <w:rPr>
          <w:b w:val="0"/>
          <w:lang w:val="en-US"/>
        </w:rPr>
        <w:t>amplicon sequencing was used to investigate t</w:t>
      </w:r>
      <w:r w:rsidR="00FB5947">
        <w:rPr>
          <w:b w:val="0"/>
          <w:lang w:val="en-US"/>
        </w:rPr>
        <w:t>he microbial</w:t>
      </w:r>
      <w:r w:rsidR="00EE4A87" w:rsidRPr="00B531CD">
        <w:rPr>
          <w:b w:val="0"/>
          <w:lang w:val="en-US"/>
        </w:rPr>
        <w:t xml:space="preserve"> community </w:t>
      </w:r>
      <w:r w:rsidR="009C60C0">
        <w:rPr>
          <w:b w:val="0"/>
          <w:lang w:val="en-US"/>
        </w:rPr>
        <w:t>structure in the</w:t>
      </w:r>
      <w:r w:rsidR="009C60C0" w:rsidRPr="00B531CD">
        <w:rPr>
          <w:b w:val="0"/>
          <w:lang w:val="en-US"/>
        </w:rPr>
        <w:t xml:space="preserve"> </w:t>
      </w:r>
      <w:r w:rsidR="00EE4A87" w:rsidRPr="00B531CD">
        <w:rPr>
          <w:b w:val="0"/>
          <w:lang w:val="en-US"/>
        </w:rPr>
        <w:t>21 WWTPs.</w:t>
      </w:r>
    </w:p>
    <w:p w14:paraId="096DD075" w14:textId="77777777" w:rsidR="0000645F" w:rsidRPr="0090758C" w:rsidRDefault="0000645F" w:rsidP="0090758C">
      <w:pPr>
        <w:rPr>
          <w:b w:val="0"/>
          <w:lang w:val="en-US"/>
        </w:rPr>
      </w:pPr>
    </w:p>
    <w:p w14:paraId="10AF4866" w14:textId="3ED1E5B1" w:rsidR="0090758C" w:rsidRDefault="00074313" w:rsidP="0090758C">
      <w:pPr>
        <w:ind w:firstLine="0"/>
        <w:rPr>
          <w:b w:val="0"/>
        </w:rPr>
      </w:pPr>
      <w:r w:rsidRPr="0090758C">
        <w:t>Results</w:t>
      </w:r>
      <w:r w:rsidR="00B531CD" w:rsidRPr="0090758C">
        <w:t xml:space="preserve"> and conclusion</w:t>
      </w:r>
      <w:r w:rsidR="00126DED">
        <w:t>s</w:t>
      </w:r>
    </w:p>
    <w:p w14:paraId="57CA2355" w14:textId="0F8426E7" w:rsidR="00074313" w:rsidRPr="00B531CD" w:rsidRDefault="007C12D7" w:rsidP="00B531CD">
      <w:pPr>
        <w:rPr>
          <w:b w:val="0"/>
        </w:rPr>
      </w:pPr>
      <w:r w:rsidRPr="00B531CD">
        <w:rPr>
          <w:b w:val="0"/>
        </w:rPr>
        <w:t xml:space="preserve">The ability to take up and accumulate acetate of </w:t>
      </w:r>
      <w:r w:rsidRPr="00B531CD">
        <w:rPr>
          <w:b w:val="0"/>
          <w:i/>
        </w:rPr>
        <w:t>T</w:t>
      </w:r>
      <w:r w:rsidR="009C60C0">
        <w:rPr>
          <w:b w:val="0"/>
          <w:i/>
        </w:rPr>
        <w:t>.</w:t>
      </w:r>
      <w:r w:rsidRPr="00B531CD">
        <w:rPr>
          <w:b w:val="0"/>
        </w:rPr>
        <w:t xml:space="preserve"> </w:t>
      </w:r>
      <w:proofErr w:type="spellStart"/>
      <w:r w:rsidRPr="0099175E">
        <w:rPr>
          <w:b w:val="0"/>
          <w:i/>
        </w:rPr>
        <w:t>elongata</w:t>
      </w:r>
      <w:proofErr w:type="spellEnd"/>
      <w:r w:rsidRPr="00B531CD">
        <w:rPr>
          <w:b w:val="0"/>
        </w:rPr>
        <w:t xml:space="preserve"> was investigated during dynamic anaerobic/aerobic conditions. </w:t>
      </w:r>
      <w:r w:rsidRPr="0099175E">
        <w:rPr>
          <w:b w:val="0"/>
          <w:vertAlign w:val="superscript"/>
        </w:rPr>
        <w:t>13</w:t>
      </w:r>
      <w:r w:rsidRPr="00B531CD">
        <w:rPr>
          <w:b w:val="0"/>
        </w:rPr>
        <w:t xml:space="preserve">C-labeled substrates and Nuclear Magnetic Resonance (NMR) was applied to investigate the potential storage products and important metabolic pathways when </w:t>
      </w:r>
      <w:r w:rsidRPr="00B531CD">
        <w:rPr>
          <w:b w:val="0"/>
          <w:i/>
        </w:rPr>
        <w:t xml:space="preserve">T. </w:t>
      </w:r>
      <w:proofErr w:type="spellStart"/>
      <w:r w:rsidRPr="00B531CD">
        <w:rPr>
          <w:b w:val="0"/>
          <w:i/>
        </w:rPr>
        <w:t>elongata</w:t>
      </w:r>
      <w:proofErr w:type="spellEnd"/>
      <w:r w:rsidRPr="00B531CD">
        <w:rPr>
          <w:b w:val="0"/>
        </w:rPr>
        <w:t xml:space="preserve"> was fed with acetate anaerobically. </w:t>
      </w:r>
      <w:r w:rsidRPr="00B531CD">
        <w:rPr>
          <w:b w:val="0"/>
          <w:i/>
        </w:rPr>
        <w:t xml:space="preserve">T. </w:t>
      </w:r>
      <w:proofErr w:type="spellStart"/>
      <w:r w:rsidRPr="00B531CD">
        <w:rPr>
          <w:b w:val="0"/>
          <w:i/>
        </w:rPr>
        <w:t>elongata</w:t>
      </w:r>
      <w:proofErr w:type="spellEnd"/>
      <w:r w:rsidRPr="00B531CD">
        <w:rPr>
          <w:b w:val="0"/>
        </w:rPr>
        <w:t xml:space="preserve"> store</w:t>
      </w:r>
      <w:r w:rsidR="001A573F">
        <w:rPr>
          <w:b w:val="0"/>
        </w:rPr>
        <w:t>d</w:t>
      </w:r>
      <w:r w:rsidRPr="00B531CD">
        <w:rPr>
          <w:b w:val="0"/>
        </w:rPr>
        <w:t xml:space="preserve"> intracellular acetate, glutamate and other soluble compounds under anaerobic conditions along a release of phosphate. Subsequently, in the aerobic phase, the stored compounds were consumed and phosphate taken up</w:t>
      </w:r>
      <w:r w:rsidR="00B35B73">
        <w:rPr>
          <w:b w:val="0"/>
        </w:rPr>
        <w:t xml:space="preserve"> (Figure 1)</w:t>
      </w:r>
      <w:r w:rsidRPr="00B531CD">
        <w:rPr>
          <w:b w:val="0"/>
        </w:rPr>
        <w:t xml:space="preserve">. Similar experiments were conducted </w:t>
      </w:r>
      <w:r w:rsidR="009C60C0">
        <w:rPr>
          <w:b w:val="0"/>
        </w:rPr>
        <w:t>o</w:t>
      </w:r>
      <w:r w:rsidRPr="00B531CD">
        <w:rPr>
          <w:b w:val="0"/>
        </w:rPr>
        <w:t xml:space="preserve">n activated sludge from </w:t>
      </w:r>
      <w:r w:rsidR="00A459B0">
        <w:rPr>
          <w:b w:val="0"/>
        </w:rPr>
        <w:t>21 WWTPs</w:t>
      </w:r>
      <w:r w:rsidRPr="00B531CD">
        <w:rPr>
          <w:b w:val="0"/>
        </w:rPr>
        <w:t xml:space="preserve"> containing many </w:t>
      </w:r>
      <w:r w:rsidRPr="00B531CD">
        <w:rPr>
          <w:b w:val="0"/>
          <w:i/>
        </w:rPr>
        <w:t>Tetrasphaera</w:t>
      </w:r>
      <w:r w:rsidR="00A64BE7">
        <w:rPr>
          <w:b w:val="0"/>
          <w:i/>
        </w:rPr>
        <w:t xml:space="preserve"> </w:t>
      </w:r>
      <w:r w:rsidR="00A64BE7">
        <w:rPr>
          <w:b w:val="0"/>
        </w:rPr>
        <w:t>(up to 30% read abundance from 16</w:t>
      </w:r>
      <w:r w:rsidR="009C60C0">
        <w:rPr>
          <w:b w:val="0"/>
        </w:rPr>
        <w:t xml:space="preserve">S </w:t>
      </w:r>
      <w:proofErr w:type="spellStart"/>
      <w:r w:rsidR="009C60C0">
        <w:rPr>
          <w:b w:val="0"/>
        </w:rPr>
        <w:t>rRNA</w:t>
      </w:r>
      <w:proofErr w:type="spellEnd"/>
      <w:r w:rsidR="00A64BE7">
        <w:rPr>
          <w:b w:val="0"/>
        </w:rPr>
        <w:t xml:space="preserve"> amplicon sequencing)</w:t>
      </w:r>
      <w:r w:rsidRPr="00B531CD">
        <w:rPr>
          <w:b w:val="0"/>
        </w:rPr>
        <w:t xml:space="preserve">. Uptake of acetate and accumulation of intracellular acetate and glutamate </w:t>
      </w:r>
      <w:r w:rsidR="001A573F">
        <w:rPr>
          <w:b w:val="0"/>
        </w:rPr>
        <w:t>was</w:t>
      </w:r>
      <w:r w:rsidR="001A573F" w:rsidRPr="00B531CD">
        <w:rPr>
          <w:b w:val="0"/>
        </w:rPr>
        <w:t xml:space="preserve"> </w:t>
      </w:r>
      <w:r w:rsidRPr="00B531CD">
        <w:rPr>
          <w:b w:val="0"/>
        </w:rPr>
        <w:t xml:space="preserve">observed, confirming that this capability also was present in activated sludge. </w:t>
      </w:r>
      <w:r w:rsidR="00A459B0">
        <w:rPr>
          <w:b w:val="0"/>
        </w:rPr>
        <w:t xml:space="preserve">The range of </w:t>
      </w:r>
      <w:r w:rsidR="00A459B0" w:rsidRPr="00A459B0">
        <w:rPr>
          <w:b w:val="0"/>
        </w:rPr>
        <w:t xml:space="preserve">intracellular </w:t>
      </w:r>
      <w:r w:rsidR="00A459B0">
        <w:rPr>
          <w:b w:val="0"/>
        </w:rPr>
        <w:t xml:space="preserve">acetate concentration </w:t>
      </w:r>
      <w:r w:rsidR="009C60C0">
        <w:rPr>
          <w:b w:val="0"/>
        </w:rPr>
        <w:t xml:space="preserve">ranged </w:t>
      </w:r>
      <w:r w:rsidR="003A0D24">
        <w:rPr>
          <w:b w:val="0"/>
        </w:rPr>
        <w:t>in</w:t>
      </w:r>
      <w:r w:rsidR="00A64BE7">
        <w:rPr>
          <w:b w:val="0"/>
        </w:rPr>
        <w:t xml:space="preserve"> </w:t>
      </w:r>
      <w:r w:rsidR="009C60C0">
        <w:rPr>
          <w:b w:val="0"/>
        </w:rPr>
        <w:t xml:space="preserve">the </w:t>
      </w:r>
      <w:r w:rsidR="003A0D24">
        <w:rPr>
          <w:b w:val="0"/>
        </w:rPr>
        <w:t xml:space="preserve">21 WWTPs from </w:t>
      </w:r>
      <w:r w:rsidR="00A64BE7">
        <w:rPr>
          <w:b w:val="0"/>
        </w:rPr>
        <w:t>0</w:t>
      </w:r>
      <w:r w:rsidR="003A0D24">
        <w:rPr>
          <w:b w:val="0"/>
        </w:rPr>
        <w:t xml:space="preserve">.37 </w:t>
      </w:r>
      <w:r w:rsidR="009C60C0">
        <w:rPr>
          <w:b w:val="0"/>
        </w:rPr>
        <w:t xml:space="preserve">to 3.7 </w:t>
      </w:r>
      <w:r w:rsidR="003A0D24">
        <w:rPr>
          <w:b w:val="0"/>
        </w:rPr>
        <w:t>mg/g</w:t>
      </w:r>
      <w:r w:rsidR="009C60C0">
        <w:rPr>
          <w:b w:val="0"/>
        </w:rPr>
        <w:t xml:space="preserve"> </w:t>
      </w:r>
      <w:r w:rsidR="007D7FAD">
        <w:rPr>
          <w:b w:val="0"/>
        </w:rPr>
        <w:t>biomass</w:t>
      </w:r>
      <w:r w:rsidR="00A459B0" w:rsidRPr="00A459B0">
        <w:rPr>
          <w:b w:val="0"/>
        </w:rPr>
        <w:t xml:space="preserve">. </w:t>
      </w:r>
      <w:r w:rsidR="0090758C" w:rsidRPr="0090758C">
        <w:rPr>
          <w:b w:val="0"/>
        </w:rPr>
        <w:t>This study demonstrates</w:t>
      </w:r>
      <w:r w:rsidR="0090758C">
        <w:rPr>
          <w:b w:val="0"/>
        </w:rPr>
        <w:t xml:space="preserve"> </w:t>
      </w:r>
      <w:r w:rsidR="0090758C" w:rsidRPr="0090758C">
        <w:rPr>
          <w:b w:val="0"/>
        </w:rPr>
        <w:t xml:space="preserve">an additional strategy for growth under </w:t>
      </w:r>
      <w:r w:rsidR="00D41CC9" w:rsidRPr="00D41CC9">
        <w:rPr>
          <w:b w:val="0"/>
        </w:rPr>
        <w:t>dynamic fest-famine conditions</w:t>
      </w:r>
      <w:r w:rsidR="0090758C" w:rsidRPr="0090758C">
        <w:rPr>
          <w:b w:val="0"/>
        </w:rPr>
        <w:t xml:space="preserve"> in</w:t>
      </w:r>
      <w:r w:rsidR="0090758C">
        <w:rPr>
          <w:b w:val="0"/>
        </w:rPr>
        <w:t xml:space="preserve"> </w:t>
      </w:r>
      <w:r w:rsidR="0090758C" w:rsidRPr="0090758C">
        <w:rPr>
          <w:b w:val="0"/>
          <w:i/>
        </w:rPr>
        <w:t>Tetrasphaera</w:t>
      </w:r>
      <w:r w:rsidR="0090758C" w:rsidRPr="0090758C">
        <w:rPr>
          <w:b w:val="0"/>
        </w:rPr>
        <w:t xml:space="preserve">: uptake and intracellular accumulation of </w:t>
      </w:r>
      <w:r w:rsidR="00D41CC9">
        <w:rPr>
          <w:b w:val="0"/>
        </w:rPr>
        <w:t>soluble</w:t>
      </w:r>
      <w:r w:rsidR="0090758C">
        <w:rPr>
          <w:b w:val="0"/>
        </w:rPr>
        <w:t xml:space="preserve"> substrate</w:t>
      </w:r>
      <w:r w:rsidR="0090758C" w:rsidRPr="0090758C">
        <w:rPr>
          <w:b w:val="0"/>
        </w:rPr>
        <w:t xml:space="preserve"> along with a release of </w:t>
      </w:r>
      <w:r w:rsidR="009C60C0">
        <w:rPr>
          <w:b w:val="0"/>
        </w:rPr>
        <w:t>orthophosphate</w:t>
      </w:r>
      <w:r w:rsidR="009C60C0" w:rsidRPr="0090758C">
        <w:rPr>
          <w:b w:val="0"/>
        </w:rPr>
        <w:t xml:space="preserve"> </w:t>
      </w:r>
      <w:r w:rsidR="0090758C" w:rsidRPr="0090758C">
        <w:rPr>
          <w:b w:val="0"/>
        </w:rPr>
        <w:t>under anaerobic conditions for subsequent use as carbon source in the aerobic phase.</w:t>
      </w:r>
      <w:r w:rsidR="0090758C">
        <w:rPr>
          <w:b w:val="0"/>
        </w:rPr>
        <w:t xml:space="preserve"> </w:t>
      </w:r>
    </w:p>
    <w:p w14:paraId="06165F97" w14:textId="4AF774A0" w:rsidR="00074313" w:rsidRPr="00B531CD" w:rsidRDefault="00785C60" w:rsidP="00B531CD">
      <w:pPr>
        <w:rPr>
          <w:b w:val="0"/>
        </w:rPr>
      </w:pPr>
      <w:r>
        <w:rPr>
          <w:noProof/>
          <w:lang w:val="da-DK" w:eastAsia="da-DK"/>
        </w:rPr>
        <w:drawing>
          <wp:inline distT="0" distB="0" distL="0" distR="0" wp14:anchorId="1241F14C" wp14:editId="06D2BBEB">
            <wp:extent cx="4664710" cy="2552700"/>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B0BD01" w14:textId="77777777" w:rsidR="00074313" w:rsidRDefault="00074313" w:rsidP="00FC44BC">
      <w:pPr>
        <w:ind w:firstLine="0"/>
      </w:pPr>
    </w:p>
    <w:p w14:paraId="654F986B" w14:textId="18830773" w:rsidR="00074313" w:rsidRPr="00B35B73" w:rsidRDefault="00074313" w:rsidP="00B35B73">
      <w:pPr>
        <w:ind w:firstLine="0"/>
        <w:rPr>
          <w:b w:val="0"/>
          <w:sz w:val="20"/>
          <w:szCs w:val="20"/>
        </w:rPr>
      </w:pPr>
      <w:r w:rsidRPr="00B35B73">
        <w:rPr>
          <w:sz w:val="20"/>
          <w:szCs w:val="20"/>
        </w:rPr>
        <w:t>Figure 1.</w:t>
      </w:r>
      <w:r w:rsidRPr="00B35B73">
        <w:rPr>
          <w:b w:val="0"/>
          <w:sz w:val="20"/>
          <w:szCs w:val="20"/>
        </w:rPr>
        <w:t xml:space="preserve"> </w:t>
      </w:r>
      <w:r w:rsidR="0053498D" w:rsidRPr="00B35B73">
        <w:rPr>
          <w:b w:val="0"/>
          <w:sz w:val="20"/>
          <w:szCs w:val="20"/>
        </w:rPr>
        <w:t xml:space="preserve">Intracellular metabolites with acetate as sole carbon source in </w:t>
      </w:r>
      <w:r w:rsidR="0053498D" w:rsidRPr="00B35B73">
        <w:rPr>
          <w:b w:val="0"/>
          <w:i/>
          <w:sz w:val="20"/>
          <w:szCs w:val="20"/>
        </w:rPr>
        <w:t xml:space="preserve">T. </w:t>
      </w:r>
      <w:proofErr w:type="spellStart"/>
      <w:r w:rsidR="0053498D" w:rsidRPr="00B35B73">
        <w:rPr>
          <w:b w:val="0"/>
          <w:i/>
          <w:sz w:val="20"/>
          <w:szCs w:val="20"/>
        </w:rPr>
        <w:t>elongata</w:t>
      </w:r>
      <w:proofErr w:type="spellEnd"/>
      <w:r w:rsidR="0053498D" w:rsidRPr="00B35B73">
        <w:rPr>
          <w:b w:val="0"/>
          <w:sz w:val="20"/>
          <w:szCs w:val="20"/>
        </w:rPr>
        <w:t xml:space="preserve"> under dynamic anaerobic/aerobic conditions. The average concentrations from duplicate experiments are shown</w:t>
      </w:r>
      <w:r w:rsidRPr="00B35B73">
        <w:rPr>
          <w:b w:val="0"/>
          <w:sz w:val="20"/>
          <w:szCs w:val="20"/>
        </w:rPr>
        <w:t>.</w:t>
      </w:r>
    </w:p>
    <w:p w14:paraId="01B1132E" w14:textId="77777777" w:rsidR="00AA0445" w:rsidRDefault="00AA0445" w:rsidP="00785C60">
      <w:pPr>
        <w:ind w:firstLine="0"/>
      </w:pPr>
    </w:p>
    <w:p w14:paraId="757B2331" w14:textId="77777777" w:rsidR="00074313" w:rsidRPr="00785C60" w:rsidRDefault="00074313" w:rsidP="00785C60">
      <w:pPr>
        <w:ind w:firstLine="0"/>
        <w:rPr>
          <w:lang w:val="en-US"/>
        </w:rPr>
      </w:pPr>
      <w:r w:rsidRPr="00785C60">
        <w:t>References:</w:t>
      </w:r>
    </w:p>
    <w:p w14:paraId="2148BF01" w14:textId="3D8E22EB" w:rsidR="00892A60" w:rsidRPr="00AA0445" w:rsidRDefault="00892A60" w:rsidP="009C60C0">
      <w:pPr>
        <w:ind w:left="426" w:hanging="426"/>
        <w:rPr>
          <w:b w:val="0"/>
          <w:sz w:val="20"/>
          <w:szCs w:val="20"/>
          <w:lang w:val="da-DK"/>
        </w:rPr>
      </w:pPr>
      <w:r w:rsidRPr="00892A60">
        <w:rPr>
          <w:b w:val="0"/>
          <w:sz w:val="20"/>
          <w:szCs w:val="20"/>
          <w:lang w:val="en-US"/>
        </w:rPr>
        <w:t xml:space="preserve">Kristiansen R, Nguyen HTT, Saunders AM, Nielsen JL, Wimmer R, Le QV, McIlroy SJ, </w:t>
      </w:r>
      <w:proofErr w:type="spellStart"/>
      <w:r w:rsidRPr="00892A60">
        <w:rPr>
          <w:b w:val="0"/>
          <w:sz w:val="20"/>
          <w:szCs w:val="20"/>
          <w:lang w:val="en-US"/>
        </w:rPr>
        <w:t>Petrovski</w:t>
      </w:r>
      <w:proofErr w:type="spellEnd"/>
      <w:r w:rsidRPr="00892A60">
        <w:rPr>
          <w:b w:val="0"/>
          <w:sz w:val="20"/>
          <w:szCs w:val="20"/>
          <w:lang w:val="en-US"/>
        </w:rPr>
        <w:t xml:space="preserve"> S, </w:t>
      </w:r>
      <w:proofErr w:type="spellStart"/>
      <w:r w:rsidRPr="00892A60">
        <w:rPr>
          <w:b w:val="0"/>
          <w:sz w:val="20"/>
          <w:szCs w:val="20"/>
          <w:lang w:val="en-US"/>
        </w:rPr>
        <w:t>Seviour</w:t>
      </w:r>
      <w:proofErr w:type="spellEnd"/>
      <w:r w:rsidRPr="00892A60">
        <w:rPr>
          <w:b w:val="0"/>
          <w:sz w:val="20"/>
          <w:szCs w:val="20"/>
          <w:lang w:val="en-US"/>
        </w:rPr>
        <w:t xml:space="preserve"> RJ, </w:t>
      </w:r>
      <w:proofErr w:type="spellStart"/>
      <w:r w:rsidRPr="00892A60">
        <w:rPr>
          <w:b w:val="0"/>
          <w:sz w:val="20"/>
          <w:szCs w:val="20"/>
          <w:lang w:val="en-US"/>
        </w:rPr>
        <w:t>Calteau</w:t>
      </w:r>
      <w:proofErr w:type="spellEnd"/>
      <w:r w:rsidRPr="00892A60">
        <w:rPr>
          <w:b w:val="0"/>
          <w:sz w:val="20"/>
          <w:szCs w:val="20"/>
          <w:lang w:val="en-US"/>
        </w:rPr>
        <w:t xml:space="preserve"> A, Nielsen KL, Nielsen, PH. (2013). A metabolic model for members of the genus </w:t>
      </w:r>
      <w:r w:rsidRPr="001D1D58">
        <w:rPr>
          <w:b w:val="0"/>
          <w:i/>
          <w:sz w:val="20"/>
          <w:szCs w:val="20"/>
          <w:lang w:val="en-US"/>
        </w:rPr>
        <w:t>Tetrasphaera</w:t>
      </w:r>
      <w:r w:rsidRPr="00892A60">
        <w:rPr>
          <w:b w:val="0"/>
          <w:sz w:val="20"/>
          <w:szCs w:val="20"/>
          <w:lang w:val="en-US"/>
        </w:rPr>
        <w:t xml:space="preserve"> involved in enhanced biological phosphorus removal. </w:t>
      </w:r>
      <w:r w:rsidRPr="00AA0445">
        <w:rPr>
          <w:b w:val="0"/>
          <w:sz w:val="20"/>
          <w:szCs w:val="20"/>
          <w:lang w:val="da-DK"/>
        </w:rPr>
        <w:t>ISME</w:t>
      </w:r>
      <w:r w:rsidR="001A573F" w:rsidRPr="00AA0445">
        <w:rPr>
          <w:b w:val="0"/>
          <w:sz w:val="20"/>
          <w:szCs w:val="20"/>
          <w:lang w:val="da-DK"/>
        </w:rPr>
        <w:t xml:space="preserve"> </w:t>
      </w:r>
      <w:r w:rsidRPr="00AA0445">
        <w:rPr>
          <w:b w:val="0"/>
          <w:sz w:val="20"/>
          <w:szCs w:val="20"/>
          <w:lang w:val="da-DK"/>
        </w:rPr>
        <w:t>J 7: 543–554.</w:t>
      </w:r>
    </w:p>
    <w:p w14:paraId="67E78C4E" w14:textId="77777777" w:rsidR="00B155D2" w:rsidRPr="00AA0445" w:rsidRDefault="00074313" w:rsidP="009C60C0">
      <w:pPr>
        <w:ind w:left="426" w:hanging="426"/>
        <w:rPr>
          <w:lang w:val="da-DK"/>
        </w:rPr>
      </w:pPr>
      <w:r w:rsidRPr="00AA0445">
        <w:rPr>
          <w:b w:val="0"/>
          <w:sz w:val="20"/>
          <w:szCs w:val="20"/>
          <w:lang w:val="da-DK"/>
        </w:rPr>
        <w:t xml:space="preserve">Kong, Y., J. L. Nielsen, and P. H. Nielsen. </w:t>
      </w:r>
      <w:r w:rsidRPr="00785C60">
        <w:rPr>
          <w:b w:val="0"/>
          <w:sz w:val="20"/>
          <w:szCs w:val="20"/>
          <w:lang w:val="en-US"/>
        </w:rPr>
        <w:t xml:space="preserve">2005. Identity and Ecophysiology of Uncultured </w:t>
      </w:r>
      <w:proofErr w:type="spellStart"/>
      <w:r w:rsidRPr="00785C60">
        <w:rPr>
          <w:b w:val="0"/>
          <w:sz w:val="20"/>
          <w:szCs w:val="20"/>
          <w:lang w:val="en-US"/>
        </w:rPr>
        <w:t>Actinobacterial</w:t>
      </w:r>
      <w:proofErr w:type="spellEnd"/>
      <w:r w:rsidRPr="00785C60">
        <w:rPr>
          <w:b w:val="0"/>
          <w:sz w:val="20"/>
          <w:szCs w:val="20"/>
          <w:lang w:val="en-US"/>
        </w:rPr>
        <w:t xml:space="preserve"> Polyphosphate-Accumulating Organisms in Full-Scale Enhanced Biological Phosphorus Removal Plants. </w:t>
      </w:r>
      <w:proofErr w:type="spellStart"/>
      <w:r w:rsidRPr="00AA0445">
        <w:rPr>
          <w:b w:val="0"/>
          <w:sz w:val="20"/>
          <w:szCs w:val="20"/>
          <w:lang w:val="da-DK"/>
        </w:rPr>
        <w:t>Appl</w:t>
      </w:r>
      <w:proofErr w:type="spellEnd"/>
      <w:r w:rsidRPr="00AA0445">
        <w:rPr>
          <w:b w:val="0"/>
          <w:sz w:val="20"/>
          <w:szCs w:val="20"/>
          <w:lang w:val="da-DK"/>
        </w:rPr>
        <w:t xml:space="preserve">. </w:t>
      </w:r>
      <w:proofErr w:type="spellStart"/>
      <w:r w:rsidRPr="00AA0445">
        <w:rPr>
          <w:b w:val="0"/>
          <w:sz w:val="20"/>
          <w:szCs w:val="20"/>
          <w:lang w:val="da-DK"/>
        </w:rPr>
        <w:t>Environ</w:t>
      </w:r>
      <w:proofErr w:type="spellEnd"/>
      <w:r w:rsidRPr="00AA0445">
        <w:rPr>
          <w:b w:val="0"/>
          <w:sz w:val="20"/>
          <w:szCs w:val="20"/>
          <w:lang w:val="da-DK"/>
        </w:rPr>
        <w:t xml:space="preserve">. </w:t>
      </w:r>
      <w:proofErr w:type="spellStart"/>
      <w:r w:rsidRPr="00AA0445">
        <w:rPr>
          <w:b w:val="0"/>
          <w:sz w:val="20"/>
          <w:szCs w:val="20"/>
          <w:lang w:val="da-DK"/>
        </w:rPr>
        <w:t>Microbiol</w:t>
      </w:r>
      <w:proofErr w:type="spellEnd"/>
      <w:r w:rsidRPr="00AA0445">
        <w:rPr>
          <w:b w:val="0"/>
          <w:sz w:val="20"/>
          <w:szCs w:val="20"/>
          <w:lang w:val="da-DK"/>
        </w:rPr>
        <w:t xml:space="preserve">. </w:t>
      </w:r>
      <w:proofErr w:type="gramStart"/>
      <w:r w:rsidRPr="00AA0445">
        <w:rPr>
          <w:b w:val="0"/>
          <w:sz w:val="20"/>
          <w:szCs w:val="20"/>
          <w:lang w:val="da-DK"/>
        </w:rPr>
        <w:t>71:4076</w:t>
      </w:r>
      <w:proofErr w:type="gramEnd"/>
      <w:r w:rsidR="00B155D2" w:rsidRPr="00AA0445">
        <w:rPr>
          <w:b w:val="0"/>
          <w:sz w:val="20"/>
          <w:szCs w:val="20"/>
          <w:lang w:val="da-DK"/>
        </w:rPr>
        <w:t>.</w:t>
      </w:r>
      <w:r w:rsidR="00B155D2" w:rsidRPr="00AA0445">
        <w:rPr>
          <w:lang w:val="da-DK"/>
        </w:rPr>
        <w:t xml:space="preserve"> </w:t>
      </w:r>
    </w:p>
    <w:p w14:paraId="3FA0241F" w14:textId="77777777" w:rsidR="00B155D2" w:rsidRPr="00B155D2" w:rsidRDefault="00B155D2" w:rsidP="009C60C0">
      <w:pPr>
        <w:ind w:left="426" w:hanging="426"/>
        <w:rPr>
          <w:b w:val="0"/>
          <w:sz w:val="20"/>
          <w:szCs w:val="20"/>
        </w:rPr>
      </w:pPr>
      <w:r w:rsidRPr="00AA0445">
        <w:rPr>
          <w:b w:val="0"/>
          <w:sz w:val="20"/>
          <w:szCs w:val="20"/>
          <w:lang w:val="da-DK"/>
        </w:rPr>
        <w:t xml:space="preserve">Nguyen HT, Le VQ, Hansen AA, Nielsen JL, Nielsen PH. </w:t>
      </w:r>
      <w:r w:rsidRPr="00B155D2">
        <w:rPr>
          <w:b w:val="0"/>
          <w:sz w:val="20"/>
          <w:szCs w:val="20"/>
        </w:rPr>
        <w:t xml:space="preserve">(2011). High diversity and abundance of putative polyphosphate-accumulating </w:t>
      </w:r>
      <w:r w:rsidRPr="001D1D58">
        <w:rPr>
          <w:b w:val="0"/>
          <w:i/>
          <w:sz w:val="20"/>
          <w:szCs w:val="20"/>
        </w:rPr>
        <w:t>Tetrasphaera</w:t>
      </w:r>
      <w:r w:rsidRPr="00B155D2">
        <w:rPr>
          <w:b w:val="0"/>
          <w:sz w:val="20"/>
          <w:szCs w:val="20"/>
        </w:rPr>
        <w:t xml:space="preserve">-related bacteria in activated sludge systems. FEMS </w:t>
      </w:r>
      <w:proofErr w:type="spellStart"/>
      <w:r w:rsidRPr="00B155D2">
        <w:rPr>
          <w:b w:val="0"/>
          <w:sz w:val="20"/>
          <w:szCs w:val="20"/>
        </w:rPr>
        <w:t>Microbiol</w:t>
      </w:r>
      <w:proofErr w:type="spellEnd"/>
      <w:r w:rsidRPr="00B155D2">
        <w:rPr>
          <w:b w:val="0"/>
          <w:sz w:val="20"/>
          <w:szCs w:val="20"/>
        </w:rPr>
        <w:t xml:space="preserve"> </w:t>
      </w:r>
      <w:proofErr w:type="spellStart"/>
      <w:r w:rsidRPr="00B155D2">
        <w:rPr>
          <w:b w:val="0"/>
          <w:sz w:val="20"/>
          <w:szCs w:val="20"/>
        </w:rPr>
        <w:t>Ecol</w:t>
      </w:r>
      <w:proofErr w:type="spellEnd"/>
      <w:r w:rsidRPr="00B155D2">
        <w:rPr>
          <w:b w:val="0"/>
          <w:sz w:val="20"/>
          <w:szCs w:val="20"/>
        </w:rPr>
        <w:t xml:space="preserve"> 76: 256-267.</w:t>
      </w:r>
    </w:p>
    <w:p w14:paraId="1764EB43" w14:textId="3CE6030A" w:rsidR="00B155D2" w:rsidRPr="00785C60" w:rsidRDefault="00B155D2" w:rsidP="009C60C0">
      <w:pPr>
        <w:ind w:left="426" w:hanging="426"/>
        <w:rPr>
          <w:b w:val="0"/>
          <w:sz w:val="20"/>
          <w:szCs w:val="20"/>
        </w:rPr>
      </w:pPr>
      <w:r w:rsidRPr="00B155D2">
        <w:rPr>
          <w:b w:val="0"/>
          <w:sz w:val="20"/>
          <w:szCs w:val="20"/>
        </w:rPr>
        <w:t>Nguyen HTT, Nielsen JL, Nielsen PH. (2012). ‘</w:t>
      </w:r>
      <w:r w:rsidRPr="001D1D58">
        <w:rPr>
          <w:b w:val="0"/>
          <w:i/>
          <w:sz w:val="20"/>
          <w:szCs w:val="20"/>
        </w:rPr>
        <w:t>Candidatus</w:t>
      </w:r>
      <w:r w:rsidRPr="00B155D2">
        <w:rPr>
          <w:b w:val="0"/>
          <w:sz w:val="20"/>
          <w:szCs w:val="20"/>
        </w:rPr>
        <w:t xml:space="preserve"> Halomonas Phosphatis’, a novel Polyphosphate-Accumulating Organism in Full-Scale Enhanced Biological Phosphorus Removal Plants. Environmental Microbiology 14 :2826–2837.</w:t>
      </w:r>
    </w:p>
    <w:sectPr w:rsidR="00B155D2" w:rsidRPr="00785C60" w:rsidSect="00AA044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780C" w14:textId="77777777" w:rsidR="002E54CE" w:rsidRDefault="002E54CE" w:rsidP="00FE6AE2">
      <w:r>
        <w:separator/>
      </w:r>
    </w:p>
  </w:endnote>
  <w:endnote w:type="continuationSeparator" w:id="0">
    <w:p w14:paraId="7D8C690E" w14:textId="77777777" w:rsidR="002E54CE" w:rsidRDefault="002E54CE" w:rsidP="00FE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EBB58" w14:textId="77777777" w:rsidR="002E54CE" w:rsidRDefault="002E54CE" w:rsidP="00FE6AE2">
      <w:r>
        <w:separator/>
      </w:r>
    </w:p>
  </w:footnote>
  <w:footnote w:type="continuationSeparator" w:id="0">
    <w:p w14:paraId="2B1D26BE" w14:textId="77777777" w:rsidR="002E54CE" w:rsidRDefault="002E54CE" w:rsidP="00FE6AE2">
      <w:r>
        <w:continuationSeparator/>
      </w:r>
    </w:p>
  </w:footnote>
  <w:footnote w:id="1">
    <w:p w14:paraId="622456B8" w14:textId="77777777" w:rsidR="00FE6AE2" w:rsidRPr="00AA0445" w:rsidRDefault="00FE6AE2" w:rsidP="00FE6AE2">
      <w:pPr>
        <w:pStyle w:val="Fodnotetekst"/>
        <w:rPr>
          <w:b w:val="0"/>
          <w:sz w:val="17"/>
          <w:szCs w:val="17"/>
          <w:lang w:val="en-US"/>
        </w:rPr>
      </w:pPr>
      <w:r w:rsidRPr="00AA0445">
        <w:rPr>
          <w:b w:val="0"/>
          <w:sz w:val="17"/>
          <w:szCs w:val="17"/>
          <w:lang w:val="en-US"/>
        </w:rPr>
        <w:t xml:space="preserve">IWA Specialist Conference Microbial Ecology and Water Engineering 2016: </w:t>
      </w:r>
    </w:p>
    <w:p w14:paraId="271FC56F" w14:textId="77777777" w:rsidR="00FE6AE2" w:rsidRPr="00AA0445" w:rsidRDefault="00FE6AE2" w:rsidP="00FE6AE2">
      <w:pPr>
        <w:pStyle w:val="Fodnotetekst"/>
        <w:rPr>
          <w:b w:val="0"/>
          <w:sz w:val="17"/>
          <w:szCs w:val="17"/>
          <w:lang w:val="en-US"/>
        </w:rPr>
      </w:pPr>
      <w:r w:rsidRPr="00AA0445">
        <w:rPr>
          <w:b w:val="0"/>
          <w:sz w:val="17"/>
          <w:szCs w:val="17"/>
          <w:lang w:val="en-US"/>
        </w:rPr>
        <w:t>A joint conference of the MEWE and Biofilm specialist groups</w:t>
      </w:r>
    </w:p>
    <w:p w14:paraId="2B8CBE31" w14:textId="708D9C23" w:rsidR="00FE6AE2" w:rsidRPr="00AA0445" w:rsidRDefault="00FE6AE2">
      <w:pPr>
        <w:pStyle w:val="Fodnoteteks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13"/>
    <w:rsid w:val="0000645F"/>
    <w:rsid w:val="00045E27"/>
    <w:rsid w:val="00074313"/>
    <w:rsid w:val="000B44F5"/>
    <w:rsid w:val="00102B0E"/>
    <w:rsid w:val="00112C67"/>
    <w:rsid w:val="00122C87"/>
    <w:rsid w:val="00126DED"/>
    <w:rsid w:val="00143245"/>
    <w:rsid w:val="001978E8"/>
    <w:rsid w:val="001A573F"/>
    <w:rsid w:val="001D1D58"/>
    <w:rsid w:val="001D5768"/>
    <w:rsid w:val="001E6EE3"/>
    <w:rsid w:val="00271851"/>
    <w:rsid w:val="002C5AAF"/>
    <w:rsid w:val="002E54CE"/>
    <w:rsid w:val="00305DB0"/>
    <w:rsid w:val="003A0D24"/>
    <w:rsid w:val="00480371"/>
    <w:rsid w:val="00490AA3"/>
    <w:rsid w:val="004B5ADD"/>
    <w:rsid w:val="0053498D"/>
    <w:rsid w:val="005D3F5C"/>
    <w:rsid w:val="00724F7C"/>
    <w:rsid w:val="00732CCA"/>
    <w:rsid w:val="007601B6"/>
    <w:rsid w:val="00785C60"/>
    <w:rsid w:val="007C12D7"/>
    <w:rsid w:val="007D7FAD"/>
    <w:rsid w:val="0082424C"/>
    <w:rsid w:val="008379CC"/>
    <w:rsid w:val="00892A60"/>
    <w:rsid w:val="008B33CE"/>
    <w:rsid w:val="0090758C"/>
    <w:rsid w:val="0099175E"/>
    <w:rsid w:val="009C60C0"/>
    <w:rsid w:val="009E1142"/>
    <w:rsid w:val="009F1ABA"/>
    <w:rsid w:val="009F5191"/>
    <w:rsid w:val="00A31823"/>
    <w:rsid w:val="00A459B0"/>
    <w:rsid w:val="00A64BE7"/>
    <w:rsid w:val="00AA0445"/>
    <w:rsid w:val="00AB317E"/>
    <w:rsid w:val="00B155D2"/>
    <w:rsid w:val="00B35B73"/>
    <w:rsid w:val="00B531CD"/>
    <w:rsid w:val="00B57590"/>
    <w:rsid w:val="00C94996"/>
    <w:rsid w:val="00CE4834"/>
    <w:rsid w:val="00D41CC9"/>
    <w:rsid w:val="00E277AA"/>
    <w:rsid w:val="00ED35D9"/>
    <w:rsid w:val="00EE4A87"/>
    <w:rsid w:val="00EF3904"/>
    <w:rsid w:val="00EF5C44"/>
    <w:rsid w:val="00F93611"/>
    <w:rsid w:val="00F950B9"/>
    <w:rsid w:val="00FB5947"/>
    <w:rsid w:val="00FC44BC"/>
    <w:rsid w:val="00FE6AE2"/>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F5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531CD"/>
    <w:pPr>
      <w:ind w:firstLine="567"/>
      <w:jc w:val="both"/>
    </w:pPr>
    <w:rPr>
      <w:rFonts w:ascii="Times New Roman" w:eastAsia="Times New Roman" w:hAnsi="Times New Roman" w:cs="Times New Roman"/>
      <w:b/>
      <w:lang w:val="en-GB"/>
    </w:rPr>
  </w:style>
  <w:style w:type="paragraph" w:styleId="Overskrift1">
    <w:name w:val="heading 1"/>
    <w:basedOn w:val="Normal"/>
    <w:next w:val="Normal"/>
    <w:link w:val="Overskrift1Tegn"/>
    <w:uiPriority w:val="9"/>
    <w:qFormat/>
    <w:rsid w:val="00074313"/>
    <w:pPr>
      <w:keepNext/>
      <w:keepLines/>
      <w:spacing w:before="480"/>
      <w:outlineLvl w:val="0"/>
    </w:pPr>
    <w:rPr>
      <w:rFonts w:ascii="Cambria" w:eastAsia="MS Gothic" w:hAnsi="Cambria"/>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9499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94996"/>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074313"/>
    <w:rPr>
      <w:rFonts w:ascii="Cambria" w:eastAsia="MS Gothic" w:hAnsi="Cambria" w:cs="Times New Roman"/>
      <w:b/>
      <w:bCs/>
      <w:color w:val="365F91"/>
      <w:sz w:val="28"/>
      <w:szCs w:val="28"/>
      <w:lang w:val="en-GB"/>
    </w:rPr>
  </w:style>
  <w:style w:type="paragraph" w:styleId="NormalWeb">
    <w:name w:val="Normal (Web)"/>
    <w:basedOn w:val="Normal"/>
    <w:uiPriority w:val="99"/>
    <w:semiHidden/>
    <w:unhideWhenUsed/>
    <w:rsid w:val="00074313"/>
    <w:pPr>
      <w:spacing w:before="100" w:beforeAutospacing="1" w:after="100" w:afterAutospacing="1"/>
      <w:jc w:val="left"/>
    </w:pPr>
    <w:rPr>
      <w:rFonts w:ascii="Times" w:eastAsiaTheme="minorEastAsia" w:hAnsi="Times"/>
      <w:b w:val="0"/>
      <w:sz w:val="20"/>
      <w:szCs w:val="20"/>
      <w:lang w:val="en-US"/>
    </w:rPr>
  </w:style>
  <w:style w:type="paragraph" w:styleId="Fodnotetekst">
    <w:name w:val="footnote text"/>
    <w:basedOn w:val="Normal"/>
    <w:link w:val="FodnotetekstTegn"/>
    <w:uiPriority w:val="99"/>
    <w:unhideWhenUsed/>
    <w:rsid w:val="00FE6AE2"/>
  </w:style>
  <w:style w:type="character" w:customStyle="1" w:styleId="FodnotetekstTegn">
    <w:name w:val="Fodnotetekst Tegn"/>
    <w:basedOn w:val="Standardskrifttypeiafsnit"/>
    <w:link w:val="Fodnotetekst"/>
    <w:uiPriority w:val="99"/>
    <w:rsid w:val="00FE6AE2"/>
    <w:rPr>
      <w:rFonts w:ascii="Times New Roman" w:eastAsia="Times New Roman" w:hAnsi="Times New Roman" w:cs="Times New Roman"/>
      <w:b/>
      <w:lang w:val="en-GB"/>
    </w:rPr>
  </w:style>
  <w:style w:type="character" w:styleId="Fodnotehenvisning">
    <w:name w:val="footnote reference"/>
    <w:basedOn w:val="Standardskrifttypeiafsnit"/>
    <w:uiPriority w:val="99"/>
    <w:unhideWhenUsed/>
    <w:rsid w:val="00FE6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531CD"/>
    <w:pPr>
      <w:ind w:firstLine="567"/>
      <w:jc w:val="both"/>
    </w:pPr>
    <w:rPr>
      <w:rFonts w:ascii="Times New Roman" w:eastAsia="Times New Roman" w:hAnsi="Times New Roman" w:cs="Times New Roman"/>
      <w:b/>
      <w:lang w:val="en-GB"/>
    </w:rPr>
  </w:style>
  <w:style w:type="paragraph" w:styleId="Overskrift1">
    <w:name w:val="heading 1"/>
    <w:basedOn w:val="Normal"/>
    <w:next w:val="Normal"/>
    <w:link w:val="Overskrift1Tegn"/>
    <w:uiPriority w:val="9"/>
    <w:qFormat/>
    <w:rsid w:val="00074313"/>
    <w:pPr>
      <w:keepNext/>
      <w:keepLines/>
      <w:spacing w:before="480"/>
      <w:outlineLvl w:val="0"/>
    </w:pPr>
    <w:rPr>
      <w:rFonts w:ascii="Cambria" w:eastAsia="MS Gothic" w:hAnsi="Cambria"/>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9499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94996"/>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074313"/>
    <w:rPr>
      <w:rFonts w:ascii="Cambria" w:eastAsia="MS Gothic" w:hAnsi="Cambria" w:cs="Times New Roman"/>
      <w:b/>
      <w:bCs/>
      <w:color w:val="365F91"/>
      <w:sz w:val="28"/>
      <w:szCs w:val="28"/>
      <w:lang w:val="en-GB"/>
    </w:rPr>
  </w:style>
  <w:style w:type="paragraph" w:styleId="NormalWeb">
    <w:name w:val="Normal (Web)"/>
    <w:basedOn w:val="Normal"/>
    <w:uiPriority w:val="99"/>
    <w:semiHidden/>
    <w:unhideWhenUsed/>
    <w:rsid w:val="00074313"/>
    <w:pPr>
      <w:spacing w:before="100" w:beforeAutospacing="1" w:after="100" w:afterAutospacing="1"/>
      <w:jc w:val="left"/>
    </w:pPr>
    <w:rPr>
      <w:rFonts w:ascii="Times" w:eastAsiaTheme="minorEastAsia" w:hAnsi="Times"/>
      <w:b w:val="0"/>
      <w:sz w:val="20"/>
      <w:szCs w:val="20"/>
      <w:lang w:val="en-US"/>
    </w:rPr>
  </w:style>
  <w:style w:type="paragraph" w:styleId="Fodnotetekst">
    <w:name w:val="footnote text"/>
    <w:basedOn w:val="Normal"/>
    <w:link w:val="FodnotetekstTegn"/>
    <w:uiPriority w:val="99"/>
    <w:unhideWhenUsed/>
    <w:rsid w:val="00FE6AE2"/>
  </w:style>
  <w:style w:type="character" w:customStyle="1" w:styleId="FodnotetekstTegn">
    <w:name w:val="Fodnotetekst Tegn"/>
    <w:basedOn w:val="Standardskrifttypeiafsnit"/>
    <w:link w:val="Fodnotetekst"/>
    <w:uiPriority w:val="99"/>
    <w:rsid w:val="00FE6AE2"/>
    <w:rPr>
      <w:rFonts w:ascii="Times New Roman" w:eastAsia="Times New Roman" w:hAnsi="Times New Roman" w:cs="Times New Roman"/>
      <w:b/>
      <w:lang w:val="en-GB"/>
    </w:rPr>
  </w:style>
  <w:style w:type="character" w:styleId="Fodnotehenvisning">
    <w:name w:val="footnote reference"/>
    <w:basedOn w:val="Standardskrifttypeiafsnit"/>
    <w:uiPriority w:val="99"/>
    <w:unhideWhenUsed/>
    <w:rsid w:val="00FE6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Data:Data:12%20Intracellular%20Acetate%20Project%20%5e:Data%20analysis:NMR%20quantification:Quantification_NMR_4thExp_ANAE-AERO-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Anaerobic                            Aerobic </a:t>
            </a:r>
          </a:p>
        </c:rich>
      </c:tx>
      <c:layout>
        <c:manualLayout>
          <c:xMode val="edge"/>
          <c:yMode val="edge"/>
          <c:x val="0.28131405922744501"/>
          <c:y val="2.7149321266968299E-2"/>
        </c:manualLayout>
      </c:layout>
      <c:overlay val="0"/>
    </c:title>
    <c:autoTitleDeleted val="0"/>
    <c:plotArea>
      <c:layout>
        <c:manualLayout>
          <c:layoutTarget val="inner"/>
          <c:xMode val="edge"/>
          <c:yMode val="edge"/>
          <c:x val="0.10329418461246601"/>
          <c:y val="0.10845073098894301"/>
          <c:w val="0.86092875438762895"/>
          <c:h val="0.62112758897365805"/>
        </c:manualLayout>
      </c:layout>
      <c:scatterChart>
        <c:scatterStyle val="smoothMarker"/>
        <c:varyColors val="0"/>
        <c:ser>
          <c:idx val="0"/>
          <c:order val="0"/>
          <c:tx>
            <c:strRef>
              <c:f>Metabolic_T.elongata_MSV!$B$9</c:f>
              <c:strCache>
                <c:ptCount val="1"/>
                <c:pt idx="0">
                  <c:v>Succinate Intr</c:v>
                </c:pt>
              </c:strCache>
            </c:strRef>
          </c:tx>
          <c:spPr>
            <a:ln w="9525" cmpd="sng">
              <a:solidFill>
                <a:sysClr val="windowText" lastClr="000000"/>
              </a:solidFill>
            </a:ln>
          </c:spPr>
          <c:marker>
            <c:symbol val="square"/>
            <c:size val="4"/>
            <c:spPr>
              <a:solidFill>
                <a:schemeClr val="tx1"/>
              </a:solidFill>
              <a:ln>
                <a:solidFill>
                  <a:schemeClr val="tx1"/>
                </a:solidFill>
              </a:ln>
            </c:spPr>
          </c:marker>
          <c:xVal>
            <c:numRef>
              <c:f>Metabolic_T.elongata_MSV!$A$10:$A$26</c:f>
              <c:numCache>
                <c:formatCode>General</c:formatCode>
                <c:ptCount val="17"/>
                <c:pt idx="0">
                  <c:v>0</c:v>
                </c:pt>
                <c:pt idx="1">
                  <c:v>0.1</c:v>
                </c:pt>
                <c:pt idx="2">
                  <c:v>0.3</c:v>
                </c:pt>
                <c:pt idx="3">
                  <c:v>0.7</c:v>
                </c:pt>
                <c:pt idx="4">
                  <c:v>1</c:v>
                </c:pt>
                <c:pt idx="5">
                  <c:v>1.5</c:v>
                </c:pt>
                <c:pt idx="6">
                  <c:v>3</c:v>
                </c:pt>
                <c:pt idx="7">
                  <c:v>3.25</c:v>
                </c:pt>
                <c:pt idx="8">
                  <c:v>3.25</c:v>
                </c:pt>
                <c:pt idx="9">
                  <c:v>3.5</c:v>
                </c:pt>
                <c:pt idx="10">
                  <c:v>3.6</c:v>
                </c:pt>
                <c:pt idx="11">
                  <c:v>3.8</c:v>
                </c:pt>
                <c:pt idx="12">
                  <c:v>4.2</c:v>
                </c:pt>
                <c:pt idx="13">
                  <c:v>4.5</c:v>
                </c:pt>
                <c:pt idx="14">
                  <c:v>5</c:v>
                </c:pt>
                <c:pt idx="15">
                  <c:v>6.5</c:v>
                </c:pt>
              </c:numCache>
            </c:numRef>
          </c:xVal>
          <c:yVal>
            <c:numRef>
              <c:f>Metabolic_T.elongata_MSV!$B$10:$B$26</c:f>
              <c:numCache>
                <c:formatCode>General</c:formatCode>
                <c:ptCount val="17"/>
                <c:pt idx="0">
                  <c:v>1.133267952489921</c:v>
                </c:pt>
                <c:pt idx="1">
                  <c:v>1.6127274708510411</c:v>
                </c:pt>
                <c:pt idx="2">
                  <c:v>1.7652827721477611</c:v>
                </c:pt>
                <c:pt idx="3">
                  <c:v>1.9287348806799609</c:v>
                </c:pt>
                <c:pt idx="4">
                  <c:v>2.0050125313283211</c:v>
                </c:pt>
                <c:pt idx="5">
                  <c:v>2.3319167483927208</c:v>
                </c:pt>
                <c:pt idx="6">
                  <c:v>2.8876539174022011</c:v>
                </c:pt>
                <c:pt idx="9">
                  <c:v>2.8876539174022011</c:v>
                </c:pt>
                <c:pt idx="10">
                  <c:v>2.6018306636155599</c:v>
                </c:pt>
                <c:pt idx="11">
                  <c:v>1.9601721695543199</c:v>
                </c:pt>
                <c:pt idx="12">
                  <c:v>1.6401721695543201</c:v>
                </c:pt>
                <c:pt idx="13">
                  <c:v>1.4601721695543211</c:v>
                </c:pt>
                <c:pt idx="14">
                  <c:v>1.10057753078348</c:v>
                </c:pt>
                <c:pt idx="15">
                  <c:v>0.23972975918056</c:v>
                </c:pt>
              </c:numCache>
            </c:numRef>
          </c:yVal>
          <c:smooth val="1"/>
        </c:ser>
        <c:ser>
          <c:idx val="1"/>
          <c:order val="1"/>
          <c:tx>
            <c:strRef>
              <c:f>Metabolic_T.elongata_MSV!$C$9</c:f>
              <c:strCache>
                <c:ptCount val="1"/>
                <c:pt idx="0">
                  <c:v>Acetate Intr</c:v>
                </c:pt>
              </c:strCache>
            </c:strRef>
          </c:tx>
          <c:spPr>
            <a:ln w="9525" cmpd="sng">
              <a:solidFill>
                <a:sysClr val="windowText" lastClr="000000"/>
              </a:solidFill>
            </a:ln>
          </c:spPr>
          <c:marker>
            <c:symbol val="diamond"/>
            <c:size val="4"/>
            <c:spPr>
              <a:solidFill>
                <a:schemeClr val="tx1"/>
              </a:solidFill>
              <a:ln>
                <a:solidFill>
                  <a:schemeClr val="tx1"/>
                </a:solidFill>
              </a:ln>
            </c:spPr>
          </c:marker>
          <c:xVal>
            <c:numRef>
              <c:f>Metabolic_T.elongata_MSV!$A$10:$A$26</c:f>
              <c:numCache>
                <c:formatCode>General</c:formatCode>
                <c:ptCount val="17"/>
                <c:pt idx="0">
                  <c:v>0</c:v>
                </c:pt>
                <c:pt idx="1">
                  <c:v>0.1</c:v>
                </c:pt>
                <c:pt idx="2">
                  <c:v>0.3</c:v>
                </c:pt>
                <c:pt idx="3">
                  <c:v>0.7</c:v>
                </c:pt>
                <c:pt idx="4">
                  <c:v>1</c:v>
                </c:pt>
                <c:pt idx="5">
                  <c:v>1.5</c:v>
                </c:pt>
                <c:pt idx="6">
                  <c:v>3</c:v>
                </c:pt>
                <c:pt idx="7">
                  <c:v>3.25</c:v>
                </c:pt>
                <c:pt idx="8">
                  <c:v>3.25</c:v>
                </c:pt>
                <c:pt idx="9">
                  <c:v>3.5</c:v>
                </c:pt>
                <c:pt idx="10">
                  <c:v>3.6</c:v>
                </c:pt>
                <c:pt idx="11">
                  <c:v>3.8</c:v>
                </c:pt>
                <c:pt idx="12">
                  <c:v>4.2</c:v>
                </c:pt>
                <c:pt idx="13">
                  <c:v>4.5</c:v>
                </c:pt>
                <c:pt idx="14">
                  <c:v>5</c:v>
                </c:pt>
                <c:pt idx="15">
                  <c:v>6.5</c:v>
                </c:pt>
              </c:numCache>
            </c:numRef>
          </c:xVal>
          <c:yVal>
            <c:numRef>
              <c:f>Metabolic_T.elongata_MSV!$C$10:$C$26</c:f>
              <c:numCache>
                <c:formatCode>General</c:formatCode>
                <c:ptCount val="17"/>
                <c:pt idx="0">
                  <c:v>0</c:v>
                </c:pt>
                <c:pt idx="1">
                  <c:v>0.122902909447532</c:v>
                </c:pt>
                <c:pt idx="2">
                  <c:v>0.36870872834259599</c:v>
                </c:pt>
                <c:pt idx="3">
                  <c:v>0.51051977770513202</c:v>
                </c:pt>
                <c:pt idx="4">
                  <c:v>0.690147106897679</c:v>
                </c:pt>
                <c:pt idx="5">
                  <c:v>0.92649885583524005</c:v>
                </c:pt>
                <c:pt idx="6">
                  <c:v>0.95486106570774798</c:v>
                </c:pt>
                <c:pt idx="9">
                  <c:v>0.95486106570774798</c:v>
                </c:pt>
                <c:pt idx="10">
                  <c:v>0.93595292579274303</c:v>
                </c:pt>
                <c:pt idx="11">
                  <c:v>0.89813664596273302</c:v>
                </c:pt>
                <c:pt idx="12">
                  <c:v>0.69960117685518097</c:v>
                </c:pt>
                <c:pt idx="13">
                  <c:v>0.472703497875123</c:v>
                </c:pt>
                <c:pt idx="14">
                  <c:v>0.37816279830009802</c:v>
                </c:pt>
                <c:pt idx="15">
                  <c:v>0.35925465838509302</c:v>
                </c:pt>
              </c:numCache>
            </c:numRef>
          </c:yVal>
          <c:smooth val="1"/>
        </c:ser>
        <c:ser>
          <c:idx val="2"/>
          <c:order val="2"/>
          <c:tx>
            <c:strRef>
              <c:f>Metabolic_T.elongata_MSV!$D$9</c:f>
              <c:strCache>
                <c:ptCount val="1"/>
                <c:pt idx="0">
                  <c:v>Glycogen (glucose) Intr</c:v>
                </c:pt>
              </c:strCache>
            </c:strRef>
          </c:tx>
          <c:spPr>
            <a:ln w="9525" cmpd="sng">
              <a:solidFill>
                <a:sysClr val="windowText" lastClr="000000"/>
              </a:solidFill>
            </a:ln>
          </c:spPr>
          <c:marker>
            <c:symbol val="triangle"/>
            <c:size val="4"/>
            <c:spPr>
              <a:solidFill>
                <a:schemeClr val="tx1"/>
              </a:solidFill>
              <a:ln>
                <a:solidFill>
                  <a:schemeClr val="tx1"/>
                </a:solidFill>
              </a:ln>
            </c:spPr>
          </c:marker>
          <c:xVal>
            <c:numRef>
              <c:f>Metabolic_T.elongata_MSV!$A$10:$A$26</c:f>
              <c:numCache>
                <c:formatCode>General</c:formatCode>
                <c:ptCount val="17"/>
                <c:pt idx="0">
                  <c:v>0</c:v>
                </c:pt>
                <c:pt idx="1">
                  <c:v>0.1</c:v>
                </c:pt>
                <c:pt idx="2">
                  <c:v>0.3</c:v>
                </c:pt>
                <c:pt idx="3">
                  <c:v>0.7</c:v>
                </c:pt>
                <c:pt idx="4">
                  <c:v>1</c:v>
                </c:pt>
                <c:pt idx="5">
                  <c:v>1.5</c:v>
                </c:pt>
                <c:pt idx="6">
                  <c:v>3</c:v>
                </c:pt>
                <c:pt idx="7">
                  <c:v>3.25</c:v>
                </c:pt>
                <c:pt idx="8">
                  <c:v>3.25</c:v>
                </c:pt>
                <c:pt idx="9">
                  <c:v>3.5</c:v>
                </c:pt>
                <c:pt idx="10">
                  <c:v>3.6</c:v>
                </c:pt>
                <c:pt idx="11">
                  <c:v>3.8</c:v>
                </c:pt>
                <c:pt idx="12">
                  <c:v>4.2</c:v>
                </c:pt>
                <c:pt idx="13">
                  <c:v>4.5</c:v>
                </c:pt>
                <c:pt idx="14">
                  <c:v>5</c:v>
                </c:pt>
                <c:pt idx="15">
                  <c:v>6.5</c:v>
                </c:pt>
              </c:numCache>
            </c:numRef>
          </c:xVal>
          <c:yVal>
            <c:numRef>
              <c:f>Metabolic_T.elongata_MSV!$D$10:$D$26</c:f>
              <c:numCache>
                <c:formatCode>General</c:formatCode>
                <c:ptCount val="17"/>
                <c:pt idx="0">
                  <c:v>1.95027638367682</c:v>
                </c:pt>
                <c:pt idx="1">
                  <c:v>3.530809149563173</c:v>
                </c:pt>
                <c:pt idx="2">
                  <c:v>4.2850068483690871</c:v>
                </c:pt>
                <c:pt idx="3">
                  <c:v>5.0293935126552478</c:v>
                </c:pt>
                <c:pt idx="4">
                  <c:v>5.0683293746769538</c:v>
                </c:pt>
                <c:pt idx="5">
                  <c:v>5.065462838905928</c:v>
                </c:pt>
                <c:pt idx="6">
                  <c:v>5.0288808792838857</c:v>
                </c:pt>
                <c:pt idx="9">
                  <c:v>5.0288808792838857</c:v>
                </c:pt>
                <c:pt idx="10">
                  <c:v>4.4673600000000002</c:v>
                </c:pt>
                <c:pt idx="11">
                  <c:v>3.8060167946022139</c:v>
                </c:pt>
                <c:pt idx="12">
                  <c:v>3.6354782223721491</c:v>
                </c:pt>
                <c:pt idx="13">
                  <c:v>3.628314221081093</c:v>
                </c:pt>
                <c:pt idx="14">
                  <c:v>3.6944983192603451</c:v>
                </c:pt>
                <c:pt idx="15">
                  <c:v>3.494392679424652</c:v>
                </c:pt>
              </c:numCache>
            </c:numRef>
          </c:yVal>
          <c:smooth val="1"/>
        </c:ser>
        <c:ser>
          <c:idx val="3"/>
          <c:order val="3"/>
          <c:tx>
            <c:strRef>
              <c:f>Metabolic_T.elongata_MSV!$E$9</c:f>
              <c:strCache>
                <c:ptCount val="1"/>
                <c:pt idx="0">
                  <c:v>Glutamate Intr</c:v>
                </c:pt>
              </c:strCache>
            </c:strRef>
          </c:tx>
          <c:spPr>
            <a:ln w="9525" cmpd="sng">
              <a:solidFill>
                <a:sysClr val="windowText" lastClr="000000"/>
              </a:solidFill>
            </a:ln>
          </c:spPr>
          <c:marker>
            <c:symbol val="circle"/>
            <c:size val="4"/>
            <c:spPr>
              <a:solidFill>
                <a:schemeClr val="tx1"/>
              </a:solidFill>
              <a:ln>
                <a:solidFill>
                  <a:schemeClr val="tx1"/>
                </a:solidFill>
              </a:ln>
            </c:spPr>
          </c:marker>
          <c:xVal>
            <c:numRef>
              <c:f>Metabolic_T.elongata_MSV!$A$10:$A$26</c:f>
              <c:numCache>
                <c:formatCode>General</c:formatCode>
                <c:ptCount val="17"/>
                <c:pt idx="0">
                  <c:v>0</c:v>
                </c:pt>
                <c:pt idx="1">
                  <c:v>0.1</c:v>
                </c:pt>
                <c:pt idx="2">
                  <c:v>0.3</c:v>
                </c:pt>
                <c:pt idx="3">
                  <c:v>0.7</c:v>
                </c:pt>
                <c:pt idx="4">
                  <c:v>1</c:v>
                </c:pt>
                <c:pt idx="5">
                  <c:v>1.5</c:v>
                </c:pt>
                <c:pt idx="6">
                  <c:v>3</c:v>
                </c:pt>
                <c:pt idx="7">
                  <c:v>3.25</c:v>
                </c:pt>
                <c:pt idx="8">
                  <c:v>3.25</c:v>
                </c:pt>
                <c:pt idx="9">
                  <c:v>3.5</c:v>
                </c:pt>
                <c:pt idx="10">
                  <c:v>3.6</c:v>
                </c:pt>
                <c:pt idx="11">
                  <c:v>3.8</c:v>
                </c:pt>
                <c:pt idx="12">
                  <c:v>4.2</c:v>
                </c:pt>
                <c:pt idx="13">
                  <c:v>4.5</c:v>
                </c:pt>
                <c:pt idx="14">
                  <c:v>5</c:v>
                </c:pt>
                <c:pt idx="15">
                  <c:v>6.5</c:v>
                </c:pt>
              </c:numCache>
            </c:numRef>
          </c:xVal>
          <c:yVal>
            <c:numRef>
              <c:f>Metabolic_T.elongata_MSV!$E$10:$E$26</c:f>
              <c:numCache>
                <c:formatCode>General</c:formatCode>
                <c:ptCount val="17"/>
                <c:pt idx="0">
                  <c:v>25.28059278631358</c:v>
                </c:pt>
                <c:pt idx="1">
                  <c:v>28.61501580037049</c:v>
                </c:pt>
                <c:pt idx="2">
                  <c:v>31.879045439686202</c:v>
                </c:pt>
                <c:pt idx="3">
                  <c:v>35.229377792306849</c:v>
                </c:pt>
                <c:pt idx="4">
                  <c:v>36.547891467799793</c:v>
                </c:pt>
                <c:pt idx="5">
                  <c:v>37.31066797428339</c:v>
                </c:pt>
                <c:pt idx="6">
                  <c:v>39.915004903563243</c:v>
                </c:pt>
                <c:pt idx="9">
                  <c:v>39.915004903563243</c:v>
                </c:pt>
                <c:pt idx="10">
                  <c:v>38.966982674076483</c:v>
                </c:pt>
                <c:pt idx="11">
                  <c:v>36.515201046093487</c:v>
                </c:pt>
                <c:pt idx="12">
                  <c:v>33.052522610875002</c:v>
                </c:pt>
                <c:pt idx="13">
                  <c:v>30.644328211833901</c:v>
                </c:pt>
                <c:pt idx="14">
                  <c:v>26.155715375395001</c:v>
                </c:pt>
                <c:pt idx="15">
                  <c:v>18.284842541135369</c:v>
                </c:pt>
              </c:numCache>
            </c:numRef>
          </c:yVal>
          <c:smooth val="1"/>
        </c:ser>
        <c:ser>
          <c:idx val="4"/>
          <c:order val="4"/>
          <c:tx>
            <c:strRef>
              <c:f>Metabolic_T.elongata_MSV!$F$9</c:f>
              <c:strCache>
                <c:ptCount val="1"/>
              </c:strCache>
            </c:strRef>
          </c:tx>
          <c:spPr>
            <a:ln w="12700" cmpd="sng">
              <a:solidFill>
                <a:schemeClr val="tx1"/>
              </a:solidFill>
            </a:ln>
          </c:spPr>
          <c:marker>
            <c:symbol val="dot"/>
            <c:size val="2"/>
            <c:spPr>
              <a:solidFill>
                <a:schemeClr val="tx1"/>
              </a:solidFill>
              <a:ln>
                <a:solidFill>
                  <a:schemeClr val="tx1"/>
                </a:solidFill>
              </a:ln>
            </c:spPr>
          </c:marker>
          <c:xVal>
            <c:numRef>
              <c:f>Metabolic_T.elongata_MSV!$A$10:$A$26</c:f>
              <c:numCache>
                <c:formatCode>General</c:formatCode>
                <c:ptCount val="17"/>
                <c:pt idx="0">
                  <c:v>0</c:v>
                </c:pt>
                <c:pt idx="1">
                  <c:v>0.1</c:v>
                </c:pt>
                <c:pt idx="2">
                  <c:v>0.3</c:v>
                </c:pt>
                <c:pt idx="3">
                  <c:v>0.7</c:v>
                </c:pt>
                <c:pt idx="4">
                  <c:v>1</c:v>
                </c:pt>
                <c:pt idx="5">
                  <c:v>1.5</c:v>
                </c:pt>
                <c:pt idx="6">
                  <c:v>3</c:v>
                </c:pt>
                <c:pt idx="7">
                  <c:v>3.25</c:v>
                </c:pt>
                <c:pt idx="8">
                  <c:v>3.25</c:v>
                </c:pt>
                <c:pt idx="9">
                  <c:v>3.5</c:v>
                </c:pt>
                <c:pt idx="10">
                  <c:v>3.6</c:v>
                </c:pt>
                <c:pt idx="11">
                  <c:v>3.8</c:v>
                </c:pt>
                <c:pt idx="12">
                  <c:v>4.2</c:v>
                </c:pt>
                <c:pt idx="13">
                  <c:v>4.5</c:v>
                </c:pt>
                <c:pt idx="14">
                  <c:v>5</c:v>
                </c:pt>
                <c:pt idx="15">
                  <c:v>6.5</c:v>
                </c:pt>
              </c:numCache>
            </c:numRef>
          </c:xVal>
          <c:yVal>
            <c:numRef>
              <c:f>Metabolic_T.elongata_MSV!$F$10:$F$26</c:f>
              <c:numCache>
                <c:formatCode>General</c:formatCode>
                <c:ptCount val="17"/>
                <c:pt idx="7">
                  <c:v>50</c:v>
                </c:pt>
                <c:pt idx="8">
                  <c:v>0</c:v>
                </c:pt>
              </c:numCache>
            </c:numRef>
          </c:yVal>
          <c:smooth val="1"/>
        </c:ser>
        <c:dLbls>
          <c:showLegendKey val="0"/>
          <c:showVal val="0"/>
          <c:showCatName val="0"/>
          <c:showSerName val="0"/>
          <c:showPercent val="0"/>
          <c:showBubbleSize val="0"/>
        </c:dLbls>
        <c:axId val="173016960"/>
        <c:axId val="173035904"/>
      </c:scatterChart>
      <c:valAx>
        <c:axId val="173016960"/>
        <c:scaling>
          <c:orientation val="minMax"/>
          <c:max val="6.5"/>
          <c:min val="0"/>
        </c:scaling>
        <c:delete val="0"/>
        <c:axPos val="b"/>
        <c:title>
          <c:tx>
            <c:rich>
              <a:bodyPr/>
              <a:lstStyle/>
              <a:p>
                <a:pPr>
                  <a:defRPr/>
                </a:pPr>
                <a:r>
                  <a:rPr lang="en-US"/>
                  <a:t>Time (hours)</a:t>
                </a:r>
              </a:p>
            </c:rich>
          </c:tx>
          <c:overlay val="0"/>
        </c:title>
        <c:numFmt formatCode="General" sourceLinked="1"/>
        <c:majorTickMark val="out"/>
        <c:minorTickMark val="none"/>
        <c:tickLblPos val="nextTo"/>
        <c:crossAx val="173035904"/>
        <c:crosses val="autoZero"/>
        <c:crossBetween val="midCat"/>
      </c:valAx>
      <c:valAx>
        <c:axId val="173035904"/>
        <c:scaling>
          <c:orientation val="minMax"/>
          <c:max val="50"/>
        </c:scaling>
        <c:delete val="0"/>
        <c:axPos val="l"/>
        <c:title>
          <c:tx>
            <c:rich>
              <a:bodyPr rot="-5400000" vert="horz"/>
              <a:lstStyle/>
              <a:p>
                <a:pPr>
                  <a:defRPr/>
                </a:pPr>
                <a:r>
                  <a:rPr lang="en-US"/>
                  <a:t>Intracellular Concentration (mM)</a:t>
                </a:r>
              </a:p>
            </c:rich>
          </c:tx>
          <c:layout>
            <c:manualLayout>
              <c:xMode val="edge"/>
              <c:yMode val="edge"/>
              <c:x val="1.0511146950004701E-2"/>
              <c:y val="0.12140399548502"/>
            </c:manualLayout>
          </c:layout>
          <c:overlay val="0"/>
        </c:title>
        <c:numFmt formatCode="General" sourceLinked="1"/>
        <c:majorTickMark val="out"/>
        <c:minorTickMark val="none"/>
        <c:tickLblPos val="nextTo"/>
        <c:crossAx val="173016960"/>
        <c:crosses val="autoZero"/>
        <c:crossBetween val="midCat"/>
        <c:minorUnit val="1"/>
      </c:valAx>
    </c:plotArea>
    <c:legend>
      <c:legendPos val="r"/>
      <c:legendEntry>
        <c:idx val="4"/>
        <c:delete val="1"/>
      </c:legendEntry>
      <c:layout>
        <c:manualLayout>
          <c:xMode val="edge"/>
          <c:yMode val="edge"/>
          <c:x val="2.3569023569023601E-2"/>
          <c:y val="0.89165663115640004"/>
          <c:w val="0.96969696969696995"/>
          <c:h val="0.104399710217218"/>
        </c:manualLayout>
      </c:layout>
      <c:overlay val="0"/>
    </c:legend>
    <c:plotVisOnly val="1"/>
    <c:dispBlanksAs val="gap"/>
    <c:showDLblsOverMax val="0"/>
  </c:chart>
  <c:spPr>
    <a:ln>
      <a:noFill/>
    </a:ln>
  </c:spPr>
  <c:txPr>
    <a:bodyPr/>
    <a:lstStyle/>
    <a:p>
      <a:pPr>
        <a:defRPr sz="1000">
          <a:latin typeface="Times New Roman"/>
          <a:cs typeface="Times New Roman"/>
        </a:defRPr>
      </a:pPr>
      <a:endParaRPr lang="da-DK"/>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AAU</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Nguyen</dc:creator>
  <cp:lastModifiedBy>ij</cp:lastModifiedBy>
  <cp:revision>2</cp:revision>
  <cp:lastPrinted>2016-03-31T13:15:00Z</cp:lastPrinted>
  <dcterms:created xsi:type="dcterms:W3CDTF">2017-02-14T07:38:00Z</dcterms:created>
  <dcterms:modified xsi:type="dcterms:W3CDTF">2017-02-14T07:38:00Z</dcterms:modified>
</cp:coreProperties>
</file>