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C3747" w14:textId="7C55C0A9" w:rsidR="00B90406" w:rsidRPr="00140BF5" w:rsidRDefault="0093691E" w:rsidP="0011084D">
      <w:pPr>
        <w:spacing w:line="480" w:lineRule="auto"/>
        <w:rPr>
          <w:b/>
          <w:szCs w:val="28"/>
          <w:lang w:val="en-GB"/>
        </w:rPr>
      </w:pPr>
      <w:r w:rsidRPr="00140BF5">
        <w:rPr>
          <w:b/>
          <w:szCs w:val="28"/>
          <w:lang w:val="en-GB"/>
        </w:rPr>
        <w:t xml:space="preserve">Tackling precarious work in public supply chains: </w:t>
      </w:r>
      <w:r w:rsidR="00B70288" w:rsidRPr="00140BF5">
        <w:rPr>
          <w:b/>
          <w:szCs w:val="28"/>
          <w:lang w:val="en-GB"/>
        </w:rPr>
        <w:t>A</w:t>
      </w:r>
      <w:r w:rsidRPr="00140BF5">
        <w:rPr>
          <w:b/>
          <w:szCs w:val="28"/>
          <w:lang w:val="en-GB"/>
        </w:rPr>
        <w:t xml:space="preserve"> comparison of local government procurement policies in Denmark, Germany</w:t>
      </w:r>
      <w:r w:rsidR="00B70288" w:rsidRPr="00140BF5">
        <w:rPr>
          <w:b/>
          <w:szCs w:val="28"/>
          <w:lang w:val="en-GB"/>
        </w:rPr>
        <w:t xml:space="preserve"> and the UK</w:t>
      </w:r>
      <w:r w:rsidRPr="00140BF5">
        <w:rPr>
          <w:b/>
          <w:szCs w:val="28"/>
          <w:lang w:val="en-GB"/>
        </w:rPr>
        <w:t xml:space="preserve"> </w:t>
      </w:r>
    </w:p>
    <w:p w14:paraId="40F44A77" w14:textId="5F613290" w:rsidR="00B005CD" w:rsidRDefault="00B005CD" w:rsidP="00B005CD">
      <w:pPr>
        <w:spacing w:after="0" w:line="480" w:lineRule="auto"/>
        <w:jc w:val="center"/>
        <w:rPr>
          <w:i/>
          <w:szCs w:val="28"/>
          <w:lang w:val="en-GB"/>
        </w:rPr>
      </w:pPr>
      <w:r>
        <w:rPr>
          <w:i/>
          <w:szCs w:val="28"/>
          <w:lang w:val="en-GB"/>
        </w:rPr>
        <w:t>**Accepted for publication in Work, Employment and Society **</w:t>
      </w:r>
    </w:p>
    <w:p w14:paraId="1D8E8B6E" w14:textId="77777777" w:rsidR="00B005CD" w:rsidRDefault="00B005CD" w:rsidP="00B005CD">
      <w:pPr>
        <w:spacing w:after="0" w:line="480" w:lineRule="auto"/>
        <w:jc w:val="both"/>
        <w:rPr>
          <w:szCs w:val="28"/>
          <w:lang w:val="en-GB"/>
        </w:rPr>
      </w:pPr>
    </w:p>
    <w:p w14:paraId="63FA92BC" w14:textId="4FF0B7A8" w:rsidR="003D3A45" w:rsidRPr="00BD308B" w:rsidRDefault="003D3A45" w:rsidP="00B005CD">
      <w:pPr>
        <w:spacing w:after="0" w:line="480" w:lineRule="auto"/>
        <w:jc w:val="both"/>
        <w:rPr>
          <w:szCs w:val="28"/>
          <w:lang w:val="en-GB"/>
        </w:rPr>
      </w:pPr>
      <w:r w:rsidRPr="00B005CD">
        <w:rPr>
          <w:szCs w:val="28"/>
          <w:lang w:val="en-GB"/>
        </w:rPr>
        <w:t>Karen Jaehrling, University of Duisburg-Essen, Germany</w:t>
      </w:r>
      <w:r w:rsidR="00B005CD">
        <w:rPr>
          <w:szCs w:val="28"/>
          <w:lang w:val="en-GB"/>
        </w:rPr>
        <w:t xml:space="preserve">, </w:t>
      </w:r>
      <w:r w:rsidRPr="00B005CD">
        <w:rPr>
          <w:szCs w:val="28"/>
          <w:lang w:val="en-GB"/>
        </w:rPr>
        <w:t>Mathew Johnson, University of Manchester, UK</w:t>
      </w:r>
      <w:r w:rsidR="00B005CD">
        <w:rPr>
          <w:szCs w:val="28"/>
          <w:lang w:val="en-GB"/>
        </w:rPr>
        <w:t xml:space="preserve">, </w:t>
      </w:r>
      <w:r w:rsidRPr="00B005CD">
        <w:rPr>
          <w:szCs w:val="28"/>
          <w:lang w:val="en-GB"/>
        </w:rPr>
        <w:t>Trine Pernille Larsen, University of Copenhagen, Denmark</w:t>
      </w:r>
      <w:r w:rsidR="00B005CD">
        <w:rPr>
          <w:szCs w:val="28"/>
          <w:lang w:val="en-GB"/>
        </w:rPr>
        <w:t xml:space="preserve">, </w:t>
      </w:r>
      <w:r w:rsidRPr="00B005CD">
        <w:rPr>
          <w:szCs w:val="28"/>
          <w:lang w:val="en-GB"/>
        </w:rPr>
        <w:t>Bjarke Refslund, Aalborg University, Copenhagen, Denmark</w:t>
      </w:r>
      <w:r w:rsidR="00B005CD">
        <w:rPr>
          <w:szCs w:val="28"/>
          <w:lang w:val="en-GB"/>
        </w:rPr>
        <w:t xml:space="preserve"> &amp; </w:t>
      </w:r>
      <w:r w:rsidRPr="00B005CD">
        <w:rPr>
          <w:szCs w:val="28"/>
          <w:lang w:val="en-GB"/>
        </w:rPr>
        <w:t xml:space="preserve">Damian Grimshaw, University </w:t>
      </w:r>
      <w:r w:rsidRPr="00BD308B">
        <w:rPr>
          <w:szCs w:val="28"/>
          <w:lang w:val="en-GB"/>
        </w:rPr>
        <w:t>of Manchester, UK</w:t>
      </w:r>
    </w:p>
    <w:p w14:paraId="309D61B5" w14:textId="77777777" w:rsidR="0020145E" w:rsidRDefault="0020145E" w:rsidP="0011084D">
      <w:pPr>
        <w:spacing w:line="480" w:lineRule="auto"/>
        <w:jc w:val="both"/>
        <w:rPr>
          <w:b/>
          <w:szCs w:val="28"/>
          <w:lang w:val="en-GB"/>
        </w:rPr>
      </w:pPr>
    </w:p>
    <w:p w14:paraId="5F6189A4" w14:textId="77777777" w:rsidR="00950051" w:rsidRPr="00140BF5" w:rsidRDefault="00950051" w:rsidP="0011084D">
      <w:pPr>
        <w:spacing w:line="480" w:lineRule="auto"/>
        <w:jc w:val="both"/>
        <w:rPr>
          <w:b/>
          <w:szCs w:val="28"/>
          <w:lang w:val="en-GB"/>
        </w:rPr>
      </w:pPr>
      <w:r w:rsidRPr="00140BF5">
        <w:rPr>
          <w:b/>
          <w:szCs w:val="28"/>
          <w:lang w:val="en-GB"/>
        </w:rPr>
        <w:t>Abstract</w:t>
      </w:r>
    </w:p>
    <w:p w14:paraId="3BEA332B" w14:textId="73B9525A" w:rsidR="00BD7662" w:rsidRPr="00140BF5" w:rsidRDefault="00F86EF9" w:rsidP="001B5EE2">
      <w:pPr>
        <w:spacing w:line="480" w:lineRule="auto"/>
        <w:jc w:val="both"/>
        <w:rPr>
          <w:szCs w:val="28"/>
          <w:lang w:val="en-GB"/>
        </w:rPr>
      </w:pPr>
      <w:r w:rsidRPr="00140BF5">
        <w:rPr>
          <w:szCs w:val="28"/>
          <w:lang w:val="en-GB"/>
        </w:rPr>
        <w:t xml:space="preserve">Through a cross-national comparative study of </w:t>
      </w:r>
      <w:r w:rsidR="00A03CF5" w:rsidRPr="00140BF5">
        <w:rPr>
          <w:szCs w:val="28"/>
          <w:lang w:val="en-GB"/>
        </w:rPr>
        <w:t xml:space="preserve">local government </w:t>
      </w:r>
      <w:r w:rsidR="001B5EE2" w:rsidRPr="00140BF5">
        <w:rPr>
          <w:szCs w:val="28"/>
          <w:lang w:val="en-GB"/>
        </w:rPr>
        <w:t>“</w:t>
      </w:r>
      <w:r w:rsidR="00862ECB" w:rsidRPr="00140BF5">
        <w:rPr>
          <w:szCs w:val="28"/>
          <w:lang w:val="en-GB"/>
        </w:rPr>
        <w:t xml:space="preserve">best practice </w:t>
      </w:r>
      <w:r w:rsidRPr="00140BF5">
        <w:rPr>
          <w:szCs w:val="28"/>
          <w:lang w:val="en-GB"/>
        </w:rPr>
        <w:t>cases</w:t>
      </w:r>
      <w:r w:rsidR="001B5EE2" w:rsidRPr="00140BF5">
        <w:rPr>
          <w:szCs w:val="28"/>
          <w:lang w:val="en-GB"/>
        </w:rPr>
        <w:t>”</w:t>
      </w:r>
      <w:r w:rsidRPr="00140BF5">
        <w:rPr>
          <w:szCs w:val="28"/>
          <w:lang w:val="en-GB"/>
        </w:rPr>
        <w:t xml:space="preserve"> of socially responsible procurement in Denmark, Germany and the UK, </w:t>
      </w:r>
      <w:r w:rsidR="00BF240D" w:rsidRPr="00140BF5">
        <w:rPr>
          <w:szCs w:val="28"/>
          <w:lang w:val="en-GB"/>
        </w:rPr>
        <w:t>t</w:t>
      </w:r>
      <w:r w:rsidR="00BF240D" w:rsidRPr="00140BF5">
        <w:rPr>
          <w:lang w:val="en-GB"/>
        </w:rPr>
        <w:t xml:space="preserve">his article </w:t>
      </w:r>
      <w:r w:rsidR="00BF240D" w:rsidRPr="00140BF5">
        <w:rPr>
          <w:szCs w:val="28"/>
          <w:lang w:val="en-GB"/>
        </w:rPr>
        <w:t xml:space="preserve">critically examines the role of labour clauses in addressing issues of </w:t>
      </w:r>
      <w:r w:rsidR="00B15F68" w:rsidRPr="00140BF5">
        <w:rPr>
          <w:szCs w:val="28"/>
          <w:lang w:val="en-GB"/>
        </w:rPr>
        <w:t xml:space="preserve">low wages and </w:t>
      </w:r>
      <w:r w:rsidR="00BF240D" w:rsidRPr="00140BF5">
        <w:rPr>
          <w:szCs w:val="28"/>
          <w:lang w:val="en-GB"/>
        </w:rPr>
        <w:t>precarious work in public supply chains</w:t>
      </w:r>
      <w:r w:rsidR="0035128C" w:rsidRPr="00140BF5">
        <w:rPr>
          <w:szCs w:val="28"/>
          <w:lang w:val="en-GB"/>
        </w:rPr>
        <w:t>. It</w:t>
      </w:r>
      <w:r w:rsidR="00BF240D" w:rsidRPr="00140BF5">
        <w:rPr>
          <w:szCs w:val="28"/>
          <w:lang w:val="en-GB"/>
        </w:rPr>
        <w:t xml:space="preserve"> provid</w:t>
      </w:r>
      <w:r w:rsidR="0035128C" w:rsidRPr="00140BF5">
        <w:rPr>
          <w:szCs w:val="28"/>
          <w:lang w:val="en-GB"/>
        </w:rPr>
        <w:t>es</w:t>
      </w:r>
      <w:r w:rsidR="00BF240D" w:rsidRPr="00140BF5">
        <w:rPr>
          <w:szCs w:val="28"/>
          <w:lang w:val="en-GB"/>
        </w:rPr>
        <w:t xml:space="preserve"> </w:t>
      </w:r>
      <w:r w:rsidRPr="00140BF5">
        <w:rPr>
          <w:szCs w:val="28"/>
          <w:lang w:val="en-GB"/>
        </w:rPr>
        <w:t xml:space="preserve">new insights </w:t>
      </w:r>
      <w:r w:rsidR="00BF240D" w:rsidRPr="00140BF5">
        <w:rPr>
          <w:szCs w:val="28"/>
          <w:lang w:val="en-GB"/>
        </w:rPr>
        <w:t>on</w:t>
      </w:r>
      <w:r w:rsidRPr="00140BF5">
        <w:rPr>
          <w:szCs w:val="28"/>
          <w:lang w:val="en-GB"/>
        </w:rPr>
        <w:t xml:space="preserve"> the negotiations and outcomes</w:t>
      </w:r>
      <w:r w:rsidR="00B45360" w:rsidRPr="00140BF5">
        <w:rPr>
          <w:szCs w:val="28"/>
          <w:lang w:val="en-GB"/>
        </w:rPr>
        <w:t xml:space="preserve"> of labour clauses</w:t>
      </w:r>
      <w:r w:rsidRPr="00140BF5">
        <w:rPr>
          <w:szCs w:val="28"/>
          <w:lang w:val="en-GB"/>
        </w:rPr>
        <w:t xml:space="preserve"> </w:t>
      </w:r>
      <w:r w:rsidR="00A03CF5" w:rsidRPr="00140BF5">
        <w:rPr>
          <w:szCs w:val="28"/>
          <w:lang w:val="en-GB"/>
        </w:rPr>
        <w:t>across</w:t>
      </w:r>
      <w:r w:rsidR="00BD7662" w:rsidRPr="00140BF5">
        <w:rPr>
          <w:szCs w:val="28"/>
          <w:lang w:val="en-GB"/>
        </w:rPr>
        <w:t xml:space="preserve"> </w:t>
      </w:r>
      <w:r w:rsidR="007C2654" w:rsidRPr="00140BF5">
        <w:rPr>
          <w:szCs w:val="28"/>
          <w:lang w:val="en-GB"/>
        </w:rPr>
        <w:t>different</w:t>
      </w:r>
      <w:r w:rsidR="00BD7662" w:rsidRPr="00140BF5">
        <w:rPr>
          <w:szCs w:val="28"/>
          <w:lang w:val="en-GB"/>
        </w:rPr>
        <w:t xml:space="preserve"> stages of </w:t>
      </w:r>
      <w:r w:rsidR="00BF240D" w:rsidRPr="00140BF5">
        <w:rPr>
          <w:szCs w:val="28"/>
          <w:lang w:val="en-GB"/>
        </w:rPr>
        <w:t xml:space="preserve">the </w:t>
      </w:r>
      <w:r w:rsidR="00BD7662" w:rsidRPr="00140BF5">
        <w:rPr>
          <w:szCs w:val="28"/>
          <w:lang w:val="en-GB"/>
        </w:rPr>
        <w:t>policy process</w:t>
      </w:r>
      <w:r w:rsidRPr="00140BF5">
        <w:rPr>
          <w:szCs w:val="28"/>
          <w:lang w:val="en-GB"/>
        </w:rPr>
        <w:t>, including</w:t>
      </w:r>
      <w:r w:rsidR="00BD7662" w:rsidRPr="00140BF5">
        <w:rPr>
          <w:szCs w:val="28"/>
          <w:lang w:val="en-GB"/>
        </w:rPr>
        <w:t xml:space="preserve"> </w:t>
      </w:r>
      <w:r w:rsidRPr="00140BF5">
        <w:rPr>
          <w:szCs w:val="28"/>
          <w:lang w:val="en-GB"/>
        </w:rPr>
        <w:t>implementation and monitoring</w:t>
      </w:r>
      <w:r w:rsidR="00291CFB" w:rsidRPr="00140BF5">
        <w:rPr>
          <w:szCs w:val="28"/>
          <w:lang w:val="en-GB"/>
        </w:rPr>
        <w:t>.</w:t>
      </w:r>
      <w:r w:rsidR="00BF240D" w:rsidRPr="00140BF5">
        <w:rPr>
          <w:szCs w:val="28"/>
          <w:lang w:val="en-GB"/>
        </w:rPr>
        <w:t xml:space="preserve"> </w:t>
      </w:r>
      <w:r w:rsidR="00BD7662" w:rsidRPr="00140BF5">
        <w:rPr>
          <w:szCs w:val="28"/>
          <w:lang w:val="en-GB"/>
        </w:rPr>
        <w:t xml:space="preserve">The analysis demonstrates the importance of pragmatic alliances of progressive local politicians, unions, and employers </w:t>
      </w:r>
      <w:r w:rsidR="0035128C" w:rsidRPr="00140BF5">
        <w:rPr>
          <w:szCs w:val="28"/>
          <w:lang w:val="en-GB"/>
        </w:rPr>
        <w:t>in</w:t>
      </w:r>
      <w:r w:rsidR="00BD7662" w:rsidRPr="00140BF5">
        <w:rPr>
          <w:szCs w:val="28"/>
          <w:lang w:val="en-GB"/>
        </w:rPr>
        <w:t xml:space="preserve"> </w:t>
      </w:r>
      <w:r w:rsidR="0035128C" w:rsidRPr="00140BF5">
        <w:rPr>
          <w:szCs w:val="28"/>
          <w:lang w:val="en-GB"/>
        </w:rPr>
        <w:t>ensuring</w:t>
      </w:r>
      <w:r w:rsidR="00BD7662" w:rsidRPr="00140BF5">
        <w:rPr>
          <w:szCs w:val="28"/>
          <w:lang w:val="en-GB"/>
        </w:rPr>
        <w:t xml:space="preserve"> that socially responsible procurement move</w:t>
      </w:r>
      <w:r w:rsidR="00B45360" w:rsidRPr="00140BF5">
        <w:rPr>
          <w:szCs w:val="28"/>
          <w:lang w:val="en-GB"/>
        </w:rPr>
        <w:t>s</w:t>
      </w:r>
      <w:r w:rsidR="00BD7662" w:rsidRPr="00140BF5">
        <w:rPr>
          <w:szCs w:val="28"/>
          <w:lang w:val="en-GB"/>
        </w:rPr>
        <w:t xml:space="preserve"> beyond rhetoric</w:t>
      </w:r>
      <w:r w:rsidR="00B45360" w:rsidRPr="00140BF5">
        <w:rPr>
          <w:szCs w:val="28"/>
          <w:lang w:val="en-GB"/>
        </w:rPr>
        <w:t>,</w:t>
      </w:r>
      <w:r w:rsidR="00BD7662" w:rsidRPr="00140BF5">
        <w:rPr>
          <w:szCs w:val="28"/>
          <w:lang w:val="en-GB"/>
        </w:rPr>
        <w:t xml:space="preserve"> </w:t>
      </w:r>
      <w:r w:rsidR="0035128C" w:rsidRPr="00140BF5">
        <w:rPr>
          <w:szCs w:val="28"/>
          <w:lang w:val="en-GB"/>
        </w:rPr>
        <w:t>a</w:t>
      </w:r>
      <w:r w:rsidR="00B45360" w:rsidRPr="00140BF5">
        <w:rPr>
          <w:szCs w:val="28"/>
          <w:lang w:val="en-GB"/>
        </w:rPr>
        <w:t>long</w:t>
      </w:r>
      <w:r w:rsidR="0035128C" w:rsidRPr="00140BF5">
        <w:rPr>
          <w:szCs w:val="28"/>
          <w:lang w:val="en-GB"/>
        </w:rPr>
        <w:t xml:space="preserve"> </w:t>
      </w:r>
      <w:r w:rsidR="00B45360" w:rsidRPr="00140BF5">
        <w:rPr>
          <w:szCs w:val="28"/>
          <w:lang w:val="en-GB"/>
        </w:rPr>
        <w:t xml:space="preserve">with supportive </w:t>
      </w:r>
      <w:r w:rsidR="00BD7662" w:rsidRPr="00140BF5">
        <w:rPr>
          <w:szCs w:val="28"/>
          <w:lang w:val="en-GB"/>
        </w:rPr>
        <w:t xml:space="preserve">national and sectoral employment regimes. </w:t>
      </w:r>
      <w:r w:rsidR="001810D4" w:rsidRPr="00140BF5">
        <w:rPr>
          <w:szCs w:val="28"/>
          <w:lang w:val="en-GB"/>
        </w:rPr>
        <w:t>L</w:t>
      </w:r>
      <w:r w:rsidR="001B5EE2" w:rsidRPr="00140BF5">
        <w:rPr>
          <w:szCs w:val="28"/>
          <w:lang w:val="en-GB"/>
        </w:rPr>
        <w:t xml:space="preserve">abour clauses </w:t>
      </w:r>
      <w:r w:rsidR="001810D4" w:rsidRPr="00140BF5">
        <w:rPr>
          <w:szCs w:val="28"/>
          <w:lang w:val="en-GB"/>
        </w:rPr>
        <w:t xml:space="preserve">can </w:t>
      </w:r>
      <w:r w:rsidR="00BD7662" w:rsidRPr="00140BF5">
        <w:rPr>
          <w:szCs w:val="28"/>
          <w:lang w:val="en-GB"/>
        </w:rPr>
        <w:t>compensate</w:t>
      </w:r>
      <w:r w:rsidR="001810D4" w:rsidRPr="00140BF5">
        <w:rPr>
          <w:szCs w:val="28"/>
          <w:lang w:val="en-GB"/>
        </w:rPr>
        <w:t xml:space="preserve"> for weak systems of labour market regulation </w:t>
      </w:r>
      <w:r w:rsidR="001B5EE2" w:rsidRPr="00140BF5">
        <w:rPr>
          <w:szCs w:val="28"/>
          <w:lang w:val="en-GB"/>
        </w:rPr>
        <w:t xml:space="preserve">by setting </w:t>
      </w:r>
      <w:r w:rsidR="001810D4" w:rsidRPr="00140BF5">
        <w:rPr>
          <w:szCs w:val="28"/>
          <w:lang w:val="en-GB"/>
        </w:rPr>
        <w:t xml:space="preserve">higher </w:t>
      </w:r>
      <w:r w:rsidR="001B5EE2" w:rsidRPr="00140BF5">
        <w:rPr>
          <w:szCs w:val="28"/>
          <w:lang w:val="en-GB"/>
        </w:rPr>
        <w:t>standards for outsourced workers</w:t>
      </w:r>
      <w:r w:rsidR="0035128C" w:rsidRPr="00140BF5">
        <w:rPr>
          <w:szCs w:val="28"/>
          <w:lang w:val="en-GB"/>
        </w:rPr>
        <w:t>,</w:t>
      </w:r>
      <w:r w:rsidR="001B5EE2" w:rsidRPr="00140BF5">
        <w:rPr>
          <w:szCs w:val="28"/>
          <w:lang w:val="en-GB"/>
        </w:rPr>
        <w:t xml:space="preserve"> whil</w:t>
      </w:r>
      <w:r w:rsidR="001810D4" w:rsidRPr="00140BF5">
        <w:rPr>
          <w:szCs w:val="28"/>
          <w:lang w:val="en-GB"/>
        </w:rPr>
        <w:t>e</w:t>
      </w:r>
      <w:r w:rsidR="001B5EE2" w:rsidRPr="00140BF5">
        <w:rPr>
          <w:szCs w:val="28"/>
          <w:lang w:val="en-GB"/>
        </w:rPr>
        <w:t xml:space="preserve"> they </w:t>
      </w:r>
      <w:r w:rsidR="0035128C" w:rsidRPr="00140BF5">
        <w:rPr>
          <w:szCs w:val="28"/>
          <w:lang w:val="en-GB"/>
        </w:rPr>
        <w:t xml:space="preserve">play a </w:t>
      </w:r>
      <w:r w:rsidR="001B5EE2" w:rsidRPr="00140BF5">
        <w:rPr>
          <w:szCs w:val="28"/>
          <w:lang w:val="en-GB"/>
        </w:rPr>
        <w:t>complement</w:t>
      </w:r>
      <w:r w:rsidR="0035128C" w:rsidRPr="00140BF5">
        <w:rPr>
          <w:szCs w:val="28"/>
          <w:lang w:val="en-GB"/>
        </w:rPr>
        <w:t>ary role</w:t>
      </w:r>
      <w:r w:rsidR="001B5EE2" w:rsidRPr="00140BF5">
        <w:rPr>
          <w:szCs w:val="28"/>
          <w:lang w:val="en-GB"/>
        </w:rPr>
        <w:t xml:space="preserve"> in more</w:t>
      </w:r>
      <w:r w:rsidR="00D46238" w:rsidRPr="00140BF5">
        <w:rPr>
          <w:szCs w:val="28"/>
          <w:lang w:val="en-GB"/>
        </w:rPr>
        <w:t xml:space="preserve"> </w:t>
      </w:r>
      <w:r w:rsidR="001B5EE2" w:rsidRPr="00140BF5">
        <w:rPr>
          <w:szCs w:val="28"/>
          <w:lang w:val="en-GB"/>
        </w:rPr>
        <w:t>regulated labour markets by levelling up wage</w:t>
      </w:r>
      <w:r w:rsidR="008B5C71" w:rsidRPr="00140BF5">
        <w:rPr>
          <w:szCs w:val="28"/>
          <w:lang w:val="en-GB"/>
        </w:rPr>
        <w:t>s</w:t>
      </w:r>
      <w:r w:rsidR="001B5EE2" w:rsidRPr="00140BF5">
        <w:rPr>
          <w:szCs w:val="28"/>
          <w:lang w:val="en-GB"/>
        </w:rPr>
        <w:t xml:space="preserve"> and working conditions to </w:t>
      </w:r>
      <w:r w:rsidR="008B5C71" w:rsidRPr="00140BF5">
        <w:rPr>
          <w:szCs w:val="28"/>
          <w:lang w:val="en-GB"/>
        </w:rPr>
        <w:t>prevailing</w:t>
      </w:r>
      <w:r w:rsidR="001B5EE2" w:rsidRPr="00140BF5">
        <w:rPr>
          <w:szCs w:val="28"/>
          <w:lang w:val="en-GB"/>
        </w:rPr>
        <w:t xml:space="preserve"> collective</w:t>
      </w:r>
      <w:r w:rsidR="008B5C71" w:rsidRPr="00140BF5">
        <w:rPr>
          <w:szCs w:val="28"/>
          <w:lang w:val="en-GB"/>
        </w:rPr>
        <w:t>ly</w:t>
      </w:r>
      <w:r w:rsidR="001B5EE2" w:rsidRPr="00140BF5">
        <w:rPr>
          <w:szCs w:val="28"/>
          <w:lang w:val="en-GB"/>
        </w:rPr>
        <w:t xml:space="preserve"> agreed standards.</w:t>
      </w:r>
    </w:p>
    <w:p w14:paraId="22B9C340" w14:textId="77777777" w:rsidR="00DB3488" w:rsidRPr="00140BF5" w:rsidRDefault="00DB3488" w:rsidP="0011084D">
      <w:pPr>
        <w:spacing w:line="480" w:lineRule="auto"/>
        <w:jc w:val="both"/>
        <w:rPr>
          <w:b/>
          <w:szCs w:val="28"/>
          <w:lang w:val="en-GB"/>
        </w:rPr>
      </w:pPr>
      <w:r w:rsidRPr="00140BF5">
        <w:rPr>
          <w:b/>
          <w:szCs w:val="28"/>
          <w:lang w:val="en-GB"/>
        </w:rPr>
        <w:t>Key words</w:t>
      </w:r>
    </w:p>
    <w:p w14:paraId="4B8444CB" w14:textId="77777777" w:rsidR="00DB3488" w:rsidRDefault="00DB3488" w:rsidP="0011084D">
      <w:pPr>
        <w:spacing w:line="480" w:lineRule="auto"/>
        <w:jc w:val="both"/>
        <w:rPr>
          <w:szCs w:val="28"/>
          <w:lang w:val="en-GB"/>
        </w:rPr>
      </w:pPr>
      <w:r w:rsidRPr="00140BF5">
        <w:rPr>
          <w:szCs w:val="28"/>
          <w:lang w:val="en-GB"/>
        </w:rPr>
        <w:t>P</w:t>
      </w:r>
      <w:r w:rsidR="00630CEF" w:rsidRPr="00140BF5">
        <w:rPr>
          <w:szCs w:val="28"/>
          <w:lang w:val="en-GB"/>
        </w:rPr>
        <w:t>ublic p</w:t>
      </w:r>
      <w:r w:rsidRPr="00140BF5">
        <w:rPr>
          <w:szCs w:val="28"/>
          <w:lang w:val="en-GB"/>
        </w:rPr>
        <w:t xml:space="preserve">rocurement, precarious work, labour clause, </w:t>
      </w:r>
      <w:r w:rsidR="00630CEF" w:rsidRPr="00140BF5">
        <w:rPr>
          <w:szCs w:val="28"/>
          <w:lang w:val="en-GB"/>
        </w:rPr>
        <w:t>public outsourcing,</w:t>
      </w:r>
      <w:r w:rsidR="00FA589F" w:rsidRPr="00140BF5">
        <w:rPr>
          <w:szCs w:val="28"/>
          <w:lang w:val="en-GB"/>
        </w:rPr>
        <w:t xml:space="preserve"> </w:t>
      </w:r>
      <w:r w:rsidRPr="00140BF5">
        <w:rPr>
          <w:szCs w:val="28"/>
          <w:lang w:val="en-GB"/>
        </w:rPr>
        <w:t>public services</w:t>
      </w:r>
      <w:r w:rsidR="00FA589F" w:rsidRPr="00140BF5">
        <w:rPr>
          <w:szCs w:val="28"/>
          <w:lang w:val="en-GB"/>
        </w:rPr>
        <w:t xml:space="preserve"> </w:t>
      </w:r>
    </w:p>
    <w:p w14:paraId="76929777" w14:textId="0DF75B18" w:rsidR="003D3A45" w:rsidRPr="00140BF5" w:rsidRDefault="003D3A45" w:rsidP="0011084D">
      <w:pPr>
        <w:spacing w:line="480" w:lineRule="auto"/>
        <w:jc w:val="both"/>
        <w:rPr>
          <w:szCs w:val="28"/>
          <w:lang w:val="en-GB"/>
        </w:rPr>
      </w:pPr>
      <w:r w:rsidRPr="004808F4">
        <w:rPr>
          <w:b/>
          <w:szCs w:val="28"/>
          <w:lang w:val="en-GB"/>
        </w:rPr>
        <w:t>Corresponding Author</w:t>
      </w:r>
      <w:r>
        <w:rPr>
          <w:szCs w:val="28"/>
          <w:lang w:val="en-GB"/>
        </w:rPr>
        <w:t xml:space="preserve">: Karen Jaehrling, University of Duisburg-Essen, </w:t>
      </w:r>
      <w:r w:rsidR="004808F4" w:rsidRPr="004808F4">
        <w:rPr>
          <w:szCs w:val="28"/>
          <w:lang w:val="en-GB"/>
        </w:rPr>
        <w:t>Institut Arbeit und Qualifikation (IAQ)</w:t>
      </w:r>
      <w:r w:rsidR="004808F4">
        <w:rPr>
          <w:szCs w:val="28"/>
          <w:lang w:val="en-GB"/>
        </w:rPr>
        <w:t xml:space="preserve">, 47048 Duisburg. Email: </w:t>
      </w:r>
      <w:hyperlink r:id="rId8" w:history="1">
        <w:r w:rsidR="004808F4" w:rsidRPr="00AD7525">
          <w:rPr>
            <w:rStyle w:val="Hyperlink"/>
            <w:szCs w:val="28"/>
            <w:lang w:val="en-GB"/>
          </w:rPr>
          <w:t>karen.jaehrling@uni-due.de</w:t>
        </w:r>
      </w:hyperlink>
      <w:r w:rsidR="004808F4">
        <w:rPr>
          <w:szCs w:val="28"/>
          <w:lang w:val="en-GB"/>
        </w:rPr>
        <w:t xml:space="preserve"> </w:t>
      </w:r>
    </w:p>
    <w:p w14:paraId="7E7B7608" w14:textId="77777777" w:rsidR="00BD308B" w:rsidRDefault="00BD308B" w:rsidP="0011084D">
      <w:pPr>
        <w:spacing w:line="480" w:lineRule="auto"/>
        <w:jc w:val="both"/>
        <w:rPr>
          <w:b/>
          <w:szCs w:val="28"/>
          <w:lang w:val="en-GB"/>
        </w:rPr>
      </w:pPr>
    </w:p>
    <w:p w14:paraId="2C4FF1B8" w14:textId="77777777" w:rsidR="00061026" w:rsidRPr="00140BF5" w:rsidRDefault="00061026" w:rsidP="0011084D">
      <w:pPr>
        <w:spacing w:line="480" w:lineRule="auto"/>
        <w:jc w:val="both"/>
        <w:rPr>
          <w:b/>
          <w:szCs w:val="28"/>
          <w:lang w:val="en-GB"/>
        </w:rPr>
      </w:pPr>
      <w:r w:rsidRPr="00140BF5">
        <w:rPr>
          <w:b/>
          <w:szCs w:val="28"/>
          <w:lang w:val="en-GB"/>
        </w:rPr>
        <w:t xml:space="preserve">Introduction </w:t>
      </w:r>
    </w:p>
    <w:p w14:paraId="11F8EEBF" w14:textId="56821544" w:rsidR="0049081D" w:rsidRPr="00140BF5" w:rsidRDefault="00CC310E" w:rsidP="0011084D">
      <w:pPr>
        <w:spacing w:line="480" w:lineRule="auto"/>
        <w:jc w:val="both"/>
        <w:rPr>
          <w:szCs w:val="28"/>
          <w:lang w:val="en-GB"/>
        </w:rPr>
      </w:pPr>
      <w:r w:rsidRPr="00140BF5">
        <w:rPr>
          <w:szCs w:val="28"/>
          <w:lang w:val="en-GB"/>
        </w:rPr>
        <w:t xml:space="preserve">The </w:t>
      </w:r>
      <w:r w:rsidR="00F821A7" w:rsidRPr="00140BF5">
        <w:rPr>
          <w:szCs w:val="28"/>
          <w:lang w:val="en-GB"/>
        </w:rPr>
        <w:t xml:space="preserve">complex </w:t>
      </w:r>
      <w:r w:rsidRPr="00140BF5">
        <w:rPr>
          <w:szCs w:val="28"/>
          <w:lang w:val="en-GB"/>
        </w:rPr>
        <w:t>role of the state</w:t>
      </w:r>
      <w:r w:rsidR="00B90406" w:rsidRPr="00140BF5">
        <w:rPr>
          <w:szCs w:val="28"/>
          <w:lang w:val="en-GB"/>
        </w:rPr>
        <w:t xml:space="preserve"> in </w:t>
      </w:r>
      <w:r w:rsidR="00B9666C" w:rsidRPr="00140BF5">
        <w:rPr>
          <w:szCs w:val="28"/>
          <w:lang w:val="en-GB"/>
        </w:rPr>
        <w:t xml:space="preserve">directly </w:t>
      </w:r>
      <w:r w:rsidR="000328C6" w:rsidRPr="00140BF5">
        <w:rPr>
          <w:szCs w:val="28"/>
          <w:lang w:val="en-GB"/>
        </w:rPr>
        <w:t>shaping</w:t>
      </w:r>
      <w:r w:rsidR="00B90406" w:rsidRPr="00140BF5">
        <w:rPr>
          <w:szCs w:val="28"/>
          <w:lang w:val="en-GB"/>
        </w:rPr>
        <w:t xml:space="preserve"> working conditions</w:t>
      </w:r>
      <w:r w:rsidRPr="00140BF5">
        <w:rPr>
          <w:szCs w:val="28"/>
          <w:lang w:val="en-GB"/>
        </w:rPr>
        <w:t xml:space="preserve"> </w:t>
      </w:r>
      <w:r w:rsidR="00061026" w:rsidRPr="00140BF5">
        <w:rPr>
          <w:szCs w:val="28"/>
          <w:lang w:val="en-GB"/>
        </w:rPr>
        <w:t>–</w:t>
      </w:r>
      <w:r w:rsidR="00B90406" w:rsidRPr="00140BF5">
        <w:rPr>
          <w:szCs w:val="28"/>
          <w:lang w:val="en-GB"/>
        </w:rPr>
        <w:t xml:space="preserve"> through</w:t>
      </w:r>
      <w:r w:rsidR="00061026" w:rsidRPr="00140BF5">
        <w:rPr>
          <w:szCs w:val="28"/>
          <w:lang w:val="en-GB"/>
        </w:rPr>
        <w:t xml:space="preserve"> </w:t>
      </w:r>
      <w:r w:rsidRPr="00140BF5">
        <w:rPr>
          <w:szCs w:val="28"/>
          <w:lang w:val="en-GB"/>
        </w:rPr>
        <w:t xml:space="preserve">systems of </w:t>
      </w:r>
      <w:r w:rsidR="00F821A7" w:rsidRPr="00140BF5">
        <w:rPr>
          <w:szCs w:val="28"/>
          <w:lang w:val="en-GB"/>
        </w:rPr>
        <w:t xml:space="preserve">labour market regulation, </w:t>
      </w:r>
      <w:r w:rsidRPr="00140BF5">
        <w:rPr>
          <w:szCs w:val="28"/>
          <w:lang w:val="en-GB"/>
        </w:rPr>
        <w:t>employment rights</w:t>
      </w:r>
      <w:r w:rsidR="00B566B2" w:rsidRPr="00140BF5">
        <w:rPr>
          <w:szCs w:val="28"/>
          <w:lang w:val="en-GB"/>
        </w:rPr>
        <w:t xml:space="preserve">, </w:t>
      </w:r>
      <w:r w:rsidR="00A64A5A" w:rsidRPr="00140BF5">
        <w:rPr>
          <w:szCs w:val="28"/>
          <w:lang w:val="en-GB"/>
        </w:rPr>
        <w:t xml:space="preserve">and </w:t>
      </w:r>
      <w:r w:rsidRPr="00140BF5">
        <w:rPr>
          <w:szCs w:val="28"/>
          <w:lang w:val="en-GB"/>
        </w:rPr>
        <w:t>bi- and tripartite negotiation</w:t>
      </w:r>
      <w:r w:rsidR="00B70288" w:rsidRPr="00140BF5">
        <w:rPr>
          <w:szCs w:val="28"/>
          <w:lang w:val="en-GB"/>
        </w:rPr>
        <w:t>s</w:t>
      </w:r>
      <w:r w:rsidR="00061026" w:rsidRPr="00140BF5">
        <w:rPr>
          <w:szCs w:val="28"/>
          <w:lang w:val="en-GB"/>
        </w:rPr>
        <w:t xml:space="preserve"> </w:t>
      </w:r>
      <w:r w:rsidR="00B90406" w:rsidRPr="00140BF5">
        <w:rPr>
          <w:szCs w:val="28"/>
          <w:lang w:val="en-GB"/>
        </w:rPr>
        <w:t>– has been spelled out extensively in the literature of industrial sociology and new economic sociology</w:t>
      </w:r>
      <w:r w:rsidR="00B9666C" w:rsidRPr="00140BF5">
        <w:rPr>
          <w:szCs w:val="28"/>
          <w:lang w:val="en-GB"/>
        </w:rPr>
        <w:t xml:space="preserve"> (</w:t>
      </w:r>
      <w:r w:rsidR="00F821A7" w:rsidRPr="00140BF5">
        <w:rPr>
          <w:szCs w:val="28"/>
          <w:lang w:val="en-GB"/>
        </w:rPr>
        <w:t>e.g. Howell</w:t>
      </w:r>
      <w:r w:rsidR="00D46238" w:rsidRPr="00140BF5">
        <w:rPr>
          <w:szCs w:val="28"/>
          <w:lang w:val="en-GB"/>
        </w:rPr>
        <w:t>,</w:t>
      </w:r>
      <w:r w:rsidR="00F821A7" w:rsidRPr="00140BF5">
        <w:rPr>
          <w:szCs w:val="28"/>
          <w:lang w:val="en-GB"/>
        </w:rPr>
        <w:t xml:space="preserve"> 2016)</w:t>
      </w:r>
      <w:r w:rsidR="00B90406" w:rsidRPr="00140BF5">
        <w:rPr>
          <w:szCs w:val="28"/>
          <w:lang w:val="en-GB"/>
        </w:rPr>
        <w:t xml:space="preserve">. </w:t>
      </w:r>
      <w:r w:rsidR="00CF228F" w:rsidRPr="00140BF5">
        <w:rPr>
          <w:szCs w:val="28"/>
          <w:lang w:val="en-GB"/>
        </w:rPr>
        <w:t>More recently, increasing</w:t>
      </w:r>
      <w:r w:rsidR="00B90406" w:rsidRPr="00140BF5">
        <w:rPr>
          <w:szCs w:val="28"/>
          <w:lang w:val="en-GB"/>
        </w:rPr>
        <w:t xml:space="preserve"> attention </w:t>
      </w:r>
      <w:r w:rsidR="00A64A5A" w:rsidRPr="00140BF5">
        <w:rPr>
          <w:szCs w:val="28"/>
          <w:lang w:val="en-GB"/>
        </w:rPr>
        <w:t>has been</w:t>
      </w:r>
      <w:r w:rsidRPr="00140BF5">
        <w:rPr>
          <w:szCs w:val="28"/>
          <w:lang w:val="en-GB"/>
        </w:rPr>
        <w:t xml:space="preserve"> paid to the role of the state in </w:t>
      </w:r>
      <w:r w:rsidR="00A64A5A" w:rsidRPr="00140BF5">
        <w:rPr>
          <w:szCs w:val="28"/>
          <w:lang w:val="en-GB"/>
        </w:rPr>
        <w:t xml:space="preserve">indirectly </w:t>
      </w:r>
      <w:r w:rsidRPr="00140BF5">
        <w:rPr>
          <w:szCs w:val="28"/>
          <w:lang w:val="en-GB"/>
        </w:rPr>
        <w:t>shaping working conditions through the procurement of services from the private market</w:t>
      </w:r>
      <w:r w:rsidR="001F6F81" w:rsidRPr="00140BF5">
        <w:rPr>
          <w:szCs w:val="28"/>
          <w:lang w:val="en-GB"/>
        </w:rPr>
        <w:t>,</w:t>
      </w:r>
      <w:r w:rsidR="000328C6" w:rsidRPr="00140BF5">
        <w:rPr>
          <w:szCs w:val="28"/>
          <w:lang w:val="en-GB"/>
        </w:rPr>
        <w:t xml:space="preserve"> where </w:t>
      </w:r>
      <w:r w:rsidR="008B5C71" w:rsidRPr="00140BF5">
        <w:rPr>
          <w:szCs w:val="28"/>
          <w:lang w:val="en-GB"/>
        </w:rPr>
        <w:t>the risk of precarious work can be high</w:t>
      </w:r>
      <w:r w:rsidR="0063703E" w:rsidRPr="00140BF5">
        <w:rPr>
          <w:szCs w:val="28"/>
          <w:lang w:val="en-GB"/>
        </w:rPr>
        <w:t xml:space="preserve"> </w:t>
      </w:r>
      <w:r w:rsidR="00AE6CD6" w:rsidRPr="00140BF5">
        <w:rPr>
          <w:szCs w:val="28"/>
          <w:lang w:val="en-GB"/>
        </w:rPr>
        <w:t>(Cunningham and James, 2009</w:t>
      </w:r>
      <w:r w:rsidR="00B70288" w:rsidRPr="00140BF5">
        <w:rPr>
          <w:szCs w:val="28"/>
          <w:lang w:val="en-GB"/>
        </w:rPr>
        <w:t>;</w:t>
      </w:r>
      <w:r w:rsidR="00AE6CD6" w:rsidRPr="00140BF5">
        <w:rPr>
          <w:szCs w:val="28"/>
          <w:lang w:val="en-GB"/>
        </w:rPr>
        <w:t xml:space="preserve"> Hermann and Flecker</w:t>
      </w:r>
      <w:r w:rsidR="00D46238" w:rsidRPr="00140BF5">
        <w:rPr>
          <w:szCs w:val="28"/>
          <w:lang w:val="en-GB"/>
        </w:rPr>
        <w:t>,</w:t>
      </w:r>
      <w:r w:rsidR="00AE6CD6" w:rsidRPr="00140BF5">
        <w:rPr>
          <w:szCs w:val="28"/>
          <w:lang w:val="en-GB"/>
        </w:rPr>
        <w:t xml:space="preserve"> 2012; Peters</w:t>
      </w:r>
      <w:r w:rsidR="00D46238" w:rsidRPr="00140BF5">
        <w:rPr>
          <w:szCs w:val="28"/>
          <w:lang w:val="en-GB"/>
        </w:rPr>
        <w:t>,</w:t>
      </w:r>
      <w:r w:rsidR="00AE6CD6" w:rsidRPr="00140BF5">
        <w:rPr>
          <w:szCs w:val="28"/>
          <w:lang w:val="en-GB"/>
        </w:rPr>
        <w:t xml:space="preserve"> 2012; </w:t>
      </w:r>
      <w:r w:rsidR="004808F4">
        <w:rPr>
          <w:szCs w:val="28"/>
          <w:lang w:val="en-GB"/>
        </w:rPr>
        <w:t>Grimshaw</w:t>
      </w:r>
      <w:r w:rsidR="00CA4660" w:rsidRPr="00140BF5">
        <w:rPr>
          <w:szCs w:val="28"/>
          <w:lang w:val="en-GB"/>
        </w:rPr>
        <w:t xml:space="preserve"> et al., 2015</w:t>
      </w:r>
      <w:r w:rsidR="00AE6CD6" w:rsidRPr="00140BF5">
        <w:rPr>
          <w:szCs w:val="28"/>
          <w:lang w:val="en-GB"/>
        </w:rPr>
        <w:t>)</w:t>
      </w:r>
      <w:r w:rsidRPr="00140BF5">
        <w:rPr>
          <w:szCs w:val="28"/>
          <w:lang w:val="en-GB"/>
        </w:rPr>
        <w:t xml:space="preserve">. </w:t>
      </w:r>
    </w:p>
    <w:p w14:paraId="15EBD321" w14:textId="61810A4E" w:rsidR="00100F32" w:rsidRPr="00140BF5" w:rsidRDefault="00CA4660" w:rsidP="00710D82">
      <w:pPr>
        <w:spacing w:line="480" w:lineRule="auto"/>
        <w:jc w:val="both"/>
        <w:rPr>
          <w:szCs w:val="28"/>
          <w:lang w:val="en-GB"/>
        </w:rPr>
      </w:pPr>
      <w:r w:rsidRPr="00140BF5">
        <w:rPr>
          <w:szCs w:val="28"/>
          <w:lang w:val="en-GB"/>
        </w:rPr>
        <w:t xml:space="preserve">In response, public sector bodies </w:t>
      </w:r>
      <w:r w:rsidR="00970C9C" w:rsidRPr="00140BF5">
        <w:rPr>
          <w:szCs w:val="28"/>
          <w:lang w:val="en-GB"/>
        </w:rPr>
        <w:t xml:space="preserve">across diverse countries </w:t>
      </w:r>
      <w:r w:rsidRPr="00140BF5">
        <w:rPr>
          <w:szCs w:val="28"/>
          <w:lang w:val="en-GB"/>
        </w:rPr>
        <w:t xml:space="preserve">are increasingly </w:t>
      </w:r>
      <w:r w:rsidR="00537A83" w:rsidRPr="00140BF5">
        <w:rPr>
          <w:szCs w:val="28"/>
          <w:lang w:val="en-GB"/>
        </w:rPr>
        <w:t xml:space="preserve">confronted with </w:t>
      </w:r>
      <w:r w:rsidR="00847C07" w:rsidRPr="00140BF5">
        <w:rPr>
          <w:szCs w:val="28"/>
          <w:lang w:val="en-GB"/>
        </w:rPr>
        <w:t>expectations</w:t>
      </w:r>
      <w:r w:rsidR="00537A83" w:rsidRPr="00140BF5">
        <w:rPr>
          <w:szCs w:val="28"/>
          <w:lang w:val="en-GB"/>
        </w:rPr>
        <w:t xml:space="preserve"> to adopt</w:t>
      </w:r>
      <w:r w:rsidR="009D3B83" w:rsidRPr="00140BF5">
        <w:rPr>
          <w:szCs w:val="28"/>
          <w:lang w:val="en-GB"/>
        </w:rPr>
        <w:t xml:space="preserve"> </w:t>
      </w:r>
      <w:r w:rsidR="002341B9" w:rsidRPr="00140BF5">
        <w:rPr>
          <w:szCs w:val="28"/>
          <w:lang w:val="en-GB"/>
        </w:rPr>
        <w:t>‘</w:t>
      </w:r>
      <w:r w:rsidRPr="00140BF5">
        <w:rPr>
          <w:szCs w:val="28"/>
          <w:lang w:val="en-GB"/>
        </w:rPr>
        <w:t>s</w:t>
      </w:r>
      <w:r w:rsidR="002341B9" w:rsidRPr="00140BF5">
        <w:rPr>
          <w:szCs w:val="28"/>
          <w:lang w:val="en-GB"/>
        </w:rPr>
        <w:t>ocially responsible procurement</w:t>
      </w:r>
      <w:r w:rsidR="006834C6" w:rsidRPr="00140BF5">
        <w:rPr>
          <w:szCs w:val="28"/>
          <w:lang w:val="en-GB"/>
        </w:rPr>
        <w:t>’</w:t>
      </w:r>
      <w:r w:rsidR="00537A83" w:rsidRPr="00140BF5">
        <w:rPr>
          <w:szCs w:val="28"/>
          <w:lang w:val="en-GB"/>
        </w:rPr>
        <w:t xml:space="preserve"> practices</w:t>
      </w:r>
      <w:r w:rsidR="002341B9" w:rsidRPr="00140BF5">
        <w:rPr>
          <w:szCs w:val="28"/>
          <w:lang w:val="en-GB"/>
        </w:rPr>
        <w:t xml:space="preserve"> </w:t>
      </w:r>
      <w:r w:rsidRPr="00140BF5">
        <w:rPr>
          <w:szCs w:val="28"/>
          <w:lang w:val="en-GB"/>
        </w:rPr>
        <w:t xml:space="preserve">which </w:t>
      </w:r>
      <w:r w:rsidR="00847C07" w:rsidRPr="00140BF5">
        <w:rPr>
          <w:szCs w:val="28"/>
          <w:lang w:val="en-GB"/>
        </w:rPr>
        <w:t xml:space="preserve">take into account </w:t>
      </w:r>
      <w:r w:rsidR="002341B9" w:rsidRPr="00140BF5">
        <w:rPr>
          <w:szCs w:val="28"/>
          <w:lang w:val="en-GB"/>
        </w:rPr>
        <w:t xml:space="preserve">non-commercial considerations such as environmental impact and the wages and working </w:t>
      </w:r>
      <w:r w:rsidR="00B70288" w:rsidRPr="00140BF5">
        <w:rPr>
          <w:szCs w:val="28"/>
          <w:lang w:val="en-GB"/>
        </w:rPr>
        <w:t xml:space="preserve">conditions </w:t>
      </w:r>
      <w:r w:rsidRPr="00140BF5">
        <w:rPr>
          <w:szCs w:val="28"/>
          <w:lang w:val="en-GB"/>
        </w:rPr>
        <w:t>of sub-contracted staff</w:t>
      </w:r>
      <w:r w:rsidR="004B399F" w:rsidRPr="00140BF5">
        <w:rPr>
          <w:szCs w:val="28"/>
          <w:lang w:val="en-GB"/>
        </w:rPr>
        <w:t xml:space="preserve"> through the use of labour clauses</w:t>
      </w:r>
      <w:r w:rsidR="00FF00C4">
        <w:rPr>
          <w:rStyle w:val="Slutnotehenvisning"/>
          <w:szCs w:val="28"/>
          <w:lang w:val="en-GB"/>
        </w:rPr>
        <w:endnoteReference w:id="2"/>
      </w:r>
      <w:r w:rsidR="00117061" w:rsidRPr="00140BF5">
        <w:rPr>
          <w:szCs w:val="28"/>
          <w:lang w:val="en-GB"/>
        </w:rPr>
        <w:t xml:space="preserve"> </w:t>
      </w:r>
      <w:r w:rsidR="006834C6" w:rsidRPr="00140BF5">
        <w:rPr>
          <w:szCs w:val="28"/>
          <w:lang w:val="en-GB"/>
        </w:rPr>
        <w:t>(Keulemans</w:t>
      </w:r>
      <w:r w:rsidR="00B35BFD" w:rsidRPr="00140BF5">
        <w:rPr>
          <w:szCs w:val="28"/>
          <w:lang w:val="en-GB"/>
        </w:rPr>
        <w:t xml:space="preserve"> and </w:t>
      </w:r>
      <w:r w:rsidR="006834C6" w:rsidRPr="00140BF5">
        <w:rPr>
          <w:szCs w:val="28"/>
          <w:lang w:val="en-GB"/>
        </w:rPr>
        <w:t>Walle</w:t>
      </w:r>
      <w:r w:rsidR="000A5D07" w:rsidRPr="00140BF5">
        <w:rPr>
          <w:szCs w:val="28"/>
          <w:lang w:val="en-GB"/>
        </w:rPr>
        <w:t>,</w:t>
      </w:r>
      <w:r w:rsidR="006834C6" w:rsidRPr="00140BF5">
        <w:rPr>
          <w:szCs w:val="28"/>
          <w:lang w:val="en-GB"/>
        </w:rPr>
        <w:t xml:space="preserve"> 2017). </w:t>
      </w:r>
      <w:r w:rsidR="009D0A3D" w:rsidRPr="00140BF5">
        <w:rPr>
          <w:szCs w:val="28"/>
          <w:lang w:val="en-GB"/>
        </w:rPr>
        <w:t>These ‘</w:t>
      </w:r>
      <w:r w:rsidR="00BA780F" w:rsidRPr="00140BF5">
        <w:rPr>
          <w:szCs w:val="28"/>
          <w:lang w:val="en-GB"/>
        </w:rPr>
        <w:t>market-</w:t>
      </w:r>
      <w:r w:rsidR="009D0A3D" w:rsidRPr="00140BF5">
        <w:rPr>
          <w:szCs w:val="28"/>
          <w:lang w:val="en-GB"/>
        </w:rPr>
        <w:t>correcti</w:t>
      </w:r>
      <w:r w:rsidR="00B70288" w:rsidRPr="00140BF5">
        <w:rPr>
          <w:szCs w:val="28"/>
          <w:lang w:val="en-GB"/>
        </w:rPr>
        <w:t>ng</w:t>
      </w:r>
      <w:r w:rsidR="009D0A3D" w:rsidRPr="00140BF5">
        <w:rPr>
          <w:szCs w:val="28"/>
          <w:lang w:val="en-GB"/>
        </w:rPr>
        <w:t xml:space="preserve">’ </w:t>
      </w:r>
      <w:r w:rsidR="00120EC7" w:rsidRPr="00140BF5">
        <w:rPr>
          <w:szCs w:val="28"/>
          <w:lang w:val="en-GB"/>
        </w:rPr>
        <w:t xml:space="preserve">references </w:t>
      </w:r>
      <w:r w:rsidR="004B399F" w:rsidRPr="00140BF5">
        <w:rPr>
          <w:szCs w:val="28"/>
          <w:lang w:val="en-GB"/>
        </w:rPr>
        <w:t xml:space="preserve">have been articulated clearly </w:t>
      </w:r>
      <w:r w:rsidR="009D0A3D" w:rsidRPr="00140BF5">
        <w:rPr>
          <w:szCs w:val="28"/>
          <w:lang w:val="en-GB"/>
        </w:rPr>
        <w:t xml:space="preserve">by local grassroots and trade union </w:t>
      </w:r>
      <w:r w:rsidR="004B399F" w:rsidRPr="00140BF5">
        <w:rPr>
          <w:szCs w:val="28"/>
          <w:lang w:val="en-GB"/>
        </w:rPr>
        <w:t xml:space="preserve">living wage </w:t>
      </w:r>
      <w:r w:rsidR="009D0A3D" w:rsidRPr="00140BF5">
        <w:rPr>
          <w:szCs w:val="28"/>
          <w:lang w:val="en-GB"/>
        </w:rPr>
        <w:t xml:space="preserve">campaigns </w:t>
      </w:r>
      <w:r w:rsidR="004B399F" w:rsidRPr="00140BF5">
        <w:rPr>
          <w:szCs w:val="28"/>
          <w:lang w:val="en-GB"/>
        </w:rPr>
        <w:t xml:space="preserve">for outsourced </w:t>
      </w:r>
      <w:r w:rsidR="009D0A3D" w:rsidRPr="00140BF5">
        <w:rPr>
          <w:szCs w:val="28"/>
          <w:lang w:val="en-GB"/>
        </w:rPr>
        <w:t>low</w:t>
      </w:r>
      <w:r w:rsidR="00B35BFD" w:rsidRPr="00140BF5">
        <w:rPr>
          <w:szCs w:val="28"/>
          <w:lang w:val="en-GB"/>
        </w:rPr>
        <w:t>-wage</w:t>
      </w:r>
      <w:r w:rsidR="009D0A3D" w:rsidRPr="00140BF5">
        <w:rPr>
          <w:szCs w:val="28"/>
          <w:lang w:val="en-GB"/>
        </w:rPr>
        <w:t xml:space="preserve"> service</w:t>
      </w:r>
      <w:r w:rsidR="00B35BFD" w:rsidRPr="00140BF5">
        <w:rPr>
          <w:szCs w:val="28"/>
          <w:lang w:val="en-GB"/>
        </w:rPr>
        <w:t>s</w:t>
      </w:r>
      <w:r w:rsidR="009D0A3D" w:rsidRPr="00140BF5">
        <w:rPr>
          <w:szCs w:val="28"/>
          <w:lang w:val="en-GB"/>
        </w:rPr>
        <w:t xml:space="preserve"> (e.g. </w:t>
      </w:r>
      <w:r w:rsidR="005F1426" w:rsidRPr="00140BF5">
        <w:rPr>
          <w:szCs w:val="28"/>
          <w:lang w:val="en-GB"/>
        </w:rPr>
        <w:t>Wills</w:t>
      </w:r>
      <w:r w:rsidR="000A5D07" w:rsidRPr="00140BF5">
        <w:rPr>
          <w:szCs w:val="28"/>
          <w:lang w:val="en-GB"/>
        </w:rPr>
        <w:t>,</w:t>
      </w:r>
      <w:r w:rsidR="005F1426" w:rsidRPr="00140BF5">
        <w:rPr>
          <w:szCs w:val="28"/>
          <w:lang w:val="en-GB"/>
        </w:rPr>
        <w:t xml:space="preserve"> 2008). </w:t>
      </w:r>
      <w:r w:rsidR="0049081D" w:rsidRPr="00140BF5">
        <w:rPr>
          <w:szCs w:val="28"/>
          <w:lang w:val="en-GB"/>
        </w:rPr>
        <w:t>H</w:t>
      </w:r>
      <w:r w:rsidR="002341B9" w:rsidRPr="00140BF5">
        <w:rPr>
          <w:szCs w:val="28"/>
          <w:lang w:val="en-GB"/>
        </w:rPr>
        <w:t>owever</w:t>
      </w:r>
      <w:r w:rsidR="001651E1" w:rsidRPr="00140BF5">
        <w:rPr>
          <w:szCs w:val="28"/>
          <w:lang w:val="en-GB"/>
        </w:rPr>
        <w:t>,</w:t>
      </w:r>
      <w:r w:rsidR="002341B9" w:rsidRPr="00140BF5">
        <w:rPr>
          <w:szCs w:val="28"/>
          <w:lang w:val="en-GB"/>
        </w:rPr>
        <w:t xml:space="preserve"> </w:t>
      </w:r>
      <w:r w:rsidR="00CE02CF" w:rsidRPr="00140BF5">
        <w:rPr>
          <w:szCs w:val="28"/>
          <w:lang w:val="en-GB"/>
        </w:rPr>
        <w:t xml:space="preserve">socially responsible procurement </w:t>
      </w:r>
      <w:r w:rsidR="00CC310E" w:rsidRPr="00140BF5">
        <w:rPr>
          <w:szCs w:val="28"/>
          <w:lang w:val="en-GB"/>
        </w:rPr>
        <w:t xml:space="preserve">requires </w:t>
      </w:r>
      <w:r w:rsidR="00B74DA4" w:rsidRPr="00140BF5">
        <w:rPr>
          <w:szCs w:val="28"/>
          <w:lang w:val="en-GB"/>
        </w:rPr>
        <w:t>public sector bodies</w:t>
      </w:r>
      <w:r w:rsidR="00B90406" w:rsidRPr="00140BF5">
        <w:rPr>
          <w:szCs w:val="28"/>
          <w:lang w:val="en-GB"/>
        </w:rPr>
        <w:t xml:space="preserve"> to </w:t>
      </w:r>
      <w:r w:rsidR="00CC310E" w:rsidRPr="00140BF5">
        <w:rPr>
          <w:szCs w:val="28"/>
          <w:lang w:val="en-GB"/>
        </w:rPr>
        <w:t xml:space="preserve">balance </w:t>
      </w:r>
      <w:r w:rsidR="00B74DA4" w:rsidRPr="00140BF5">
        <w:rPr>
          <w:szCs w:val="28"/>
          <w:lang w:val="en-GB"/>
        </w:rPr>
        <w:t xml:space="preserve"> their</w:t>
      </w:r>
      <w:r w:rsidR="00CC310E" w:rsidRPr="00140BF5">
        <w:rPr>
          <w:szCs w:val="28"/>
          <w:lang w:val="en-GB"/>
        </w:rPr>
        <w:t xml:space="preserve"> role as a regulatory authority </w:t>
      </w:r>
      <w:r w:rsidR="0082595E" w:rsidRPr="00140BF5">
        <w:rPr>
          <w:szCs w:val="28"/>
          <w:lang w:val="en-GB"/>
        </w:rPr>
        <w:t xml:space="preserve">charged with </w:t>
      </w:r>
      <w:r w:rsidR="00B74DA4" w:rsidRPr="00140BF5">
        <w:rPr>
          <w:szCs w:val="28"/>
          <w:lang w:val="en-GB"/>
        </w:rPr>
        <w:t xml:space="preserve">developing and </w:t>
      </w:r>
      <w:r w:rsidR="00A64A5A" w:rsidRPr="00140BF5">
        <w:rPr>
          <w:szCs w:val="28"/>
          <w:lang w:val="en-GB"/>
        </w:rPr>
        <w:t>mainta</w:t>
      </w:r>
      <w:r w:rsidR="00912584" w:rsidRPr="00140BF5">
        <w:rPr>
          <w:szCs w:val="28"/>
          <w:lang w:val="en-GB"/>
        </w:rPr>
        <w:t>ining functioning markets</w:t>
      </w:r>
      <w:r w:rsidR="00A64A5A" w:rsidRPr="00140BF5">
        <w:rPr>
          <w:szCs w:val="28"/>
          <w:lang w:val="en-GB"/>
        </w:rPr>
        <w:t xml:space="preserve"> and </w:t>
      </w:r>
      <w:r w:rsidR="0082595E" w:rsidRPr="00140BF5">
        <w:rPr>
          <w:szCs w:val="28"/>
          <w:lang w:val="en-GB"/>
        </w:rPr>
        <w:t xml:space="preserve">securing positive </w:t>
      </w:r>
      <w:r w:rsidR="00B8461B" w:rsidRPr="00140BF5">
        <w:rPr>
          <w:szCs w:val="28"/>
          <w:lang w:val="en-GB"/>
        </w:rPr>
        <w:t xml:space="preserve">outcomes for </w:t>
      </w:r>
      <w:r w:rsidR="00B74DA4" w:rsidRPr="00140BF5">
        <w:rPr>
          <w:szCs w:val="28"/>
          <w:lang w:val="en-GB"/>
        </w:rPr>
        <w:t>citizens</w:t>
      </w:r>
      <w:r w:rsidR="00B70288" w:rsidRPr="00140BF5">
        <w:rPr>
          <w:szCs w:val="28"/>
          <w:lang w:val="en-GB"/>
        </w:rPr>
        <w:t xml:space="preserve"> with</w:t>
      </w:r>
      <w:r w:rsidR="00B74DA4" w:rsidRPr="00140BF5">
        <w:rPr>
          <w:szCs w:val="28"/>
          <w:lang w:val="en-GB"/>
        </w:rPr>
        <w:t xml:space="preserve"> their</w:t>
      </w:r>
      <w:r w:rsidR="00AC408C" w:rsidRPr="00140BF5">
        <w:rPr>
          <w:szCs w:val="28"/>
          <w:lang w:val="en-GB"/>
        </w:rPr>
        <w:t xml:space="preserve"> role as</w:t>
      </w:r>
      <w:r w:rsidR="00CC310E" w:rsidRPr="00140BF5">
        <w:rPr>
          <w:szCs w:val="28"/>
          <w:lang w:val="en-GB"/>
        </w:rPr>
        <w:t xml:space="preserve"> </w:t>
      </w:r>
      <w:r w:rsidR="000328C6" w:rsidRPr="00140BF5">
        <w:rPr>
          <w:szCs w:val="28"/>
          <w:lang w:val="en-GB"/>
        </w:rPr>
        <w:t>a customer</w:t>
      </w:r>
      <w:r w:rsidR="00CC310E" w:rsidRPr="00140BF5">
        <w:rPr>
          <w:szCs w:val="28"/>
          <w:lang w:val="en-GB"/>
        </w:rPr>
        <w:t xml:space="preserve"> </w:t>
      </w:r>
      <w:r w:rsidR="000328C6" w:rsidRPr="00140BF5">
        <w:rPr>
          <w:szCs w:val="28"/>
          <w:lang w:val="en-GB"/>
        </w:rPr>
        <w:t xml:space="preserve">keen to </w:t>
      </w:r>
      <w:r w:rsidR="00B74DA4" w:rsidRPr="00140BF5">
        <w:rPr>
          <w:szCs w:val="28"/>
          <w:lang w:val="en-GB"/>
        </w:rPr>
        <w:t>maximise</w:t>
      </w:r>
      <w:r w:rsidR="000328C6" w:rsidRPr="00140BF5">
        <w:rPr>
          <w:szCs w:val="28"/>
          <w:lang w:val="en-GB"/>
        </w:rPr>
        <w:t xml:space="preserve"> value for money</w:t>
      </w:r>
      <w:r w:rsidR="00DB7D43" w:rsidRPr="00140BF5">
        <w:rPr>
          <w:szCs w:val="28"/>
          <w:lang w:val="en-GB"/>
        </w:rPr>
        <w:t xml:space="preserve"> (</w:t>
      </w:r>
      <w:r w:rsidR="00B005CD" w:rsidRPr="00B005CD">
        <w:rPr>
          <w:szCs w:val="28"/>
          <w:lang w:val="en-GB"/>
        </w:rPr>
        <w:t>Jaehrling</w:t>
      </w:r>
      <w:r w:rsidR="00015E8F" w:rsidRPr="00140BF5">
        <w:rPr>
          <w:szCs w:val="28"/>
          <w:lang w:val="en-GB"/>
        </w:rPr>
        <w:t>,</w:t>
      </w:r>
      <w:r w:rsidR="00291CFB" w:rsidRPr="00140BF5">
        <w:rPr>
          <w:szCs w:val="28"/>
          <w:lang w:val="en-GB"/>
        </w:rPr>
        <w:t xml:space="preserve"> 2015b; </w:t>
      </w:r>
      <w:r w:rsidR="00AE6CD6" w:rsidRPr="00140BF5">
        <w:rPr>
          <w:szCs w:val="28"/>
          <w:lang w:val="en-GB"/>
        </w:rPr>
        <w:t>Grandia</w:t>
      </w:r>
      <w:r w:rsidR="00B74DA4" w:rsidRPr="00140BF5">
        <w:rPr>
          <w:szCs w:val="28"/>
          <w:lang w:val="en-GB"/>
        </w:rPr>
        <w:t xml:space="preserve"> and </w:t>
      </w:r>
      <w:r w:rsidR="000C0834" w:rsidRPr="00140BF5">
        <w:rPr>
          <w:szCs w:val="28"/>
          <w:lang w:val="en-GB"/>
        </w:rPr>
        <w:t>Meehan</w:t>
      </w:r>
      <w:r w:rsidR="00015E8F" w:rsidRPr="00140BF5">
        <w:rPr>
          <w:szCs w:val="28"/>
          <w:lang w:val="en-GB"/>
        </w:rPr>
        <w:t>,</w:t>
      </w:r>
      <w:r w:rsidR="000C0834" w:rsidRPr="00140BF5">
        <w:rPr>
          <w:szCs w:val="28"/>
          <w:lang w:val="en-GB"/>
        </w:rPr>
        <w:t xml:space="preserve"> 2017</w:t>
      </w:r>
      <w:r w:rsidR="00DB7D43" w:rsidRPr="00140BF5">
        <w:rPr>
          <w:szCs w:val="28"/>
          <w:lang w:val="en-GB"/>
        </w:rPr>
        <w:t>)</w:t>
      </w:r>
      <w:r w:rsidR="000328C6" w:rsidRPr="00140BF5">
        <w:rPr>
          <w:szCs w:val="28"/>
          <w:lang w:val="en-GB"/>
        </w:rPr>
        <w:t>.</w:t>
      </w:r>
      <w:r w:rsidR="00B8461B" w:rsidRPr="00140BF5">
        <w:rPr>
          <w:szCs w:val="28"/>
          <w:lang w:val="en-GB"/>
        </w:rPr>
        <w:t xml:space="preserve"> </w:t>
      </w:r>
    </w:p>
    <w:p w14:paraId="130F663E" w14:textId="4C479264" w:rsidR="0044096A" w:rsidRPr="00140BF5" w:rsidRDefault="000C0834" w:rsidP="00710D82">
      <w:pPr>
        <w:spacing w:line="480" w:lineRule="auto"/>
        <w:jc w:val="both"/>
        <w:rPr>
          <w:lang w:val="en-GB"/>
        </w:rPr>
      </w:pPr>
      <w:r w:rsidRPr="00140BF5">
        <w:rPr>
          <w:szCs w:val="28"/>
          <w:lang w:val="en-GB"/>
        </w:rPr>
        <w:t>Thus</w:t>
      </w:r>
      <w:r w:rsidR="00AE6CD6" w:rsidRPr="00140BF5">
        <w:rPr>
          <w:szCs w:val="28"/>
          <w:lang w:val="en-GB"/>
        </w:rPr>
        <w:t xml:space="preserve">, </w:t>
      </w:r>
      <w:r w:rsidR="00FB332C" w:rsidRPr="00140BF5">
        <w:rPr>
          <w:szCs w:val="28"/>
          <w:lang w:val="en-GB"/>
        </w:rPr>
        <w:t>despite the increas</w:t>
      </w:r>
      <w:r w:rsidR="003933F3" w:rsidRPr="00140BF5">
        <w:rPr>
          <w:szCs w:val="28"/>
          <w:lang w:val="en-GB"/>
        </w:rPr>
        <w:t>ingly</w:t>
      </w:r>
      <w:r w:rsidR="00FB332C" w:rsidRPr="00140BF5">
        <w:rPr>
          <w:szCs w:val="28"/>
          <w:lang w:val="en-GB"/>
        </w:rPr>
        <w:t xml:space="preserve"> </w:t>
      </w:r>
      <w:r w:rsidR="00FB332C" w:rsidRPr="00140BF5">
        <w:rPr>
          <w:lang w:val="en-GB"/>
        </w:rPr>
        <w:t>recogni</w:t>
      </w:r>
      <w:r w:rsidR="003933F3" w:rsidRPr="00140BF5">
        <w:rPr>
          <w:lang w:val="en-GB"/>
        </w:rPr>
        <w:t>sed</w:t>
      </w:r>
      <w:r w:rsidR="00FB332C" w:rsidRPr="00140BF5">
        <w:rPr>
          <w:lang w:val="en-GB"/>
        </w:rPr>
        <w:t xml:space="preserve"> potential of </w:t>
      </w:r>
      <w:r w:rsidR="00DD64DF" w:rsidRPr="00140BF5">
        <w:rPr>
          <w:lang w:val="en-GB"/>
        </w:rPr>
        <w:t xml:space="preserve">labour clauses </w:t>
      </w:r>
      <w:r w:rsidR="00FB332C" w:rsidRPr="00140BF5">
        <w:rPr>
          <w:lang w:val="en-GB"/>
        </w:rPr>
        <w:t>to combat precarious</w:t>
      </w:r>
      <w:r w:rsidR="003933F3" w:rsidRPr="00140BF5">
        <w:rPr>
          <w:lang w:val="en-GB"/>
        </w:rPr>
        <w:t xml:space="preserve"> work</w:t>
      </w:r>
      <w:r w:rsidR="00FB332C" w:rsidRPr="00140BF5">
        <w:rPr>
          <w:lang w:val="en-GB"/>
        </w:rPr>
        <w:t xml:space="preserve">, their </w:t>
      </w:r>
      <w:r w:rsidR="00871BB2" w:rsidRPr="00140BF5">
        <w:rPr>
          <w:lang w:val="en-GB"/>
        </w:rPr>
        <w:t>effectiveness</w:t>
      </w:r>
      <w:r w:rsidR="00FB332C" w:rsidRPr="00140BF5">
        <w:rPr>
          <w:lang w:val="en-GB"/>
        </w:rPr>
        <w:t xml:space="preserve"> strongly depends on how </w:t>
      </w:r>
      <w:r w:rsidR="00FB332C" w:rsidRPr="00140BF5">
        <w:rPr>
          <w:szCs w:val="28"/>
          <w:lang w:val="en-GB"/>
        </w:rPr>
        <w:t>the</w:t>
      </w:r>
      <w:r w:rsidR="00DD64DF" w:rsidRPr="00140BF5">
        <w:rPr>
          <w:szCs w:val="28"/>
          <w:lang w:val="en-GB"/>
        </w:rPr>
        <w:t xml:space="preserve"> seemingly contradictory</w:t>
      </w:r>
      <w:r w:rsidR="00FB332C" w:rsidRPr="00140BF5">
        <w:rPr>
          <w:szCs w:val="28"/>
          <w:lang w:val="en-GB"/>
        </w:rPr>
        <w:t xml:space="preserve"> goals </w:t>
      </w:r>
      <w:r w:rsidR="00DD64DF" w:rsidRPr="00140BF5">
        <w:rPr>
          <w:szCs w:val="28"/>
          <w:lang w:val="en-GB"/>
        </w:rPr>
        <w:t>of public bodies</w:t>
      </w:r>
      <w:r w:rsidR="00FB332C" w:rsidRPr="00140BF5">
        <w:rPr>
          <w:szCs w:val="28"/>
          <w:lang w:val="en-GB"/>
        </w:rPr>
        <w:t xml:space="preserve"> are balanced </w:t>
      </w:r>
      <w:r w:rsidR="00DD64DF" w:rsidRPr="00140BF5">
        <w:rPr>
          <w:lang w:val="en-GB"/>
        </w:rPr>
        <w:t>in practice</w:t>
      </w:r>
      <w:r w:rsidR="00FB332C" w:rsidRPr="00140BF5">
        <w:rPr>
          <w:lang w:val="en-GB"/>
        </w:rPr>
        <w:t xml:space="preserve">. </w:t>
      </w:r>
      <w:r w:rsidR="0023353C" w:rsidRPr="00140BF5">
        <w:rPr>
          <w:szCs w:val="28"/>
          <w:lang w:val="en-GB"/>
        </w:rPr>
        <w:t>Researchers have</w:t>
      </w:r>
      <w:r w:rsidR="009F2D96" w:rsidRPr="00140BF5">
        <w:rPr>
          <w:szCs w:val="28"/>
          <w:lang w:val="en-GB"/>
        </w:rPr>
        <w:t xml:space="preserve"> </w:t>
      </w:r>
      <w:r w:rsidR="00DD64DF" w:rsidRPr="00140BF5">
        <w:rPr>
          <w:lang w:val="en-GB"/>
        </w:rPr>
        <w:t>warned</w:t>
      </w:r>
      <w:r w:rsidR="0023353C" w:rsidRPr="00140BF5">
        <w:rPr>
          <w:lang w:val="en-GB"/>
        </w:rPr>
        <w:t xml:space="preserve"> that labour clauses may </w:t>
      </w:r>
      <w:r w:rsidR="00160947" w:rsidRPr="00140BF5">
        <w:rPr>
          <w:lang w:val="en-GB"/>
        </w:rPr>
        <w:t xml:space="preserve">be merely </w:t>
      </w:r>
      <w:r w:rsidR="00DD64DF" w:rsidRPr="00140BF5">
        <w:rPr>
          <w:lang w:val="en-GB"/>
        </w:rPr>
        <w:t>‘</w:t>
      </w:r>
      <w:r w:rsidR="006A73AE" w:rsidRPr="00140BF5">
        <w:rPr>
          <w:lang w:val="en-GB"/>
        </w:rPr>
        <w:t>rhetoric</w:t>
      </w:r>
      <w:r w:rsidR="00DD64DF" w:rsidRPr="00140BF5">
        <w:rPr>
          <w:lang w:val="en-GB"/>
        </w:rPr>
        <w:t>’</w:t>
      </w:r>
      <w:r w:rsidR="00160947" w:rsidRPr="00140BF5">
        <w:rPr>
          <w:lang w:val="en-GB"/>
        </w:rPr>
        <w:t xml:space="preserve"> </w:t>
      </w:r>
      <w:r w:rsidR="00E8043D" w:rsidRPr="00140BF5">
        <w:rPr>
          <w:lang w:val="en-GB"/>
        </w:rPr>
        <w:t>and</w:t>
      </w:r>
      <w:r w:rsidR="00160947" w:rsidRPr="00140BF5">
        <w:rPr>
          <w:lang w:val="en-GB"/>
        </w:rPr>
        <w:t xml:space="preserve"> </w:t>
      </w:r>
      <w:r w:rsidR="0023353C" w:rsidRPr="00140BF5">
        <w:rPr>
          <w:lang w:val="en-GB"/>
        </w:rPr>
        <w:t xml:space="preserve">divert </w:t>
      </w:r>
      <w:r w:rsidR="00027A7D" w:rsidRPr="00140BF5">
        <w:rPr>
          <w:lang w:val="en-GB"/>
        </w:rPr>
        <w:t xml:space="preserve">the </w:t>
      </w:r>
      <w:r w:rsidR="0023353C" w:rsidRPr="00140BF5">
        <w:rPr>
          <w:lang w:val="en-GB"/>
        </w:rPr>
        <w:t xml:space="preserve">attention </w:t>
      </w:r>
      <w:r w:rsidR="00EB546A" w:rsidRPr="00140BF5">
        <w:rPr>
          <w:lang w:val="en-GB"/>
        </w:rPr>
        <w:t xml:space="preserve"> of campaigners,</w:t>
      </w:r>
      <w:r w:rsidR="004E3F33" w:rsidRPr="00140BF5">
        <w:rPr>
          <w:lang w:val="en-GB"/>
        </w:rPr>
        <w:t xml:space="preserve"> </w:t>
      </w:r>
      <w:r w:rsidR="006A73AE" w:rsidRPr="00140BF5">
        <w:rPr>
          <w:lang w:val="en-GB"/>
        </w:rPr>
        <w:t>trade</w:t>
      </w:r>
      <w:r w:rsidR="004E3F33" w:rsidRPr="00140BF5">
        <w:rPr>
          <w:lang w:val="en-GB"/>
        </w:rPr>
        <w:t xml:space="preserve"> unions and state officials </w:t>
      </w:r>
      <w:r w:rsidR="00B8260F" w:rsidRPr="00140BF5">
        <w:rPr>
          <w:lang w:val="en-GB"/>
        </w:rPr>
        <w:t xml:space="preserve">to improve </w:t>
      </w:r>
      <w:r w:rsidR="0023353C" w:rsidRPr="00140BF5">
        <w:rPr>
          <w:lang w:val="en-GB"/>
        </w:rPr>
        <w:t xml:space="preserve">labour standards </w:t>
      </w:r>
      <w:r w:rsidR="00B8260F" w:rsidRPr="00140BF5">
        <w:rPr>
          <w:lang w:val="en-GB"/>
        </w:rPr>
        <w:t xml:space="preserve">for subcontracted employees </w:t>
      </w:r>
      <w:r w:rsidR="00EB546A" w:rsidRPr="00140BF5">
        <w:rPr>
          <w:lang w:val="en-GB"/>
        </w:rPr>
        <w:t xml:space="preserve">through collective action, </w:t>
      </w:r>
      <w:r w:rsidR="00077EF4" w:rsidRPr="00140BF5">
        <w:rPr>
          <w:lang w:val="en-GB"/>
        </w:rPr>
        <w:t>or</w:t>
      </w:r>
      <w:r w:rsidR="00EB546A" w:rsidRPr="00140BF5">
        <w:rPr>
          <w:lang w:val="en-GB"/>
        </w:rPr>
        <w:t xml:space="preserve"> strengthened legal mechanisms </w:t>
      </w:r>
      <w:r w:rsidR="0023353C" w:rsidRPr="00140BF5">
        <w:rPr>
          <w:lang w:val="en-GB"/>
        </w:rPr>
        <w:t>(Freeman</w:t>
      </w:r>
      <w:r w:rsidR="00015E8F" w:rsidRPr="00140BF5">
        <w:rPr>
          <w:lang w:val="en-GB"/>
        </w:rPr>
        <w:t>,</w:t>
      </w:r>
      <w:r w:rsidR="0023353C" w:rsidRPr="00140BF5">
        <w:rPr>
          <w:lang w:val="en-GB"/>
        </w:rPr>
        <w:t xml:space="preserve"> 2005; Holley et al.</w:t>
      </w:r>
      <w:r w:rsidR="00015E8F" w:rsidRPr="00140BF5">
        <w:rPr>
          <w:lang w:val="en-GB"/>
        </w:rPr>
        <w:t>,</w:t>
      </w:r>
      <w:r w:rsidR="0023353C" w:rsidRPr="00140BF5">
        <w:rPr>
          <w:lang w:val="en-GB"/>
        </w:rPr>
        <w:t xml:space="preserve"> 2015</w:t>
      </w:r>
      <w:r w:rsidR="006A73AE" w:rsidRPr="00140BF5">
        <w:rPr>
          <w:lang w:val="en-GB"/>
        </w:rPr>
        <w:t xml:space="preserve">). </w:t>
      </w:r>
    </w:p>
    <w:p w14:paraId="50D2166A" w14:textId="589A8F0D" w:rsidR="006C117B" w:rsidRPr="00140BF5" w:rsidRDefault="00B8260F" w:rsidP="00710D82">
      <w:pPr>
        <w:spacing w:line="480" w:lineRule="auto"/>
        <w:jc w:val="both"/>
        <w:rPr>
          <w:lang w:val="en-GB"/>
        </w:rPr>
      </w:pPr>
      <w:r w:rsidRPr="00140BF5">
        <w:rPr>
          <w:lang w:val="en-GB"/>
        </w:rPr>
        <w:lastRenderedPageBreak/>
        <w:t>E</w:t>
      </w:r>
      <w:r w:rsidR="006C117B" w:rsidRPr="00140BF5">
        <w:rPr>
          <w:lang w:val="en-GB"/>
        </w:rPr>
        <w:t>mpirical research on these issues has</w:t>
      </w:r>
      <w:r w:rsidR="00B70288" w:rsidRPr="00140BF5">
        <w:rPr>
          <w:lang w:val="en-GB"/>
        </w:rPr>
        <w:t>,</w:t>
      </w:r>
      <w:r w:rsidR="006C117B" w:rsidRPr="00140BF5">
        <w:rPr>
          <w:lang w:val="en-GB"/>
        </w:rPr>
        <w:t xml:space="preserve"> </w:t>
      </w:r>
      <w:r w:rsidR="007F41E8" w:rsidRPr="00140BF5">
        <w:rPr>
          <w:lang w:val="en-GB"/>
        </w:rPr>
        <w:t>however</w:t>
      </w:r>
      <w:r w:rsidR="00B70288" w:rsidRPr="00140BF5">
        <w:rPr>
          <w:lang w:val="en-GB"/>
        </w:rPr>
        <w:t>,</w:t>
      </w:r>
      <w:r w:rsidR="007F41E8" w:rsidRPr="00140BF5">
        <w:rPr>
          <w:lang w:val="en-GB"/>
        </w:rPr>
        <w:t xml:space="preserve"> </w:t>
      </w:r>
      <w:r w:rsidR="006C117B" w:rsidRPr="00140BF5">
        <w:rPr>
          <w:lang w:val="en-GB"/>
        </w:rPr>
        <w:t>so far been mainly re</w:t>
      </w:r>
      <w:r w:rsidR="007F41E8" w:rsidRPr="00140BF5">
        <w:rPr>
          <w:lang w:val="en-GB"/>
        </w:rPr>
        <w:t>stricted to single country (or single l</w:t>
      </w:r>
      <w:r w:rsidR="006C117B" w:rsidRPr="00140BF5">
        <w:rPr>
          <w:lang w:val="en-GB"/>
        </w:rPr>
        <w:t xml:space="preserve">ocal </w:t>
      </w:r>
      <w:r w:rsidRPr="00140BF5">
        <w:rPr>
          <w:lang w:val="en-GB"/>
        </w:rPr>
        <w:t>authority</w:t>
      </w:r>
      <w:r w:rsidR="006C117B" w:rsidRPr="00140BF5">
        <w:rPr>
          <w:lang w:val="en-GB"/>
        </w:rPr>
        <w:t>) studies</w:t>
      </w:r>
      <w:r w:rsidRPr="00140BF5">
        <w:rPr>
          <w:lang w:val="en-GB"/>
        </w:rPr>
        <w:t>, whereas comparative assessments</w:t>
      </w:r>
      <w:r w:rsidR="004E3F33" w:rsidRPr="00140BF5">
        <w:rPr>
          <w:lang w:val="en-GB"/>
        </w:rPr>
        <w:t xml:space="preserve"> taking into account the wider regulatory framework remain </w:t>
      </w:r>
      <w:r w:rsidR="007F41E8" w:rsidRPr="00140BF5">
        <w:rPr>
          <w:lang w:val="en-GB"/>
        </w:rPr>
        <w:t>an</w:t>
      </w:r>
      <w:r w:rsidR="004E3F33" w:rsidRPr="00140BF5">
        <w:rPr>
          <w:lang w:val="en-GB"/>
        </w:rPr>
        <w:t xml:space="preserve"> exception (Schulten et al.</w:t>
      </w:r>
      <w:r w:rsidR="00015E8F" w:rsidRPr="00140BF5">
        <w:rPr>
          <w:lang w:val="en-GB"/>
        </w:rPr>
        <w:t>,</w:t>
      </w:r>
      <w:r w:rsidR="004E3F33" w:rsidRPr="00140BF5">
        <w:rPr>
          <w:lang w:val="en-GB"/>
        </w:rPr>
        <w:t xml:space="preserve"> 2012</w:t>
      </w:r>
      <w:r w:rsidR="00894464" w:rsidRPr="00140BF5">
        <w:rPr>
          <w:lang w:val="en-GB"/>
        </w:rPr>
        <w:t xml:space="preserve">; </w:t>
      </w:r>
      <w:r w:rsidR="00B005CD" w:rsidRPr="00B005CD">
        <w:rPr>
          <w:szCs w:val="28"/>
          <w:lang w:val="en-GB"/>
        </w:rPr>
        <w:t>Jaehrling</w:t>
      </w:r>
      <w:r w:rsidR="00B005CD" w:rsidRPr="00140BF5">
        <w:rPr>
          <w:lang w:val="en-GB"/>
        </w:rPr>
        <w:t xml:space="preserve"> </w:t>
      </w:r>
      <w:bookmarkStart w:id="0" w:name="_GoBack"/>
      <w:bookmarkEnd w:id="0"/>
      <w:r w:rsidR="00894464" w:rsidRPr="00140BF5">
        <w:rPr>
          <w:lang w:val="en-GB"/>
        </w:rPr>
        <w:t>et al.</w:t>
      </w:r>
      <w:r w:rsidR="00015E8F" w:rsidRPr="00140BF5">
        <w:rPr>
          <w:lang w:val="en-GB"/>
        </w:rPr>
        <w:t>,</w:t>
      </w:r>
      <w:r w:rsidR="00894464" w:rsidRPr="00140BF5">
        <w:rPr>
          <w:lang w:val="en-GB"/>
        </w:rPr>
        <w:t xml:space="preserve"> 2015</w:t>
      </w:r>
      <w:r w:rsidR="004E3F33" w:rsidRPr="00140BF5">
        <w:rPr>
          <w:lang w:val="en-GB"/>
        </w:rPr>
        <w:t>)</w:t>
      </w:r>
      <w:r w:rsidRPr="00140BF5">
        <w:rPr>
          <w:lang w:val="en-GB"/>
        </w:rPr>
        <w:t>. Moreover, many studies have focused on the political struggles around the decision to either adopt or abolish labour clauses</w:t>
      </w:r>
      <w:r w:rsidR="00EB546A" w:rsidRPr="00140BF5">
        <w:rPr>
          <w:lang w:val="en-GB"/>
        </w:rPr>
        <w:t xml:space="preserve"> in broad terms</w:t>
      </w:r>
      <w:r w:rsidRPr="00140BF5">
        <w:rPr>
          <w:lang w:val="en-GB"/>
        </w:rPr>
        <w:t xml:space="preserve">, </w:t>
      </w:r>
      <w:r w:rsidR="00B70288" w:rsidRPr="00140BF5">
        <w:rPr>
          <w:lang w:val="en-GB"/>
        </w:rPr>
        <w:t xml:space="preserve">but </w:t>
      </w:r>
      <w:r w:rsidRPr="00140BF5">
        <w:rPr>
          <w:lang w:val="en-GB"/>
        </w:rPr>
        <w:t>there is scarce evidence on how</w:t>
      </w:r>
      <w:r w:rsidR="00EB546A" w:rsidRPr="00140BF5">
        <w:rPr>
          <w:lang w:val="en-GB"/>
        </w:rPr>
        <w:t xml:space="preserve"> they</w:t>
      </w:r>
      <w:r w:rsidRPr="00140BF5">
        <w:rPr>
          <w:lang w:val="en-GB"/>
        </w:rPr>
        <w:t xml:space="preserve"> are designed, implemented and monitored. </w:t>
      </w:r>
      <w:r w:rsidR="00291CFB" w:rsidRPr="00140BF5">
        <w:rPr>
          <w:lang w:val="en-GB"/>
        </w:rPr>
        <w:t>As a gro</w:t>
      </w:r>
      <w:r w:rsidR="00140BF5">
        <w:rPr>
          <w:lang w:val="en-GB"/>
        </w:rPr>
        <w:t>wing body of literature emphasis</w:t>
      </w:r>
      <w:r w:rsidR="00291CFB" w:rsidRPr="00140BF5">
        <w:rPr>
          <w:lang w:val="en-GB"/>
        </w:rPr>
        <w:t xml:space="preserve">es, </w:t>
      </w:r>
      <w:r w:rsidR="00E247A0" w:rsidRPr="00140BF5">
        <w:rPr>
          <w:lang w:val="en-GB"/>
        </w:rPr>
        <w:t xml:space="preserve">the </w:t>
      </w:r>
      <w:r w:rsidR="00291CFB" w:rsidRPr="00140BF5">
        <w:rPr>
          <w:lang w:val="en-GB"/>
        </w:rPr>
        <w:t xml:space="preserve">monitoring and enforcement </w:t>
      </w:r>
      <w:r w:rsidR="004F0AFD" w:rsidRPr="00140BF5">
        <w:rPr>
          <w:lang w:val="en-GB"/>
        </w:rPr>
        <w:t xml:space="preserve">of </w:t>
      </w:r>
      <w:r w:rsidR="00EB546A" w:rsidRPr="00140BF5">
        <w:rPr>
          <w:lang w:val="en-GB"/>
        </w:rPr>
        <w:t xml:space="preserve">social </w:t>
      </w:r>
      <w:r w:rsidR="004F0AFD" w:rsidRPr="00140BF5">
        <w:rPr>
          <w:lang w:val="en-GB"/>
        </w:rPr>
        <w:t>polic</w:t>
      </w:r>
      <w:r w:rsidR="00EB546A" w:rsidRPr="00140BF5">
        <w:rPr>
          <w:lang w:val="en-GB"/>
        </w:rPr>
        <w:t>ies</w:t>
      </w:r>
      <w:r w:rsidR="004F0AFD" w:rsidRPr="00140BF5">
        <w:rPr>
          <w:lang w:val="en-GB"/>
        </w:rPr>
        <w:t xml:space="preserve"> </w:t>
      </w:r>
      <w:r w:rsidR="00EB546A" w:rsidRPr="00140BF5">
        <w:rPr>
          <w:lang w:val="en-GB"/>
        </w:rPr>
        <w:t>are</w:t>
      </w:r>
      <w:r w:rsidR="00291CFB" w:rsidRPr="00140BF5">
        <w:rPr>
          <w:lang w:val="en-GB"/>
        </w:rPr>
        <w:t xml:space="preserve"> crucial </w:t>
      </w:r>
      <w:r w:rsidR="00E247A0" w:rsidRPr="00140BF5">
        <w:rPr>
          <w:lang w:val="en-GB"/>
        </w:rPr>
        <w:t>to</w:t>
      </w:r>
      <w:r w:rsidR="00291CFB" w:rsidRPr="00140BF5">
        <w:rPr>
          <w:lang w:val="en-GB"/>
        </w:rPr>
        <w:t xml:space="preserve"> </w:t>
      </w:r>
      <w:r w:rsidR="00EB546A" w:rsidRPr="00140BF5">
        <w:rPr>
          <w:lang w:val="en-GB"/>
        </w:rPr>
        <w:t xml:space="preserve">embed higher </w:t>
      </w:r>
      <w:r w:rsidR="00291CFB" w:rsidRPr="00140BF5">
        <w:rPr>
          <w:lang w:val="en-GB"/>
        </w:rPr>
        <w:t xml:space="preserve">standards in low </w:t>
      </w:r>
      <w:r w:rsidR="00EB546A" w:rsidRPr="00140BF5">
        <w:rPr>
          <w:lang w:val="en-GB"/>
        </w:rPr>
        <w:t>wage</w:t>
      </w:r>
      <w:r w:rsidR="00873869" w:rsidRPr="00140BF5">
        <w:rPr>
          <w:lang w:val="en-GB"/>
        </w:rPr>
        <w:t xml:space="preserve"> sectors </w:t>
      </w:r>
      <w:r w:rsidR="00291CFB" w:rsidRPr="00140BF5">
        <w:rPr>
          <w:lang w:val="en-GB"/>
        </w:rPr>
        <w:t>(Dickens et al.</w:t>
      </w:r>
      <w:r w:rsidR="00DB6EAA" w:rsidRPr="00140BF5">
        <w:rPr>
          <w:lang w:val="en-GB"/>
        </w:rPr>
        <w:t>,</w:t>
      </w:r>
      <w:r w:rsidR="00291CFB" w:rsidRPr="00140BF5">
        <w:rPr>
          <w:lang w:val="en-GB"/>
        </w:rPr>
        <w:t xml:space="preserve"> 2012;</w:t>
      </w:r>
      <w:r w:rsidR="006A73AE" w:rsidRPr="00140BF5">
        <w:rPr>
          <w:lang w:val="en-GB"/>
        </w:rPr>
        <w:t xml:space="preserve"> </w:t>
      </w:r>
      <w:r w:rsidR="00925847" w:rsidRPr="00140BF5">
        <w:rPr>
          <w:lang w:val="en-GB"/>
        </w:rPr>
        <w:t>Dietz et al.</w:t>
      </w:r>
      <w:r w:rsidR="00DB6EAA" w:rsidRPr="00140BF5">
        <w:rPr>
          <w:lang w:val="en-GB"/>
        </w:rPr>
        <w:t>,</w:t>
      </w:r>
      <w:r w:rsidR="006A73AE" w:rsidRPr="00140BF5">
        <w:rPr>
          <w:lang w:val="en-GB"/>
        </w:rPr>
        <w:t xml:space="preserve"> 2014</w:t>
      </w:r>
      <w:r w:rsidR="00291CFB" w:rsidRPr="00140BF5">
        <w:rPr>
          <w:lang w:val="en-GB"/>
        </w:rPr>
        <w:t>)</w:t>
      </w:r>
      <w:r w:rsidR="00100F32" w:rsidRPr="00140BF5">
        <w:rPr>
          <w:lang w:val="en-GB"/>
        </w:rPr>
        <w:t>.</w:t>
      </w:r>
      <w:r w:rsidR="00291CFB" w:rsidRPr="00140BF5">
        <w:rPr>
          <w:lang w:val="en-GB"/>
        </w:rPr>
        <w:t xml:space="preserve">  </w:t>
      </w:r>
    </w:p>
    <w:p w14:paraId="26B2BBB3" w14:textId="68ED21F1" w:rsidR="0044096A" w:rsidRPr="00140BF5" w:rsidRDefault="0044096A" w:rsidP="00710D82">
      <w:pPr>
        <w:spacing w:line="480" w:lineRule="auto"/>
        <w:jc w:val="both"/>
        <w:rPr>
          <w:lang w:val="en-GB"/>
        </w:rPr>
      </w:pPr>
      <w:r w:rsidRPr="00140BF5">
        <w:rPr>
          <w:lang w:val="en-GB"/>
        </w:rPr>
        <w:t>Th</w:t>
      </w:r>
      <w:r w:rsidR="004E3F33" w:rsidRPr="00140BF5">
        <w:rPr>
          <w:lang w:val="en-GB"/>
        </w:rPr>
        <w:t xml:space="preserve">is article </w:t>
      </w:r>
      <w:r w:rsidR="00EB546A" w:rsidRPr="00140BF5">
        <w:rPr>
          <w:lang w:val="en-GB"/>
        </w:rPr>
        <w:t>seeks</w:t>
      </w:r>
      <w:r w:rsidR="00291CFB" w:rsidRPr="00140BF5">
        <w:rPr>
          <w:lang w:val="en-GB"/>
        </w:rPr>
        <w:t xml:space="preserve"> to fill these gaps </w:t>
      </w:r>
      <w:r w:rsidR="00873869" w:rsidRPr="00140BF5">
        <w:rPr>
          <w:szCs w:val="28"/>
          <w:lang w:val="en-GB"/>
        </w:rPr>
        <w:t>through</w:t>
      </w:r>
      <w:r w:rsidR="00291CFB" w:rsidRPr="00140BF5">
        <w:rPr>
          <w:szCs w:val="28"/>
          <w:lang w:val="en-GB"/>
        </w:rPr>
        <w:t xml:space="preserve"> a comparative case study of socially responsible procurement practices in the local government sector in three </w:t>
      </w:r>
      <w:r w:rsidR="00EB546A" w:rsidRPr="00140BF5">
        <w:rPr>
          <w:szCs w:val="28"/>
          <w:lang w:val="en-GB"/>
        </w:rPr>
        <w:t xml:space="preserve">European cities: </w:t>
      </w:r>
      <w:r w:rsidR="00616454" w:rsidRPr="00140BF5">
        <w:rPr>
          <w:szCs w:val="28"/>
          <w:lang w:val="en-GB"/>
        </w:rPr>
        <w:t>Copenhagen (</w:t>
      </w:r>
      <w:r w:rsidR="00291CFB" w:rsidRPr="00140BF5">
        <w:rPr>
          <w:szCs w:val="28"/>
          <w:lang w:val="en-GB"/>
        </w:rPr>
        <w:t>Denmark</w:t>
      </w:r>
      <w:r w:rsidR="00616454" w:rsidRPr="00140BF5">
        <w:rPr>
          <w:szCs w:val="28"/>
          <w:lang w:val="en-GB"/>
        </w:rPr>
        <w:t>)</w:t>
      </w:r>
      <w:r w:rsidR="00EB546A" w:rsidRPr="00140BF5">
        <w:rPr>
          <w:szCs w:val="28"/>
          <w:lang w:val="en-GB"/>
        </w:rPr>
        <w:t>;</w:t>
      </w:r>
      <w:r w:rsidR="00291CFB" w:rsidRPr="00140BF5">
        <w:rPr>
          <w:szCs w:val="28"/>
          <w:lang w:val="en-GB"/>
        </w:rPr>
        <w:t xml:space="preserve"> </w:t>
      </w:r>
      <w:r w:rsidR="00616454" w:rsidRPr="00140BF5">
        <w:rPr>
          <w:szCs w:val="28"/>
          <w:lang w:val="en-GB"/>
        </w:rPr>
        <w:t>Bremen (</w:t>
      </w:r>
      <w:r w:rsidR="00291CFB" w:rsidRPr="00140BF5">
        <w:rPr>
          <w:szCs w:val="28"/>
          <w:lang w:val="en-GB"/>
        </w:rPr>
        <w:t>Germany</w:t>
      </w:r>
      <w:r w:rsidR="00616454" w:rsidRPr="00140BF5">
        <w:rPr>
          <w:szCs w:val="28"/>
          <w:lang w:val="en-GB"/>
        </w:rPr>
        <w:t>)</w:t>
      </w:r>
      <w:r w:rsidR="00EB546A" w:rsidRPr="00140BF5">
        <w:rPr>
          <w:szCs w:val="28"/>
          <w:lang w:val="en-GB"/>
        </w:rPr>
        <w:t>;</w:t>
      </w:r>
      <w:r w:rsidR="00291CFB" w:rsidRPr="00140BF5">
        <w:rPr>
          <w:szCs w:val="28"/>
          <w:lang w:val="en-GB"/>
        </w:rPr>
        <w:t xml:space="preserve"> and </w:t>
      </w:r>
      <w:r w:rsidR="00616454" w:rsidRPr="00140BF5">
        <w:rPr>
          <w:szCs w:val="28"/>
          <w:lang w:val="en-GB"/>
        </w:rPr>
        <w:t>Leeds (</w:t>
      </w:r>
      <w:r w:rsidR="00291CFB" w:rsidRPr="00140BF5">
        <w:rPr>
          <w:szCs w:val="28"/>
          <w:lang w:val="en-GB"/>
        </w:rPr>
        <w:t>UK</w:t>
      </w:r>
      <w:r w:rsidR="00616454" w:rsidRPr="00140BF5">
        <w:rPr>
          <w:szCs w:val="28"/>
          <w:lang w:val="en-GB"/>
        </w:rPr>
        <w:t>)</w:t>
      </w:r>
      <w:r w:rsidR="007541AA" w:rsidRPr="00140BF5">
        <w:rPr>
          <w:lang w:val="en-GB"/>
        </w:rPr>
        <w:t xml:space="preserve">. </w:t>
      </w:r>
      <w:r w:rsidR="00081C63">
        <w:rPr>
          <w:lang w:val="en-GB"/>
        </w:rPr>
        <w:t>By analys</w:t>
      </w:r>
      <w:r w:rsidR="00DD55A4" w:rsidRPr="00140BF5">
        <w:rPr>
          <w:lang w:val="en-GB"/>
        </w:rPr>
        <w:t>ing the whole policy cycle</w:t>
      </w:r>
      <w:r w:rsidR="00077EF4" w:rsidRPr="00140BF5">
        <w:rPr>
          <w:lang w:val="en-GB"/>
        </w:rPr>
        <w:t xml:space="preserve"> of labour clauses from initial negotiations through to </w:t>
      </w:r>
      <w:r w:rsidR="00DD55A4" w:rsidRPr="00140BF5">
        <w:rPr>
          <w:lang w:val="en-GB"/>
        </w:rPr>
        <w:t>implementation and monitoring</w:t>
      </w:r>
      <w:r w:rsidR="00077EF4" w:rsidRPr="00140BF5">
        <w:rPr>
          <w:lang w:val="en-GB"/>
        </w:rPr>
        <w:t>,</w:t>
      </w:r>
      <w:r w:rsidR="00DD55A4" w:rsidRPr="00140BF5">
        <w:rPr>
          <w:lang w:val="en-GB"/>
        </w:rPr>
        <w:t xml:space="preserve"> </w:t>
      </w:r>
      <w:r w:rsidR="00C54B7D" w:rsidRPr="00140BF5">
        <w:rPr>
          <w:lang w:val="en-GB"/>
        </w:rPr>
        <w:t xml:space="preserve">it is possible </w:t>
      </w:r>
      <w:r w:rsidR="00DD55A4" w:rsidRPr="00140BF5">
        <w:rPr>
          <w:lang w:val="en-GB"/>
        </w:rPr>
        <w:t xml:space="preserve">to evaluate </w:t>
      </w:r>
      <w:r w:rsidR="00077EF4" w:rsidRPr="00140BF5">
        <w:rPr>
          <w:lang w:val="en-GB"/>
        </w:rPr>
        <w:t>the extent to which</w:t>
      </w:r>
      <w:r w:rsidR="00DD55A4" w:rsidRPr="00140BF5">
        <w:rPr>
          <w:lang w:val="en-GB"/>
        </w:rPr>
        <w:t xml:space="preserve"> </w:t>
      </w:r>
      <w:r w:rsidR="001A358D" w:rsidRPr="00140BF5">
        <w:rPr>
          <w:lang w:val="en-GB"/>
        </w:rPr>
        <w:t xml:space="preserve">socially responsible procurement </w:t>
      </w:r>
      <w:r w:rsidR="00873869" w:rsidRPr="00140BF5">
        <w:rPr>
          <w:szCs w:val="28"/>
          <w:lang w:val="en-GB"/>
        </w:rPr>
        <w:t>move</w:t>
      </w:r>
      <w:r w:rsidR="00077EF4" w:rsidRPr="00140BF5">
        <w:rPr>
          <w:szCs w:val="28"/>
          <w:lang w:val="en-GB"/>
        </w:rPr>
        <w:t>s</w:t>
      </w:r>
      <w:r w:rsidR="00873869" w:rsidRPr="00140BF5">
        <w:rPr>
          <w:szCs w:val="28"/>
          <w:lang w:val="en-GB"/>
        </w:rPr>
        <w:t xml:space="preserve"> </w:t>
      </w:r>
      <w:r w:rsidR="00DD55A4" w:rsidRPr="00140BF5">
        <w:rPr>
          <w:szCs w:val="28"/>
          <w:lang w:val="en-GB"/>
        </w:rPr>
        <w:t>‘beyond rhetoric’</w:t>
      </w:r>
      <w:r w:rsidR="00DD55A4" w:rsidRPr="00140BF5">
        <w:rPr>
          <w:lang w:val="en-GB"/>
        </w:rPr>
        <w:t xml:space="preserve">. </w:t>
      </w:r>
      <w:r w:rsidR="004E3F33" w:rsidRPr="00140BF5">
        <w:rPr>
          <w:szCs w:val="28"/>
          <w:lang w:val="en-GB"/>
        </w:rPr>
        <w:t xml:space="preserve">The cross-country comparative research design </w:t>
      </w:r>
      <w:r w:rsidR="00DD5712" w:rsidRPr="00140BF5">
        <w:rPr>
          <w:szCs w:val="28"/>
          <w:lang w:val="en-GB"/>
        </w:rPr>
        <w:t>also allows for an assessment of the</w:t>
      </w:r>
      <w:r w:rsidR="00C54B7D" w:rsidRPr="00140BF5">
        <w:rPr>
          <w:szCs w:val="28"/>
          <w:lang w:val="en-GB"/>
        </w:rPr>
        <w:t xml:space="preserve"> </w:t>
      </w:r>
      <w:r w:rsidR="00DD5712" w:rsidRPr="00140BF5">
        <w:rPr>
          <w:szCs w:val="28"/>
          <w:lang w:val="en-GB"/>
        </w:rPr>
        <w:t>role of labour clauses in different sectoral and national systems of labour market regulation</w:t>
      </w:r>
      <w:r w:rsidR="004E3F33" w:rsidRPr="00140BF5">
        <w:rPr>
          <w:szCs w:val="28"/>
          <w:lang w:val="en-GB"/>
        </w:rPr>
        <w:t>. Moreover, b</w:t>
      </w:r>
      <w:r w:rsidR="00F824D1" w:rsidRPr="00140BF5">
        <w:rPr>
          <w:szCs w:val="28"/>
          <w:lang w:val="en-GB"/>
        </w:rPr>
        <w:t xml:space="preserve">y choosing ‘best case’ </w:t>
      </w:r>
      <w:r w:rsidR="00DD5712" w:rsidRPr="00140BF5">
        <w:rPr>
          <w:szCs w:val="28"/>
          <w:lang w:val="en-GB"/>
        </w:rPr>
        <w:t xml:space="preserve">procurement policies within local government </w:t>
      </w:r>
      <w:r w:rsidR="00816459" w:rsidRPr="00140BF5">
        <w:rPr>
          <w:szCs w:val="28"/>
          <w:lang w:val="en-GB"/>
        </w:rPr>
        <w:t xml:space="preserve">but </w:t>
      </w:r>
      <w:r w:rsidR="00DD5712" w:rsidRPr="00140BF5">
        <w:rPr>
          <w:szCs w:val="28"/>
          <w:lang w:val="en-GB"/>
        </w:rPr>
        <w:t>across different contexts,</w:t>
      </w:r>
      <w:r w:rsidR="00F824D1" w:rsidRPr="00140BF5">
        <w:rPr>
          <w:szCs w:val="28"/>
          <w:lang w:val="en-GB"/>
        </w:rPr>
        <w:t xml:space="preserve"> </w:t>
      </w:r>
      <w:r w:rsidR="00C54B7D" w:rsidRPr="00140BF5">
        <w:rPr>
          <w:szCs w:val="28"/>
          <w:lang w:val="en-GB"/>
        </w:rPr>
        <w:t>the article</w:t>
      </w:r>
      <w:r w:rsidR="00F824D1" w:rsidRPr="00140BF5">
        <w:rPr>
          <w:lang w:val="en-GB"/>
        </w:rPr>
        <w:t xml:space="preserve"> </w:t>
      </w:r>
      <w:r w:rsidR="00816459" w:rsidRPr="00140BF5">
        <w:rPr>
          <w:lang w:val="en-GB"/>
        </w:rPr>
        <w:t xml:space="preserve">critically evaluates the </w:t>
      </w:r>
      <w:r w:rsidR="00F824D1" w:rsidRPr="00140BF5">
        <w:rPr>
          <w:lang w:val="en-GB"/>
        </w:rPr>
        <w:t xml:space="preserve">circumstances </w:t>
      </w:r>
      <w:r w:rsidR="00816459" w:rsidRPr="00140BF5">
        <w:rPr>
          <w:lang w:val="en-GB"/>
        </w:rPr>
        <w:t>under which labour clauses are both effective and sustainable</w:t>
      </w:r>
      <w:r w:rsidR="0072484D" w:rsidRPr="00140BF5">
        <w:rPr>
          <w:lang w:val="en-GB"/>
        </w:rPr>
        <w:t xml:space="preserve">. </w:t>
      </w:r>
      <w:r w:rsidR="001A358D" w:rsidRPr="00140BF5">
        <w:rPr>
          <w:lang w:val="en-GB"/>
        </w:rPr>
        <w:t xml:space="preserve"> </w:t>
      </w:r>
    </w:p>
    <w:p w14:paraId="31D777AD" w14:textId="77777777" w:rsidR="00F05237" w:rsidRPr="00140BF5" w:rsidRDefault="00AC408C" w:rsidP="0011084D">
      <w:pPr>
        <w:spacing w:line="480" w:lineRule="auto"/>
        <w:jc w:val="both"/>
        <w:rPr>
          <w:szCs w:val="28"/>
          <w:lang w:val="en-GB"/>
        </w:rPr>
      </w:pPr>
      <w:r w:rsidRPr="00140BF5">
        <w:rPr>
          <w:lang w:val="en-GB"/>
        </w:rPr>
        <w:t xml:space="preserve">The next </w:t>
      </w:r>
      <w:r w:rsidR="00D45603" w:rsidRPr="00140BF5">
        <w:rPr>
          <w:lang w:val="en-GB"/>
        </w:rPr>
        <w:t>section reviews</w:t>
      </w:r>
      <w:r w:rsidRPr="00140BF5">
        <w:rPr>
          <w:lang w:val="en-GB"/>
        </w:rPr>
        <w:t xml:space="preserve"> </w:t>
      </w:r>
      <w:r w:rsidR="0012715A" w:rsidRPr="00140BF5">
        <w:rPr>
          <w:lang w:val="en-GB"/>
        </w:rPr>
        <w:t>recent</w:t>
      </w:r>
      <w:r w:rsidRPr="00140BF5">
        <w:rPr>
          <w:lang w:val="en-GB"/>
        </w:rPr>
        <w:t xml:space="preserve"> literature on public procurement and precarious employment</w:t>
      </w:r>
      <w:r w:rsidR="004B6B59" w:rsidRPr="00140BF5">
        <w:rPr>
          <w:lang w:val="en-GB"/>
        </w:rPr>
        <w:t xml:space="preserve"> </w:t>
      </w:r>
      <w:r w:rsidRPr="00140BF5">
        <w:rPr>
          <w:lang w:val="en-GB"/>
        </w:rPr>
        <w:t xml:space="preserve">and </w:t>
      </w:r>
      <w:r w:rsidR="0015150E" w:rsidRPr="00140BF5">
        <w:rPr>
          <w:lang w:val="en-GB"/>
        </w:rPr>
        <w:t>discuss</w:t>
      </w:r>
      <w:r w:rsidR="00990F1F" w:rsidRPr="00140BF5">
        <w:rPr>
          <w:lang w:val="en-GB"/>
        </w:rPr>
        <w:t>es</w:t>
      </w:r>
      <w:r w:rsidR="0015150E" w:rsidRPr="00140BF5">
        <w:rPr>
          <w:lang w:val="en-GB"/>
        </w:rPr>
        <w:t xml:space="preserve"> </w:t>
      </w:r>
      <w:r w:rsidR="004B6B59" w:rsidRPr="00140BF5">
        <w:rPr>
          <w:lang w:val="en-GB"/>
        </w:rPr>
        <w:t>the</w:t>
      </w:r>
      <w:r w:rsidR="0015150E" w:rsidRPr="00140BF5">
        <w:rPr>
          <w:lang w:val="en-GB"/>
        </w:rPr>
        <w:t xml:space="preserve"> </w:t>
      </w:r>
      <w:r w:rsidR="00D70A78" w:rsidRPr="00140BF5">
        <w:rPr>
          <w:lang w:val="en-GB"/>
        </w:rPr>
        <w:t xml:space="preserve">potential obstacles and </w:t>
      </w:r>
      <w:r w:rsidR="0015150E" w:rsidRPr="00140BF5">
        <w:rPr>
          <w:lang w:val="en-GB"/>
        </w:rPr>
        <w:t xml:space="preserve">factors that </w:t>
      </w:r>
      <w:r w:rsidR="004B6B59" w:rsidRPr="00140BF5">
        <w:rPr>
          <w:lang w:val="en-GB"/>
        </w:rPr>
        <w:t>shape the implementation of socially responsible</w:t>
      </w:r>
      <w:r w:rsidRPr="00140BF5">
        <w:rPr>
          <w:lang w:val="en-GB"/>
        </w:rPr>
        <w:t xml:space="preserve"> </w:t>
      </w:r>
      <w:r w:rsidR="00873869" w:rsidRPr="00140BF5">
        <w:rPr>
          <w:lang w:val="en-GB"/>
        </w:rPr>
        <w:t xml:space="preserve">procurement practices </w:t>
      </w:r>
      <w:r w:rsidRPr="00140BF5">
        <w:rPr>
          <w:lang w:val="en-GB"/>
        </w:rPr>
        <w:t xml:space="preserve">within different regulatory systems. </w:t>
      </w:r>
      <w:r w:rsidR="00C54B7D" w:rsidRPr="00140BF5">
        <w:rPr>
          <w:lang w:val="en-GB"/>
        </w:rPr>
        <w:t xml:space="preserve">The article </w:t>
      </w:r>
      <w:r w:rsidRPr="00140BF5">
        <w:rPr>
          <w:lang w:val="en-GB"/>
        </w:rPr>
        <w:t xml:space="preserve">then </w:t>
      </w:r>
      <w:r w:rsidR="00C54B7D" w:rsidRPr="00140BF5">
        <w:rPr>
          <w:lang w:val="en-GB"/>
        </w:rPr>
        <w:t>analyses</w:t>
      </w:r>
      <w:r w:rsidRPr="00140BF5">
        <w:rPr>
          <w:lang w:val="en-GB"/>
        </w:rPr>
        <w:t xml:space="preserve"> </w:t>
      </w:r>
      <w:r w:rsidR="00C54B7D" w:rsidRPr="00140BF5">
        <w:rPr>
          <w:lang w:val="en-GB"/>
        </w:rPr>
        <w:t>the</w:t>
      </w:r>
      <w:r w:rsidRPr="00140BF5">
        <w:rPr>
          <w:lang w:val="en-GB"/>
        </w:rPr>
        <w:t xml:space="preserve"> empi</w:t>
      </w:r>
      <w:r w:rsidR="00B9666C" w:rsidRPr="00140BF5">
        <w:rPr>
          <w:lang w:val="en-GB"/>
        </w:rPr>
        <w:t>rical data from the three case studies</w:t>
      </w:r>
      <w:r w:rsidR="00C54B7D" w:rsidRPr="00140BF5">
        <w:rPr>
          <w:lang w:val="en-GB"/>
        </w:rPr>
        <w:t>,</w:t>
      </w:r>
      <w:r w:rsidR="004B6B59" w:rsidRPr="00140BF5">
        <w:rPr>
          <w:lang w:val="en-GB"/>
        </w:rPr>
        <w:t xml:space="preserve"> covering the policy</w:t>
      </w:r>
      <w:r w:rsidR="007736E0" w:rsidRPr="00140BF5">
        <w:rPr>
          <w:lang w:val="en-GB"/>
        </w:rPr>
        <w:t xml:space="preserve"> </w:t>
      </w:r>
      <w:r w:rsidR="004B6B59" w:rsidRPr="00140BF5">
        <w:rPr>
          <w:lang w:val="en-GB"/>
        </w:rPr>
        <w:t xml:space="preserve">cycle from design to </w:t>
      </w:r>
      <w:r w:rsidRPr="00140BF5">
        <w:rPr>
          <w:lang w:val="en-GB"/>
        </w:rPr>
        <w:t>implementation</w:t>
      </w:r>
      <w:r w:rsidR="004B6B59" w:rsidRPr="00140BF5">
        <w:rPr>
          <w:lang w:val="en-GB"/>
        </w:rPr>
        <w:t xml:space="preserve"> and</w:t>
      </w:r>
      <w:r w:rsidRPr="00140BF5">
        <w:rPr>
          <w:lang w:val="en-GB"/>
        </w:rPr>
        <w:t xml:space="preserve"> enforcement. </w:t>
      </w:r>
      <w:r w:rsidR="00B9666C" w:rsidRPr="00140BF5">
        <w:rPr>
          <w:lang w:val="en-GB"/>
        </w:rPr>
        <w:t xml:space="preserve">The final section contains a discussion and </w:t>
      </w:r>
      <w:r w:rsidR="00211EDE" w:rsidRPr="00140BF5">
        <w:rPr>
          <w:lang w:val="en-GB"/>
        </w:rPr>
        <w:t xml:space="preserve">the </w:t>
      </w:r>
      <w:r w:rsidR="00B9666C" w:rsidRPr="00140BF5">
        <w:rPr>
          <w:lang w:val="en-GB"/>
        </w:rPr>
        <w:t>conclusions</w:t>
      </w:r>
      <w:r w:rsidRPr="00140BF5">
        <w:rPr>
          <w:lang w:val="en-GB"/>
        </w:rPr>
        <w:t xml:space="preserve">. </w:t>
      </w:r>
    </w:p>
    <w:p w14:paraId="321703C9" w14:textId="77777777" w:rsidR="00BC7A64" w:rsidRPr="00140BF5" w:rsidRDefault="00950051" w:rsidP="0011084D">
      <w:pPr>
        <w:spacing w:line="480" w:lineRule="auto"/>
        <w:rPr>
          <w:b/>
          <w:lang w:val="en-GB"/>
        </w:rPr>
      </w:pPr>
      <w:r w:rsidRPr="00140BF5">
        <w:rPr>
          <w:b/>
          <w:lang w:val="en-GB"/>
        </w:rPr>
        <w:t>The</w:t>
      </w:r>
      <w:r w:rsidR="007015FA" w:rsidRPr="00140BF5">
        <w:rPr>
          <w:b/>
          <w:lang w:val="en-GB"/>
        </w:rPr>
        <w:t xml:space="preserve"> </w:t>
      </w:r>
      <w:r w:rsidRPr="00140BF5">
        <w:rPr>
          <w:b/>
          <w:lang w:val="en-GB"/>
        </w:rPr>
        <w:t>dynamics of</w:t>
      </w:r>
      <w:r w:rsidR="007015FA" w:rsidRPr="00140BF5">
        <w:rPr>
          <w:b/>
          <w:lang w:val="en-GB"/>
        </w:rPr>
        <w:t xml:space="preserve"> regulating working conditions in</w:t>
      </w:r>
      <w:r w:rsidR="004035EC" w:rsidRPr="00140BF5">
        <w:rPr>
          <w:b/>
          <w:lang w:val="en-GB"/>
        </w:rPr>
        <w:t xml:space="preserve"> </w:t>
      </w:r>
      <w:r w:rsidR="00CC3293" w:rsidRPr="00140BF5">
        <w:rPr>
          <w:b/>
          <w:lang w:val="en-GB"/>
        </w:rPr>
        <w:t>public s</w:t>
      </w:r>
      <w:r w:rsidR="004035EC" w:rsidRPr="00140BF5">
        <w:rPr>
          <w:b/>
          <w:lang w:val="en-GB"/>
        </w:rPr>
        <w:t xml:space="preserve">upply </w:t>
      </w:r>
      <w:r w:rsidR="00CC3293" w:rsidRPr="00140BF5">
        <w:rPr>
          <w:b/>
          <w:lang w:val="en-GB"/>
        </w:rPr>
        <w:t>c</w:t>
      </w:r>
      <w:r w:rsidR="004035EC" w:rsidRPr="00140BF5">
        <w:rPr>
          <w:b/>
          <w:lang w:val="en-GB"/>
        </w:rPr>
        <w:t>hain</w:t>
      </w:r>
      <w:r w:rsidR="00CC3293" w:rsidRPr="00140BF5">
        <w:rPr>
          <w:b/>
          <w:lang w:val="en-GB"/>
        </w:rPr>
        <w:t>s</w:t>
      </w:r>
      <w:r w:rsidR="004035EC" w:rsidRPr="00140BF5">
        <w:rPr>
          <w:b/>
          <w:lang w:val="en-GB"/>
        </w:rPr>
        <w:t xml:space="preserve"> </w:t>
      </w:r>
    </w:p>
    <w:p w14:paraId="37F90AFD" w14:textId="7ED94294" w:rsidR="00B359E9" w:rsidRPr="00140BF5" w:rsidRDefault="004B31ED" w:rsidP="0011084D">
      <w:pPr>
        <w:shd w:val="clear" w:color="auto" w:fill="FFFFFF" w:themeFill="background1"/>
        <w:spacing w:line="480" w:lineRule="auto"/>
        <w:jc w:val="both"/>
        <w:rPr>
          <w:szCs w:val="28"/>
          <w:lang w:val="en-GB"/>
        </w:rPr>
      </w:pPr>
      <w:r w:rsidRPr="00140BF5">
        <w:rPr>
          <w:lang w:val="en-GB"/>
        </w:rPr>
        <w:t xml:space="preserve">The ability of </w:t>
      </w:r>
      <w:r w:rsidR="00816459" w:rsidRPr="00140BF5">
        <w:rPr>
          <w:lang w:val="en-GB"/>
        </w:rPr>
        <w:t>public</w:t>
      </w:r>
      <w:r w:rsidR="00DB6EAA" w:rsidRPr="00140BF5">
        <w:rPr>
          <w:lang w:val="en-GB"/>
        </w:rPr>
        <w:t xml:space="preserve"> authorities </w:t>
      </w:r>
      <w:r w:rsidRPr="00140BF5">
        <w:rPr>
          <w:lang w:val="en-GB"/>
        </w:rPr>
        <w:t xml:space="preserve">at national, regional and local level to effectively regulate working conditions in </w:t>
      </w:r>
      <w:r w:rsidR="00816459" w:rsidRPr="00140BF5">
        <w:rPr>
          <w:lang w:val="en-GB"/>
        </w:rPr>
        <w:t>outsourced services</w:t>
      </w:r>
      <w:r w:rsidRPr="00140BF5">
        <w:rPr>
          <w:lang w:val="en-GB"/>
        </w:rPr>
        <w:t xml:space="preserve"> is an issue of growing importance</w:t>
      </w:r>
      <w:r w:rsidR="006F724C" w:rsidRPr="00140BF5">
        <w:rPr>
          <w:lang w:val="en-GB"/>
        </w:rPr>
        <w:t>,</w:t>
      </w:r>
      <w:r w:rsidRPr="00140BF5">
        <w:rPr>
          <w:lang w:val="en-GB"/>
        </w:rPr>
        <w:t xml:space="preserve"> and underlines deep rooted </w:t>
      </w:r>
      <w:r w:rsidRPr="00140BF5">
        <w:rPr>
          <w:lang w:val="en-GB"/>
        </w:rPr>
        <w:lastRenderedPageBreak/>
        <w:t>tensions between th</w:t>
      </w:r>
      <w:r w:rsidR="00D30085" w:rsidRPr="00140BF5">
        <w:rPr>
          <w:lang w:val="en-GB"/>
        </w:rPr>
        <w:t xml:space="preserve">e </w:t>
      </w:r>
      <w:r w:rsidR="006E1127" w:rsidRPr="00140BF5">
        <w:rPr>
          <w:lang w:val="en-GB"/>
        </w:rPr>
        <w:t xml:space="preserve">various </w:t>
      </w:r>
      <w:r w:rsidR="006F724C" w:rsidRPr="00140BF5">
        <w:rPr>
          <w:lang w:val="en-GB"/>
        </w:rPr>
        <w:t xml:space="preserve">functions of the </w:t>
      </w:r>
      <w:r w:rsidR="00D30085" w:rsidRPr="00140BF5">
        <w:rPr>
          <w:lang w:val="en-GB"/>
        </w:rPr>
        <w:t xml:space="preserve">state </w:t>
      </w:r>
      <w:r w:rsidR="006F724C" w:rsidRPr="00140BF5">
        <w:rPr>
          <w:lang w:val="en-GB"/>
        </w:rPr>
        <w:t xml:space="preserve">at different levels. </w:t>
      </w:r>
      <w:r w:rsidRPr="00140BF5">
        <w:rPr>
          <w:lang w:val="en-GB"/>
        </w:rPr>
        <w:t xml:space="preserve">The outsourcing of public services such as cleaning, school catering, and care for older people in many European countries over the last 30 years or so aligns with the dominant </w:t>
      </w:r>
      <w:r w:rsidR="000D1ECD" w:rsidRPr="00140BF5">
        <w:rPr>
          <w:lang w:val="en-GB"/>
        </w:rPr>
        <w:t xml:space="preserve">economic logic </w:t>
      </w:r>
      <w:r w:rsidRPr="00140BF5">
        <w:rPr>
          <w:lang w:val="en-GB"/>
        </w:rPr>
        <w:t xml:space="preserve">of </w:t>
      </w:r>
      <w:r w:rsidR="00C252B7" w:rsidRPr="00140BF5">
        <w:rPr>
          <w:lang w:val="en-GB"/>
        </w:rPr>
        <w:t xml:space="preserve">introducing choice and competition into public markets, </w:t>
      </w:r>
      <w:r w:rsidRPr="00140BF5">
        <w:rPr>
          <w:lang w:val="en-GB"/>
        </w:rPr>
        <w:t xml:space="preserve">and </w:t>
      </w:r>
      <w:r w:rsidR="00C252B7" w:rsidRPr="00140BF5">
        <w:rPr>
          <w:lang w:val="en-GB"/>
        </w:rPr>
        <w:t xml:space="preserve">the </w:t>
      </w:r>
      <w:r w:rsidR="000D1ECD" w:rsidRPr="00140BF5">
        <w:rPr>
          <w:lang w:val="en-GB"/>
        </w:rPr>
        <w:t>belief that privatisation will deliver higher quality services at a lower cost</w:t>
      </w:r>
      <w:r w:rsidRPr="00140BF5">
        <w:rPr>
          <w:lang w:val="en-GB"/>
        </w:rPr>
        <w:t xml:space="preserve"> </w:t>
      </w:r>
      <w:r w:rsidR="00C252B7" w:rsidRPr="00140BF5">
        <w:rPr>
          <w:lang w:val="en-GB"/>
        </w:rPr>
        <w:t>(</w:t>
      </w:r>
      <w:r w:rsidRPr="00140BF5">
        <w:rPr>
          <w:lang w:val="en-GB"/>
        </w:rPr>
        <w:t>Wollmann et al.</w:t>
      </w:r>
      <w:r w:rsidR="00DB6EAA" w:rsidRPr="00140BF5">
        <w:rPr>
          <w:lang w:val="en-GB"/>
        </w:rPr>
        <w:t>,</w:t>
      </w:r>
      <w:r w:rsidRPr="00140BF5">
        <w:rPr>
          <w:lang w:val="en-GB"/>
        </w:rPr>
        <w:t xml:space="preserve"> 2016</w:t>
      </w:r>
      <w:r w:rsidR="00C252B7" w:rsidRPr="00140BF5">
        <w:rPr>
          <w:lang w:val="en-GB"/>
        </w:rPr>
        <w:t>). However</w:t>
      </w:r>
      <w:r w:rsidR="00873869" w:rsidRPr="00140BF5">
        <w:rPr>
          <w:lang w:val="en-GB"/>
        </w:rPr>
        <w:t>,</w:t>
      </w:r>
      <w:r w:rsidR="00C252B7" w:rsidRPr="00140BF5">
        <w:rPr>
          <w:lang w:val="en-GB"/>
        </w:rPr>
        <w:t xml:space="preserve"> th</w:t>
      </w:r>
      <w:r w:rsidR="00AA195E" w:rsidRPr="00140BF5">
        <w:rPr>
          <w:lang w:val="en-GB"/>
        </w:rPr>
        <w:t>e fragmentation of services combined with downward pressure on costs</w:t>
      </w:r>
      <w:r w:rsidRPr="00140BF5">
        <w:rPr>
          <w:lang w:val="en-GB"/>
        </w:rPr>
        <w:t xml:space="preserve"> ha</w:t>
      </w:r>
      <w:r w:rsidR="00AA195E" w:rsidRPr="00140BF5">
        <w:rPr>
          <w:lang w:val="en-GB"/>
        </w:rPr>
        <w:t>ve</w:t>
      </w:r>
      <w:r w:rsidRPr="00140BF5">
        <w:rPr>
          <w:lang w:val="en-GB"/>
        </w:rPr>
        <w:t xml:space="preserve"> contributed to </w:t>
      </w:r>
      <w:r w:rsidRPr="00140BF5">
        <w:rPr>
          <w:szCs w:val="28"/>
          <w:lang w:val="en-GB"/>
        </w:rPr>
        <w:t>various features of precarious work among the sub-contracted workforce such as low wages, on-demand</w:t>
      </w:r>
      <w:r w:rsidR="00946C31" w:rsidRPr="00140BF5">
        <w:rPr>
          <w:szCs w:val="28"/>
          <w:lang w:val="en-GB"/>
        </w:rPr>
        <w:t xml:space="preserve"> and</w:t>
      </w:r>
      <w:r w:rsidRPr="00140BF5">
        <w:rPr>
          <w:szCs w:val="28"/>
          <w:lang w:val="en-GB"/>
        </w:rPr>
        <w:t xml:space="preserve"> zero</w:t>
      </w:r>
      <w:r w:rsidR="00DB6EAA" w:rsidRPr="00140BF5">
        <w:rPr>
          <w:szCs w:val="28"/>
          <w:lang w:val="en-GB"/>
        </w:rPr>
        <w:t>-</w:t>
      </w:r>
      <w:r w:rsidRPr="00140BF5">
        <w:rPr>
          <w:szCs w:val="28"/>
          <w:lang w:val="en-GB"/>
        </w:rPr>
        <w:t>hours contracts, and high levels of work intensity (e.g. Be</w:t>
      </w:r>
      <w:r w:rsidR="00AB49CB" w:rsidRPr="00140BF5">
        <w:rPr>
          <w:szCs w:val="28"/>
          <w:lang w:val="en-GB"/>
        </w:rPr>
        <w:t>ssa et al.</w:t>
      </w:r>
      <w:r w:rsidR="00946C31" w:rsidRPr="00140BF5">
        <w:rPr>
          <w:szCs w:val="28"/>
          <w:lang w:val="en-GB"/>
        </w:rPr>
        <w:t>,</w:t>
      </w:r>
      <w:r w:rsidR="00AB49CB" w:rsidRPr="00140BF5">
        <w:rPr>
          <w:szCs w:val="28"/>
          <w:lang w:val="en-GB"/>
        </w:rPr>
        <w:t xml:space="preserve"> </w:t>
      </w:r>
      <w:r w:rsidRPr="00140BF5">
        <w:rPr>
          <w:szCs w:val="28"/>
          <w:lang w:val="en-GB"/>
        </w:rPr>
        <w:t>2013; Brennan et al.</w:t>
      </w:r>
      <w:r w:rsidR="00946C31" w:rsidRPr="00140BF5">
        <w:rPr>
          <w:szCs w:val="28"/>
          <w:lang w:val="en-GB"/>
        </w:rPr>
        <w:t>,</w:t>
      </w:r>
      <w:r w:rsidRPr="00140BF5">
        <w:rPr>
          <w:szCs w:val="28"/>
          <w:lang w:val="en-GB"/>
        </w:rPr>
        <w:t xml:space="preserve"> 2012; Schulten and Schulze-Buschoff</w:t>
      </w:r>
      <w:r w:rsidR="00946C31" w:rsidRPr="00140BF5">
        <w:rPr>
          <w:szCs w:val="28"/>
          <w:lang w:val="en-GB"/>
        </w:rPr>
        <w:t>,</w:t>
      </w:r>
      <w:r w:rsidRPr="00140BF5">
        <w:rPr>
          <w:szCs w:val="28"/>
          <w:lang w:val="en-GB"/>
        </w:rPr>
        <w:t xml:space="preserve"> 2015; </w:t>
      </w:r>
      <w:r w:rsidRPr="00140BF5">
        <w:rPr>
          <w:rFonts w:ascii="Calibri" w:hAnsi="Calibri" w:cs="Times New Roman"/>
          <w:szCs w:val="24"/>
          <w:lang w:val="en-GB"/>
        </w:rPr>
        <w:t>Vrangbæk et al.</w:t>
      </w:r>
      <w:r w:rsidR="00946C31" w:rsidRPr="00140BF5">
        <w:rPr>
          <w:rFonts w:ascii="Calibri" w:hAnsi="Calibri" w:cs="Times New Roman"/>
          <w:szCs w:val="24"/>
          <w:lang w:val="en-GB"/>
        </w:rPr>
        <w:t>,</w:t>
      </w:r>
      <w:r w:rsidRPr="00140BF5">
        <w:rPr>
          <w:rFonts w:ascii="Calibri" w:hAnsi="Calibri" w:cs="Times New Roman"/>
          <w:szCs w:val="24"/>
          <w:lang w:val="en-GB"/>
        </w:rPr>
        <w:t xml:space="preserve"> 2015</w:t>
      </w:r>
      <w:r w:rsidRPr="00140BF5">
        <w:rPr>
          <w:szCs w:val="28"/>
          <w:lang w:val="en-GB"/>
        </w:rPr>
        <w:t xml:space="preserve">). This in turn places </w:t>
      </w:r>
      <w:r w:rsidR="002341B9" w:rsidRPr="00140BF5">
        <w:rPr>
          <w:szCs w:val="28"/>
          <w:lang w:val="en-GB"/>
        </w:rPr>
        <w:t>both</w:t>
      </w:r>
      <w:r w:rsidRPr="00140BF5">
        <w:rPr>
          <w:szCs w:val="28"/>
          <w:lang w:val="en-GB"/>
        </w:rPr>
        <w:t xml:space="preserve"> moral and fiscal demands on the state to temper these </w:t>
      </w:r>
      <w:r w:rsidR="002341B9" w:rsidRPr="00140BF5">
        <w:rPr>
          <w:szCs w:val="28"/>
          <w:lang w:val="en-GB"/>
        </w:rPr>
        <w:t>‘</w:t>
      </w:r>
      <w:r w:rsidRPr="00140BF5">
        <w:rPr>
          <w:szCs w:val="28"/>
          <w:lang w:val="en-GB"/>
        </w:rPr>
        <w:t>negative externalities</w:t>
      </w:r>
      <w:r w:rsidR="002341B9" w:rsidRPr="00140BF5">
        <w:rPr>
          <w:szCs w:val="28"/>
          <w:lang w:val="en-GB"/>
        </w:rPr>
        <w:t>’</w:t>
      </w:r>
      <w:r w:rsidR="00C252B7" w:rsidRPr="00140BF5">
        <w:rPr>
          <w:szCs w:val="28"/>
          <w:lang w:val="en-GB"/>
        </w:rPr>
        <w:t xml:space="preserve"> of the market </w:t>
      </w:r>
      <w:r w:rsidR="00ED0A93" w:rsidRPr="00140BF5">
        <w:rPr>
          <w:szCs w:val="28"/>
          <w:lang w:val="en-GB"/>
        </w:rPr>
        <w:t xml:space="preserve">through the </w:t>
      </w:r>
      <w:r w:rsidR="00F93584" w:rsidRPr="00140BF5">
        <w:rPr>
          <w:szCs w:val="28"/>
          <w:lang w:val="en-GB"/>
        </w:rPr>
        <w:t>use</w:t>
      </w:r>
      <w:r w:rsidR="00ED0A93" w:rsidRPr="00140BF5">
        <w:rPr>
          <w:szCs w:val="28"/>
          <w:lang w:val="en-GB"/>
        </w:rPr>
        <w:t xml:space="preserve"> of </w:t>
      </w:r>
      <w:r w:rsidR="00F93584" w:rsidRPr="00140BF5">
        <w:rPr>
          <w:szCs w:val="28"/>
          <w:lang w:val="en-GB"/>
        </w:rPr>
        <w:t xml:space="preserve">statutory minimum wages and </w:t>
      </w:r>
      <w:r w:rsidR="00ED0A93" w:rsidRPr="00140BF5">
        <w:rPr>
          <w:szCs w:val="28"/>
          <w:lang w:val="en-GB"/>
        </w:rPr>
        <w:t>social protection (</w:t>
      </w:r>
      <w:r w:rsidR="004808F4">
        <w:rPr>
          <w:szCs w:val="28"/>
          <w:lang w:val="en-GB"/>
        </w:rPr>
        <w:t>Grimshaw</w:t>
      </w:r>
      <w:r w:rsidR="00ED0A93" w:rsidRPr="00140BF5">
        <w:rPr>
          <w:szCs w:val="28"/>
          <w:lang w:val="en-GB"/>
        </w:rPr>
        <w:t xml:space="preserve"> et al.</w:t>
      </w:r>
      <w:r w:rsidR="00946C31" w:rsidRPr="00140BF5">
        <w:rPr>
          <w:szCs w:val="28"/>
          <w:lang w:val="en-GB"/>
        </w:rPr>
        <w:t>,</w:t>
      </w:r>
      <w:r w:rsidR="00ED0A93" w:rsidRPr="00140BF5">
        <w:rPr>
          <w:szCs w:val="28"/>
          <w:lang w:val="en-GB"/>
        </w:rPr>
        <w:t xml:space="preserve"> 2016)</w:t>
      </w:r>
      <w:r w:rsidR="00C252B7" w:rsidRPr="00140BF5">
        <w:rPr>
          <w:szCs w:val="28"/>
          <w:lang w:val="en-GB"/>
        </w:rPr>
        <w:t xml:space="preserve">. </w:t>
      </w:r>
    </w:p>
    <w:p w14:paraId="682764FF" w14:textId="3695D889" w:rsidR="000D1ECD" w:rsidRPr="00140BF5" w:rsidRDefault="00F93584" w:rsidP="0011084D">
      <w:pPr>
        <w:shd w:val="clear" w:color="auto" w:fill="FFFFFF" w:themeFill="background1"/>
        <w:spacing w:line="480" w:lineRule="auto"/>
        <w:jc w:val="both"/>
        <w:rPr>
          <w:lang w:val="en-GB"/>
        </w:rPr>
      </w:pPr>
      <w:r w:rsidRPr="00140BF5">
        <w:rPr>
          <w:lang w:val="en-GB"/>
        </w:rPr>
        <w:t xml:space="preserve">A more focused solution </w:t>
      </w:r>
      <w:r w:rsidR="00B359E9" w:rsidRPr="00140BF5">
        <w:rPr>
          <w:lang w:val="en-GB"/>
        </w:rPr>
        <w:t xml:space="preserve">to the problem of precarious work in </w:t>
      </w:r>
      <w:r w:rsidR="00AA195E" w:rsidRPr="00140BF5">
        <w:rPr>
          <w:lang w:val="en-GB"/>
        </w:rPr>
        <w:t xml:space="preserve">public </w:t>
      </w:r>
      <w:r w:rsidR="00B359E9" w:rsidRPr="00140BF5">
        <w:rPr>
          <w:lang w:val="en-GB"/>
        </w:rPr>
        <w:t xml:space="preserve">supply chains </w:t>
      </w:r>
      <w:r w:rsidRPr="00140BF5">
        <w:rPr>
          <w:lang w:val="en-GB"/>
        </w:rPr>
        <w:t xml:space="preserve">can be found in </w:t>
      </w:r>
      <w:r w:rsidR="002341B9" w:rsidRPr="00140BF5">
        <w:rPr>
          <w:lang w:val="en-GB"/>
        </w:rPr>
        <w:t>‘</w:t>
      </w:r>
      <w:r w:rsidRPr="00140BF5">
        <w:rPr>
          <w:lang w:val="en-GB"/>
        </w:rPr>
        <w:t>s</w:t>
      </w:r>
      <w:r w:rsidR="000D1ECD" w:rsidRPr="00140BF5">
        <w:rPr>
          <w:szCs w:val="28"/>
          <w:lang w:val="en-GB"/>
        </w:rPr>
        <w:t>ocially responsible procurement</w:t>
      </w:r>
      <w:r w:rsidR="002341B9" w:rsidRPr="00140BF5">
        <w:rPr>
          <w:szCs w:val="28"/>
          <w:lang w:val="en-GB"/>
        </w:rPr>
        <w:t>’</w:t>
      </w:r>
      <w:r w:rsidR="00AA195E" w:rsidRPr="00140BF5">
        <w:rPr>
          <w:szCs w:val="28"/>
          <w:lang w:val="en-GB"/>
        </w:rPr>
        <w:t>. This sees spe</w:t>
      </w:r>
      <w:r w:rsidR="00C57E2A" w:rsidRPr="00140BF5">
        <w:rPr>
          <w:szCs w:val="28"/>
          <w:lang w:val="en-GB"/>
        </w:rPr>
        <w:t>cific</w:t>
      </w:r>
      <w:r w:rsidR="00B87153" w:rsidRPr="00140BF5">
        <w:rPr>
          <w:szCs w:val="28"/>
          <w:lang w:val="en-GB"/>
        </w:rPr>
        <w:t xml:space="preserve"> ‘labour clauses’</w:t>
      </w:r>
      <w:r w:rsidR="00AA195E" w:rsidRPr="00140BF5">
        <w:rPr>
          <w:szCs w:val="28"/>
          <w:lang w:val="en-GB"/>
        </w:rPr>
        <w:t xml:space="preserve"> </w:t>
      </w:r>
      <w:r w:rsidR="00C57E2A" w:rsidRPr="00140BF5">
        <w:rPr>
          <w:szCs w:val="28"/>
          <w:lang w:val="en-GB"/>
        </w:rPr>
        <w:t xml:space="preserve">that set improved wages and working conditions </w:t>
      </w:r>
      <w:r w:rsidR="00B87153" w:rsidRPr="00140BF5">
        <w:rPr>
          <w:szCs w:val="28"/>
          <w:lang w:val="en-GB"/>
        </w:rPr>
        <w:t>added to public contracts</w:t>
      </w:r>
      <w:r w:rsidR="00AA195E" w:rsidRPr="00140BF5">
        <w:rPr>
          <w:szCs w:val="28"/>
          <w:lang w:val="en-GB"/>
        </w:rPr>
        <w:t xml:space="preserve"> </w:t>
      </w:r>
      <w:r w:rsidR="00B87153" w:rsidRPr="00140BF5">
        <w:rPr>
          <w:szCs w:val="28"/>
          <w:lang w:val="en-GB"/>
        </w:rPr>
        <w:t>in order to better protect outsourced workers from precariousness</w:t>
      </w:r>
      <w:r w:rsidR="00B359E9" w:rsidRPr="00140BF5">
        <w:rPr>
          <w:szCs w:val="28"/>
          <w:lang w:val="en-GB"/>
        </w:rPr>
        <w:t>.</w:t>
      </w:r>
      <w:r w:rsidR="000D1ECD" w:rsidRPr="00140BF5">
        <w:rPr>
          <w:szCs w:val="28"/>
          <w:lang w:val="en-GB"/>
        </w:rPr>
        <w:t xml:space="preserve"> </w:t>
      </w:r>
      <w:r w:rsidR="00B359E9" w:rsidRPr="00140BF5">
        <w:rPr>
          <w:lang w:val="en-GB"/>
        </w:rPr>
        <w:t xml:space="preserve">At a macro level, </w:t>
      </w:r>
      <w:r w:rsidR="004268B6" w:rsidRPr="00140BF5">
        <w:rPr>
          <w:lang w:val="en-GB"/>
        </w:rPr>
        <w:t xml:space="preserve">however, </w:t>
      </w:r>
      <w:r w:rsidR="00B359E9" w:rsidRPr="00140BF5">
        <w:rPr>
          <w:lang w:val="en-GB"/>
        </w:rPr>
        <w:t>t</w:t>
      </w:r>
      <w:r w:rsidR="00735399" w:rsidRPr="00140BF5">
        <w:rPr>
          <w:lang w:val="en-GB"/>
        </w:rPr>
        <w:t>he literature</w:t>
      </w:r>
      <w:r w:rsidR="00B258F3" w:rsidRPr="00140BF5">
        <w:rPr>
          <w:lang w:val="en-GB"/>
        </w:rPr>
        <w:t xml:space="preserve"> </w:t>
      </w:r>
      <w:r w:rsidR="00735399" w:rsidRPr="00140BF5">
        <w:rPr>
          <w:lang w:val="en-GB"/>
        </w:rPr>
        <w:t>points to three main obstacles</w:t>
      </w:r>
      <w:r w:rsidR="0012715A" w:rsidRPr="00140BF5">
        <w:rPr>
          <w:lang w:val="en-GB"/>
        </w:rPr>
        <w:t xml:space="preserve"> to the successful re-regulation of public supply chains through </w:t>
      </w:r>
      <w:r w:rsidR="00B87153" w:rsidRPr="00140BF5">
        <w:rPr>
          <w:lang w:val="en-GB"/>
        </w:rPr>
        <w:t xml:space="preserve">the </w:t>
      </w:r>
      <w:r w:rsidR="0012715A" w:rsidRPr="00140BF5">
        <w:rPr>
          <w:lang w:val="en-GB"/>
        </w:rPr>
        <w:t>use of labour clauses.</w:t>
      </w:r>
    </w:p>
    <w:p w14:paraId="4A5A89B7" w14:textId="087D4928" w:rsidR="00504E4B" w:rsidRPr="00140BF5" w:rsidRDefault="00504E4B" w:rsidP="00504E4B">
      <w:pPr>
        <w:spacing w:line="480" w:lineRule="auto"/>
        <w:jc w:val="both"/>
        <w:rPr>
          <w:lang w:val="en-GB"/>
        </w:rPr>
      </w:pPr>
      <w:r w:rsidRPr="00140BF5">
        <w:rPr>
          <w:lang w:val="en-GB"/>
        </w:rPr>
        <w:t xml:space="preserve">The first </w:t>
      </w:r>
      <w:r w:rsidR="00932AC1" w:rsidRPr="00140BF5">
        <w:rPr>
          <w:lang w:val="en-GB"/>
        </w:rPr>
        <w:t xml:space="preserve">(and potentially most complex) </w:t>
      </w:r>
      <w:r w:rsidRPr="00140BF5">
        <w:rPr>
          <w:lang w:val="en-GB"/>
        </w:rPr>
        <w:t xml:space="preserve">obstacle is that at the European level, the notion of ‘buying social’ clashes with a hegemonic interpretation of EU law giving priority to the fundamental economic freedoms laid down in the EU Treaty. This has resulted in limited scope for </w:t>
      </w:r>
      <w:r w:rsidR="006510E5" w:rsidRPr="00140BF5">
        <w:rPr>
          <w:lang w:val="en-GB"/>
        </w:rPr>
        <w:t xml:space="preserve">the </w:t>
      </w:r>
      <w:r w:rsidRPr="00140BF5">
        <w:rPr>
          <w:lang w:val="en-GB"/>
        </w:rPr>
        <w:t>inclu</w:t>
      </w:r>
      <w:r w:rsidR="006510E5" w:rsidRPr="00140BF5">
        <w:rPr>
          <w:lang w:val="en-GB"/>
        </w:rPr>
        <w:t>sion of</w:t>
      </w:r>
      <w:r w:rsidRPr="00140BF5">
        <w:rPr>
          <w:lang w:val="en-GB"/>
        </w:rPr>
        <w:t xml:space="preserve"> soci</w:t>
      </w:r>
      <w:r w:rsidR="00D748B3" w:rsidRPr="00140BF5">
        <w:rPr>
          <w:lang w:val="en-GB"/>
        </w:rPr>
        <w:t>al</w:t>
      </w:r>
      <w:r w:rsidRPr="00140BF5">
        <w:rPr>
          <w:lang w:val="en-GB"/>
        </w:rPr>
        <w:t xml:space="preserve"> goals</w:t>
      </w:r>
      <w:r w:rsidR="00D748B3" w:rsidRPr="00140BF5">
        <w:rPr>
          <w:lang w:val="en-GB"/>
        </w:rPr>
        <w:t xml:space="preserve"> in public procurement</w:t>
      </w:r>
      <w:r w:rsidRPr="00140BF5">
        <w:rPr>
          <w:lang w:val="en-GB"/>
        </w:rPr>
        <w:t xml:space="preserve"> </w:t>
      </w:r>
      <w:r w:rsidR="00D748B3" w:rsidRPr="00140BF5">
        <w:rPr>
          <w:lang w:val="en-GB"/>
        </w:rPr>
        <w:t>in member states</w:t>
      </w:r>
      <w:r w:rsidR="00C97D86" w:rsidRPr="00140BF5">
        <w:rPr>
          <w:lang w:val="en-GB"/>
        </w:rPr>
        <w:t xml:space="preserve"> (Arrowsmith and </w:t>
      </w:r>
      <w:r w:rsidRPr="00140BF5">
        <w:rPr>
          <w:lang w:val="en-GB"/>
        </w:rPr>
        <w:t>Kunzlik</w:t>
      </w:r>
      <w:r w:rsidR="00CE752C" w:rsidRPr="00140BF5">
        <w:rPr>
          <w:lang w:val="en-GB"/>
        </w:rPr>
        <w:t>,</w:t>
      </w:r>
      <w:r w:rsidRPr="00140BF5">
        <w:rPr>
          <w:lang w:val="en-GB"/>
        </w:rPr>
        <w:t xml:space="preserve"> 2009</w:t>
      </w:r>
      <w:r w:rsidR="00D5178F">
        <w:rPr>
          <w:lang w:val="en-GB"/>
        </w:rPr>
        <w:t>, p.</w:t>
      </w:r>
      <w:r w:rsidRPr="00140BF5">
        <w:rPr>
          <w:lang w:val="en-GB"/>
        </w:rPr>
        <w:t xml:space="preserve"> 192)</w:t>
      </w:r>
      <w:r w:rsidR="006510E5" w:rsidRPr="00140BF5">
        <w:rPr>
          <w:lang w:val="en-GB"/>
        </w:rPr>
        <w:t xml:space="preserve"> and</w:t>
      </w:r>
      <w:r w:rsidR="000D01BF" w:rsidRPr="00140BF5">
        <w:rPr>
          <w:lang w:val="en-GB"/>
        </w:rPr>
        <w:t xml:space="preserve"> is </w:t>
      </w:r>
      <w:r w:rsidR="00D748B3" w:rsidRPr="00140BF5">
        <w:rPr>
          <w:lang w:val="en-GB"/>
        </w:rPr>
        <w:t>backed up by</w:t>
      </w:r>
      <w:r w:rsidRPr="00140BF5">
        <w:rPr>
          <w:lang w:val="en-GB"/>
        </w:rPr>
        <w:t xml:space="preserve"> a restrictive jurisprudence </w:t>
      </w:r>
      <w:r w:rsidR="00D748B3" w:rsidRPr="00140BF5">
        <w:rPr>
          <w:lang w:val="en-GB"/>
        </w:rPr>
        <w:t xml:space="preserve">over working conditions </w:t>
      </w:r>
      <w:r w:rsidRPr="00140BF5">
        <w:rPr>
          <w:lang w:val="en-GB"/>
        </w:rPr>
        <w:t>by the European Court of Justice</w:t>
      </w:r>
      <w:r w:rsidR="00A46E0E" w:rsidRPr="00140BF5">
        <w:rPr>
          <w:lang w:val="en-GB"/>
        </w:rPr>
        <w:t xml:space="preserve">. This was </w:t>
      </w:r>
      <w:r w:rsidRPr="00140BF5">
        <w:rPr>
          <w:lang w:val="en-GB"/>
        </w:rPr>
        <w:t>evidenced in the</w:t>
      </w:r>
      <w:r w:rsidR="006510E5" w:rsidRPr="00140BF5">
        <w:rPr>
          <w:lang w:val="en-GB"/>
        </w:rPr>
        <w:t xml:space="preserve"> 2008</w:t>
      </w:r>
      <w:r w:rsidRPr="00140BF5">
        <w:rPr>
          <w:lang w:val="en-GB"/>
        </w:rPr>
        <w:t xml:space="preserve"> </w:t>
      </w:r>
      <w:r w:rsidRPr="00140BF5">
        <w:rPr>
          <w:i/>
          <w:lang w:val="en-GB"/>
        </w:rPr>
        <w:t>Rüffert</w:t>
      </w:r>
      <w:r w:rsidRPr="00140BF5">
        <w:rPr>
          <w:lang w:val="en-GB"/>
        </w:rPr>
        <w:t xml:space="preserve"> judgment (ECJ C-346/06)</w:t>
      </w:r>
      <w:r w:rsidR="000D01BF" w:rsidRPr="00140BF5">
        <w:rPr>
          <w:lang w:val="en-GB"/>
        </w:rPr>
        <w:t>,</w:t>
      </w:r>
      <w:r w:rsidRPr="00140BF5">
        <w:rPr>
          <w:lang w:val="en-GB"/>
        </w:rPr>
        <w:t xml:space="preserve"> </w:t>
      </w:r>
      <w:r w:rsidR="00A46E0E" w:rsidRPr="00140BF5">
        <w:rPr>
          <w:lang w:val="en-GB"/>
        </w:rPr>
        <w:t xml:space="preserve">which </w:t>
      </w:r>
      <w:r w:rsidRPr="00140BF5">
        <w:rPr>
          <w:lang w:val="en-GB"/>
        </w:rPr>
        <w:t>imposed narrow legal limits on pay clauses in procurement legislation and practice (McCrudden</w:t>
      </w:r>
      <w:r w:rsidR="00CE752C" w:rsidRPr="00140BF5">
        <w:rPr>
          <w:lang w:val="en-GB"/>
        </w:rPr>
        <w:t>,</w:t>
      </w:r>
      <w:r w:rsidRPr="00140BF5">
        <w:rPr>
          <w:lang w:val="en-GB"/>
        </w:rPr>
        <w:t xml:space="preserve"> 2011</w:t>
      </w:r>
      <w:r w:rsidR="00570620" w:rsidRPr="00140BF5">
        <w:rPr>
          <w:lang w:val="en-GB"/>
        </w:rPr>
        <w:t>;</w:t>
      </w:r>
      <w:r w:rsidRPr="00140BF5">
        <w:rPr>
          <w:lang w:val="en-GB"/>
        </w:rPr>
        <w:t xml:space="preserve"> Koukiadaki</w:t>
      </w:r>
      <w:r w:rsidR="00CE752C" w:rsidRPr="00140BF5">
        <w:rPr>
          <w:lang w:val="en-GB"/>
        </w:rPr>
        <w:t>,</w:t>
      </w:r>
      <w:r w:rsidRPr="00140BF5">
        <w:rPr>
          <w:lang w:val="en-GB"/>
        </w:rPr>
        <w:t xml:space="preserve"> 2014). </w:t>
      </w:r>
    </w:p>
    <w:p w14:paraId="0E620DB8" w14:textId="51721AD0" w:rsidR="000B5D78" w:rsidRPr="00140BF5" w:rsidRDefault="00504E4B" w:rsidP="00504E4B">
      <w:pPr>
        <w:spacing w:line="480" w:lineRule="auto"/>
        <w:jc w:val="both"/>
        <w:rPr>
          <w:rFonts w:cs="Garamond"/>
          <w:lang w:val="en-GB"/>
        </w:rPr>
      </w:pPr>
      <w:r w:rsidRPr="00140BF5">
        <w:rPr>
          <w:lang w:val="en-GB"/>
        </w:rPr>
        <w:t>The second (and less investigated) obstacle is the</w:t>
      </w:r>
      <w:r w:rsidR="00D748B3" w:rsidRPr="00140BF5">
        <w:rPr>
          <w:lang w:val="en-GB"/>
        </w:rPr>
        <w:t xml:space="preserve"> powerful</w:t>
      </w:r>
      <w:r w:rsidRPr="00140BF5">
        <w:rPr>
          <w:lang w:val="en-GB"/>
        </w:rPr>
        <w:t xml:space="preserve"> </w:t>
      </w:r>
      <w:r w:rsidR="00D748B3" w:rsidRPr="00140BF5">
        <w:rPr>
          <w:lang w:val="en-GB"/>
        </w:rPr>
        <w:t>influence of</w:t>
      </w:r>
      <w:r w:rsidRPr="00140BF5">
        <w:rPr>
          <w:lang w:val="en-GB"/>
        </w:rPr>
        <w:t xml:space="preserve"> employers’ associations and business federations </w:t>
      </w:r>
      <w:r w:rsidR="00D748B3" w:rsidRPr="00140BF5">
        <w:rPr>
          <w:lang w:val="en-GB"/>
        </w:rPr>
        <w:t xml:space="preserve">over the interpretation and implementation of EU law within </w:t>
      </w:r>
      <w:r w:rsidR="000D01BF" w:rsidRPr="00140BF5">
        <w:rPr>
          <w:lang w:val="en-GB"/>
        </w:rPr>
        <w:t>member states</w:t>
      </w:r>
      <w:r w:rsidRPr="00140BF5">
        <w:rPr>
          <w:lang w:val="en-GB"/>
        </w:rPr>
        <w:t xml:space="preserve">. For example, in the UK and Ireland, Dundon et al. (2014) point to the ‘capturing’ by employers of the </w:t>
      </w:r>
      <w:r w:rsidRPr="00140BF5">
        <w:rPr>
          <w:lang w:val="en-GB"/>
        </w:rPr>
        <w:lastRenderedPageBreak/>
        <w:t xml:space="preserve">regulatory space around the 2004 Information and Consultation </w:t>
      </w:r>
      <w:r w:rsidR="000D01BF" w:rsidRPr="00140BF5">
        <w:rPr>
          <w:lang w:val="en-GB"/>
        </w:rPr>
        <w:t xml:space="preserve">directives, </w:t>
      </w:r>
      <w:r w:rsidR="00BE3FC3" w:rsidRPr="00140BF5">
        <w:rPr>
          <w:lang w:val="en-GB"/>
        </w:rPr>
        <w:t xml:space="preserve">which </w:t>
      </w:r>
      <w:r w:rsidRPr="00140BF5">
        <w:rPr>
          <w:lang w:val="en-GB"/>
        </w:rPr>
        <w:t>effectively exclude</w:t>
      </w:r>
      <w:r w:rsidR="00B0530C" w:rsidRPr="00140BF5">
        <w:rPr>
          <w:lang w:val="en-GB"/>
        </w:rPr>
        <w:t>d</w:t>
      </w:r>
      <w:r w:rsidRPr="00140BF5">
        <w:rPr>
          <w:lang w:val="en-GB"/>
        </w:rPr>
        <w:t xml:space="preserve"> workers from </w:t>
      </w:r>
      <w:r w:rsidR="00B87153" w:rsidRPr="00140BF5">
        <w:rPr>
          <w:lang w:val="en-GB"/>
        </w:rPr>
        <w:t>joint regulation</w:t>
      </w:r>
      <w:r w:rsidRPr="00140BF5">
        <w:rPr>
          <w:lang w:val="en-GB"/>
        </w:rPr>
        <w:t xml:space="preserve">. </w:t>
      </w:r>
      <w:r w:rsidR="000D01BF" w:rsidRPr="00140BF5">
        <w:rPr>
          <w:lang w:val="en-GB"/>
        </w:rPr>
        <w:t>O</w:t>
      </w:r>
      <w:r w:rsidR="00D663D7" w:rsidRPr="00140BF5">
        <w:rPr>
          <w:lang w:val="en-GB"/>
        </w:rPr>
        <w:t>ther</w:t>
      </w:r>
      <w:r w:rsidR="00B87153" w:rsidRPr="00140BF5">
        <w:rPr>
          <w:lang w:val="en-GB"/>
        </w:rPr>
        <w:t>s</w:t>
      </w:r>
      <w:r w:rsidR="00D663D7" w:rsidRPr="00140BF5">
        <w:rPr>
          <w:lang w:val="en-GB"/>
        </w:rPr>
        <w:t xml:space="preserve"> argue </w:t>
      </w:r>
      <w:r w:rsidRPr="00140BF5">
        <w:rPr>
          <w:rFonts w:cs="Garamond"/>
          <w:lang w:val="en-GB"/>
        </w:rPr>
        <w:t xml:space="preserve">that the </w:t>
      </w:r>
      <w:r w:rsidR="00B0530C" w:rsidRPr="00140BF5">
        <w:rPr>
          <w:rFonts w:cs="Garamond"/>
          <w:lang w:val="en-GB"/>
        </w:rPr>
        <w:t xml:space="preserve">gradual </w:t>
      </w:r>
      <w:r w:rsidR="00140BF5">
        <w:rPr>
          <w:rFonts w:cs="Garamond"/>
          <w:lang w:val="en-GB"/>
        </w:rPr>
        <w:t>‘marketis</w:t>
      </w:r>
      <w:r w:rsidRPr="00140BF5">
        <w:rPr>
          <w:rFonts w:cs="Garamond"/>
          <w:lang w:val="en-GB"/>
        </w:rPr>
        <w:t xml:space="preserve">ation’ of regulatory functions </w:t>
      </w:r>
      <w:r w:rsidR="00B0530C" w:rsidRPr="00140BF5">
        <w:rPr>
          <w:rFonts w:cs="Garamond"/>
          <w:lang w:val="en-GB"/>
        </w:rPr>
        <w:t>has reinforced</w:t>
      </w:r>
      <w:r w:rsidR="00273A57" w:rsidRPr="00140BF5">
        <w:rPr>
          <w:rFonts w:cs="Garamond"/>
          <w:lang w:val="en-GB"/>
        </w:rPr>
        <w:t xml:space="preserve"> the position of capital </w:t>
      </w:r>
      <w:r w:rsidR="00D663D7" w:rsidRPr="00140BF5">
        <w:rPr>
          <w:rFonts w:cs="Garamond"/>
          <w:lang w:val="en-GB"/>
        </w:rPr>
        <w:t>(MacKenzie</w:t>
      </w:r>
      <w:r w:rsidR="009316DB" w:rsidRPr="00140BF5">
        <w:rPr>
          <w:rFonts w:cs="Garamond"/>
          <w:lang w:val="en-GB"/>
        </w:rPr>
        <w:t xml:space="preserve"> and </w:t>
      </w:r>
      <w:r w:rsidR="00D663D7" w:rsidRPr="00140BF5">
        <w:rPr>
          <w:rFonts w:cs="Garamond"/>
          <w:lang w:val="en-GB"/>
        </w:rPr>
        <w:t>Martinez-Lucio</w:t>
      </w:r>
      <w:r w:rsidR="000D23E5" w:rsidRPr="00140BF5">
        <w:rPr>
          <w:rFonts w:cs="Garamond"/>
          <w:lang w:val="en-GB"/>
        </w:rPr>
        <w:t>,</w:t>
      </w:r>
      <w:r w:rsidR="00D663D7" w:rsidRPr="00140BF5">
        <w:rPr>
          <w:rFonts w:cs="Garamond"/>
          <w:lang w:val="en-GB"/>
        </w:rPr>
        <w:t xml:space="preserve"> 2004), not least </w:t>
      </w:r>
      <w:r w:rsidR="00766474" w:rsidRPr="00140BF5">
        <w:rPr>
          <w:rFonts w:cs="Garamond"/>
          <w:lang w:val="en-GB"/>
        </w:rPr>
        <w:t xml:space="preserve">as </w:t>
      </w:r>
      <w:r w:rsidR="00273A57" w:rsidRPr="00140BF5">
        <w:rPr>
          <w:rFonts w:cs="Garamond"/>
          <w:lang w:val="en-GB"/>
        </w:rPr>
        <w:t>process</w:t>
      </w:r>
      <w:r w:rsidR="00766474" w:rsidRPr="00140BF5">
        <w:rPr>
          <w:rFonts w:cs="Garamond"/>
          <w:lang w:val="en-GB"/>
        </w:rPr>
        <w:t>es</w:t>
      </w:r>
      <w:r w:rsidR="00273A57" w:rsidRPr="00140BF5">
        <w:rPr>
          <w:rFonts w:cs="Garamond"/>
          <w:lang w:val="en-GB"/>
        </w:rPr>
        <w:t xml:space="preserve"> of decision making</w:t>
      </w:r>
      <w:r w:rsidRPr="00140BF5">
        <w:rPr>
          <w:rFonts w:cs="Garamond"/>
          <w:lang w:val="en-GB"/>
        </w:rPr>
        <w:t xml:space="preserve"> </w:t>
      </w:r>
      <w:r w:rsidR="00B0530C" w:rsidRPr="00140BF5">
        <w:rPr>
          <w:rFonts w:cs="Garamond"/>
          <w:lang w:val="en-GB"/>
        </w:rPr>
        <w:t>are increasingly</w:t>
      </w:r>
      <w:r w:rsidR="00766474" w:rsidRPr="00140BF5">
        <w:rPr>
          <w:rFonts w:cs="Garamond"/>
          <w:lang w:val="en-GB"/>
        </w:rPr>
        <w:t xml:space="preserve"> </w:t>
      </w:r>
      <w:r w:rsidR="00273A57" w:rsidRPr="00140BF5">
        <w:rPr>
          <w:rFonts w:cs="Garamond"/>
          <w:lang w:val="en-GB"/>
        </w:rPr>
        <w:t>‘</w:t>
      </w:r>
      <w:r w:rsidRPr="00140BF5">
        <w:rPr>
          <w:rFonts w:cs="Garamond"/>
          <w:lang w:val="en-GB"/>
        </w:rPr>
        <w:t>sealed off</w:t>
      </w:r>
      <w:r w:rsidR="00273A57" w:rsidRPr="00140BF5">
        <w:rPr>
          <w:rFonts w:cs="Garamond"/>
          <w:lang w:val="en-GB"/>
        </w:rPr>
        <w:t>’</w:t>
      </w:r>
      <w:r w:rsidRPr="00140BF5">
        <w:rPr>
          <w:rFonts w:cs="Garamond"/>
          <w:lang w:val="en-GB"/>
        </w:rPr>
        <w:t xml:space="preserve"> from </w:t>
      </w:r>
      <w:r w:rsidR="00E11139" w:rsidRPr="00140BF5">
        <w:rPr>
          <w:rFonts w:cs="Garamond"/>
          <w:lang w:val="en-GB"/>
        </w:rPr>
        <w:t xml:space="preserve">public </w:t>
      </w:r>
      <w:r w:rsidR="00273A57" w:rsidRPr="00140BF5">
        <w:rPr>
          <w:lang w:val="en-GB"/>
        </w:rPr>
        <w:t>scrutiny and social influence</w:t>
      </w:r>
      <w:r w:rsidR="00D663D7" w:rsidRPr="00140BF5">
        <w:rPr>
          <w:lang w:val="en-GB"/>
        </w:rPr>
        <w:t xml:space="preserve"> (Greer</w:t>
      </w:r>
      <w:r w:rsidR="00C97D86" w:rsidRPr="00140BF5">
        <w:rPr>
          <w:lang w:val="en-GB"/>
        </w:rPr>
        <w:t xml:space="preserve"> </w:t>
      </w:r>
      <w:r w:rsidR="009316DB" w:rsidRPr="00140BF5">
        <w:rPr>
          <w:lang w:val="en-GB"/>
        </w:rPr>
        <w:t xml:space="preserve">and </w:t>
      </w:r>
      <w:r w:rsidR="00D663D7" w:rsidRPr="00140BF5">
        <w:rPr>
          <w:lang w:val="en-GB"/>
        </w:rPr>
        <w:t>Doellgast</w:t>
      </w:r>
      <w:r w:rsidR="000D23E5" w:rsidRPr="00140BF5">
        <w:rPr>
          <w:lang w:val="en-GB"/>
        </w:rPr>
        <w:t>,</w:t>
      </w:r>
      <w:r w:rsidR="00D663D7" w:rsidRPr="00140BF5">
        <w:rPr>
          <w:lang w:val="en-GB"/>
        </w:rPr>
        <w:t xml:space="preserve"> 2017)</w:t>
      </w:r>
      <w:r w:rsidRPr="00140BF5">
        <w:rPr>
          <w:rFonts w:cs="Garamond"/>
          <w:lang w:val="en-GB"/>
        </w:rPr>
        <w:t xml:space="preserve">. </w:t>
      </w:r>
      <w:r w:rsidR="006E1127" w:rsidRPr="00140BF5">
        <w:rPr>
          <w:rFonts w:cs="Garamond"/>
          <w:lang w:val="en-GB"/>
        </w:rPr>
        <w:t xml:space="preserve">Furthermore, </w:t>
      </w:r>
      <w:r w:rsidR="000B5D78" w:rsidRPr="00140BF5">
        <w:rPr>
          <w:rFonts w:cs="Garamond"/>
          <w:lang w:val="en-GB"/>
        </w:rPr>
        <w:t>the ambiguities surrounding procurement law and the increasing multiplicity of goals attached to public procurement may limit the ability of administrators</w:t>
      </w:r>
      <w:r w:rsidR="0020174B" w:rsidRPr="00140BF5">
        <w:rPr>
          <w:rFonts w:cs="Garamond"/>
          <w:lang w:val="en-GB"/>
        </w:rPr>
        <w:t xml:space="preserve"> and policy</w:t>
      </w:r>
      <w:r w:rsidR="00453857" w:rsidRPr="00140BF5">
        <w:rPr>
          <w:rFonts w:cs="Garamond"/>
          <w:lang w:val="en-GB"/>
        </w:rPr>
        <w:t>-</w:t>
      </w:r>
      <w:r w:rsidR="0020174B" w:rsidRPr="00140BF5">
        <w:rPr>
          <w:rFonts w:cs="Garamond"/>
          <w:lang w:val="en-GB"/>
        </w:rPr>
        <w:t>makers</w:t>
      </w:r>
      <w:r w:rsidR="000B5D78" w:rsidRPr="00140BF5">
        <w:rPr>
          <w:rFonts w:cs="Garamond"/>
          <w:lang w:val="en-GB"/>
        </w:rPr>
        <w:t xml:space="preserve"> to prioritise one set of considerations (such as working conditions) over another (such as support for SMEs, see </w:t>
      </w:r>
      <w:r w:rsidR="000B5D78" w:rsidRPr="00140BF5">
        <w:rPr>
          <w:rStyle w:val="st"/>
          <w:lang w:val="en-GB"/>
        </w:rPr>
        <w:t>Arrowsmith and Kunzlik</w:t>
      </w:r>
      <w:r w:rsidR="000D23E5" w:rsidRPr="00140BF5">
        <w:rPr>
          <w:rStyle w:val="st"/>
          <w:lang w:val="en-GB"/>
        </w:rPr>
        <w:t>,</w:t>
      </w:r>
      <w:r w:rsidR="000B5D78" w:rsidRPr="00140BF5">
        <w:rPr>
          <w:rStyle w:val="st"/>
          <w:lang w:val="en-GB"/>
        </w:rPr>
        <w:t xml:space="preserve"> 2009).</w:t>
      </w:r>
    </w:p>
    <w:p w14:paraId="62B51652" w14:textId="6B0A7171" w:rsidR="00FE6F31" w:rsidRPr="00140BF5" w:rsidRDefault="001366B8" w:rsidP="0011084D">
      <w:pPr>
        <w:shd w:val="clear" w:color="auto" w:fill="FFFFFF" w:themeFill="background1"/>
        <w:spacing w:line="480" w:lineRule="auto"/>
        <w:jc w:val="both"/>
        <w:rPr>
          <w:lang w:val="en-GB"/>
        </w:rPr>
      </w:pPr>
      <w:r w:rsidRPr="00140BF5">
        <w:rPr>
          <w:lang w:val="en-GB"/>
        </w:rPr>
        <w:t xml:space="preserve">The </w:t>
      </w:r>
      <w:r w:rsidR="000D1ECD" w:rsidRPr="00140BF5">
        <w:rPr>
          <w:lang w:val="en-GB"/>
        </w:rPr>
        <w:t>final (and perhaps most practical) challenge</w:t>
      </w:r>
      <w:r w:rsidRPr="00140BF5">
        <w:rPr>
          <w:lang w:val="en-GB"/>
        </w:rPr>
        <w:t xml:space="preserve"> is the</w:t>
      </w:r>
      <w:r w:rsidR="008869C4" w:rsidRPr="00140BF5">
        <w:rPr>
          <w:lang w:val="en-GB"/>
        </w:rPr>
        <w:t xml:space="preserve"> continued</w:t>
      </w:r>
      <w:r w:rsidRPr="00140BF5">
        <w:rPr>
          <w:lang w:val="en-GB"/>
        </w:rPr>
        <w:t xml:space="preserve"> </w:t>
      </w:r>
      <w:r w:rsidR="000D1ECD" w:rsidRPr="00140BF5">
        <w:rPr>
          <w:lang w:val="en-GB"/>
        </w:rPr>
        <w:t>pressure to reduce costs by</w:t>
      </w:r>
      <w:r w:rsidRPr="00140BF5">
        <w:rPr>
          <w:lang w:val="en-GB"/>
        </w:rPr>
        <w:t xml:space="preserve"> outsourcing</w:t>
      </w:r>
      <w:r w:rsidR="00D748B3" w:rsidRPr="00140BF5">
        <w:rPr>
          <w:lang w:val="en-GB"/>
        </w:rPr>
        <w:t xml:space="preserve"> which reflects a pervasive belief among national policy</w:t>
      </w:r>
      <w:r w:rsidR="00654C0C" w:rsidRPr="00140BF5">
        <w:rPr>
          <w:lang w:val="en-GB"/>
        </w:rPr>
        <w:t>-</w:t>
      </w:r>
      <w:r w:rsidR="00D748B3" w:rsidRPr="00140BF5">
        <w:rPr>
          <w:lang w:val="en-GB"/>
        </w:rPr>
        <w:t xml:space="preserve">makers that the private sector is inherently more </w:t>
      </w:r>
      <w:r w:rsidR="000D23E5" w:rsidRPr="00140BF5">
        <w:rPr>
          <w:lang w:val="en-GB"/>
        </w:rPr>
        <w:t>cost-</w:t>
      </w:r>
      <w:r w:rsidR="00D748B3" w:rsidRPr="00140BF5">
        <w:rPr>
          <w:lang w:val="en-GB"/>
        </w:rPr>
        <w:t>efficient (Peters</w:t>
      </w:r>
      <w:r w:rsidR="000D23E5" w:rsidRPr="00140BF5">
        <w:rPr>
          <w:lang w:val="en-GB"/>
        </w:rPr>
        <w:t>,</w:t>
      </w:r>
      <w:r w:rsidR="00D748B3" w:rsidRPr="00140BF5">
        <w:rPr>
          <w:lang w:val="en-GB"/>
        </w:rPr>
        <w:t xml:space="preserve"> 2012)</w:t>
      </w:r>
      <w:r w:rsidR="008869C4" w:rsidRPr="00140BF5">
        <w:rPr>
          <w:lang w:val="en-GB"/>
        </w:rPr>
        <w:t xml:space="preserve">. </w:t>
      </w:r>
      <w:r w:rsidR="003E6054" w:rsidRPr="00140BF5">
        <w:rPr>
          <w:lang w:val="en-GB"/>
        </w:rPr>
        <w:t>T</w:t>
      </w:r>
      <w:r w:rsidR="006F724C" w:rsidRPr="00140BF5">
        <w:rPr>
          <w:lang w:val="en-GB"/>
        </w:rPr>
        <w:t xml:space="preserve">he </w:t>
      </w:r>
      <w:r w:rsidR="009646C8" w:rsidRPr="00140BF5">
        <w:rPr>
          <w:lang w:val="en-GB"/>
        </w:rPr>
        <w:t xml:space="preserve">heavy </w:t>
      </w:r>
      <w:r w:rsidR="006F724C" w:rsidRPr="00140BF5">
        <w:rPr>
          <w:lang w:val="en-GB"/>
        </w:rPr>
        <w:t xml:space="preserve">pressure of fiscal austerity </w:t>
      </w:r>
      <w:r w:rsidR="009646C8" w:rsidRPr="00140BF5">
        <w:rPr>
          <w:lang w:val="en-GB"/>
        </w:rPr>
        <w:t xml:space="preserve">on local government in many European countries is </w:t>
      </w:r>
      <w:r w:rsidR="006F724C" w:rsidRPr="00140BF5">
        <w:rPr>
          <w:lang w:val="en-GB"/>
        </w:rPr>
        <w:t>likely to curtai</w:t>
      </w:r>
      <w:r w:rsidR="008869C4" w:rsidRPr="00140BF5">
        <w:rPr>
          <w:lang w:val="en-GB"/>
        </w:rPr>
        <w:t>l</w:t>
      </w:r>
      <w:r w:rsidR="006F724C" w:rsidRPr="00140BF5">
        <w:rPr>
          <w:lang w:val="en-GB"/>
        </w:rPr>
        <w:t xml:space="preserve"> </w:t>
      </w:r>
      <w:r w:rsidRPr="00140BF5">
        <w:rPr>
          <w:lang w:val="en-GB"/>
        </w:rPr>
        <w:t xml:space="preserve">the ambition of </w:t>
      </w:r>
      <w:r w:rsidR="00654C0C" w:rsidRPr="00140BF5">
        <w:rPr>
          <w:lang w:val="en-GB"/>
        </w:rPr>
        <w:t xml:space="preserve">local </w:t>
      </w:r>
      <w:r w:rsidR="009646C8" w:rsidRPr="00140BF5">
        <w:rPr>
          <w:lang w:val="en-GB"/>
        </w:rPr>
        <w:t>councils</w:t>
      </w:r>
      <w:r w:rsidRPr="00140BF5">
        <w:rPr>
          <w:lang w:val="en-GB"/>
        </w:rPr>
        <w:t xml:space="preserve"> to act in pursuit of </w:t>
      </w:r>
      <w:r w:rsidR="000D31EA" w:rsidRPr="00140BF5">
        <w:rPr>
          <w:lang w:val="en-GB"/>
        </w:rPr>
        <w:t>social goals</w:t>
      </w:r>
      <w:r w:rsidR="00EA3654" w:rsidRPr="00140BF5">
        <w:rPr>
          <w:lang w:val="en-GB"/>
        </w:rPr>
        <w:t xml:space="preserve"> where it incurs additional costs (</w:t>
      </w:r>
      <w:r w:rsidR="004808F4">
        <w:rPr>
          <w:lang w:val="en-GB"/>
        </w:rPr>
        <w:t>Grimshaw</w:t>
      </w:r>
      <w:r w:rsidR="00A46819" w:rsidRPr="00140BF5">
        <w:rPr>
          <w:lang w:val="en-GB"/>
        </w:rPr>
        <w:t>.</w:t>
      </w:r>
      <w:r w:rsidR="00EA3654" w:rsidRPr="00140BF5">
        <w:rPr>
          <w:lang w:val="en-GB"/>
        </w:rPr>
        <w:t xml:space="preserve"> et al.</w:t>
      </w:r>
      <w:r w:rsidR="000D23E5" w:rsidRPr="00140BF5">
        <w:rPr>
          <w:lang w:val="en-GB"/>
        </w:rPr>
        <w:t>,</w:t>
      </w:r>
      <w:r w:rsidR="00EA3654" w:rsidRPr="00140BF5">
        <w:rPr>
          <w:lang w:val="en-GB"/>
        </w:rPr>
        <w:t xml:space="preserve"> 2016</w:t>
      </w:r>
      <w:r w:rsidR="009646C8" w:rsidRPr="00140BF5">
        <w:rPr>
          <w:lang w:val="en-GB"/>
        </w:rPr>
        <w:t>)</w:t>
      </w:r>
      <w:r w:rsidRPr="00140BF5">
        <w:rPr>
          <w:lang w:val="en-GB"/>
        </w:rPr>
        <w:t>.</w:t>
      </w:r>
    </w:p>
    <w:p w14:paraId="582636C2" w14:textId="77777777" w:rsidR="00FE6F31" w:rsidRPr="00140BF5" w:rsidRDefault="00FE6F31" w:rsidP="0011084D">
      <w:pPr>
        <w:shd w:val="clear" w:color="auto" w:fill="FFFFFF" w:themeFill="background1"/>
        <w:spacing w:line="480" w:lineRule="auto"/>
        <w:jc w:val="both"/>
        <w:rPr>
          <w:lang w:val="en-GB"/>
        </w:rPr>
      </w:pPr>
    </w:p>
    <w:p w14:paraId="4D0F8AB1" w14:textId="77777777" w:rsidR="00ED0A93" w:rsidRPr="00140BF5" w:rsidRDefault="00ED0A93" w:rsidP="0011084D">
      <w:pPr>
        <w:shd w:val="clear" w:color="auto" w:fill="FFFFFF" w:themeFill="background1"/>
        <w:spacing w:line="480" w:lineRule="auto"/>
        <w:jc w:val="both"/>
        <w:rPr>
          <w:i/>
          <w:lang w:val="en-GB"/>
        </w:rPr>
      </w:pPr>
      <w:r w:rsidRPr="00140BF5">
        <w:rPr>
          <w:i/>
          <w:lang w:val="en-GB"/>
        </w:rPr>
        <w:t xml:space="preserve">The use of labour clauses in different </w:t>
      </w:r>
      <w:r w:rsidR="00DB1F6A" w:rsidRPr="00140BF5">
        <w:rPr>
          <w:i/>
          <w:lang w:val="en-GB"/>
        </w:rPr>
        <w:t>institutional</w:t>
      </w:r>
      <w:r w:rsidRPr="00140BF5">
        <w:rPr>
          <w:i/>
          <w:lang w:val="en-GB"/>
        </w:rPr>
        <w:t xml:space="preserve"> contexts</w:t>
      </w:r>
      <w:r w:rsidR="00983CF0" w:rsidRPr="00140BF5">
        <w:rPr>
          <w:i/>
          <w:lang w:val="en-GB"/>
        </w:rPr>
        <w:t>:</w:t>
      </w:r>
      <w:r w:rsidR="0097076E" w:rsidRPr="00140BF5">
        <w:rPr>
          <w:i/>
          <w:lang w:val="en-GB"/>
        </w:rPr>
        <w:t xml:space="preserve"> compensatory and complementary roles</w:t>
      </w:r>
    </w:p>
    <w:p w14:paraId="68487673" w14:textId="038938BD" w:rsidR="008869C4" w:rsidRPr="00140BF5" w:rsidRDefault="00B14031" w:rsidP="002E6E78">
      <w:pPr>
        <w:shd w:val="clear" w:color="auto" w:fill="FFFFFF" w:themeFill="background1"/>
        <w:spacing w:line="480" w:lineRule="auto"/>
        <w:jc w:val="both"/>
        <w:rPr>
          <w:lang w:val="en-GB"/>
        </w:rPr>
      </w:pPr>
      <w:r w:rsidRPr="00140BF5">
        <w:rPr>
          <w:lang w:val="en-GB"/>
        </w:rPr>
        <w:t xml:space="preserve">The </w:t>
      </w:r>
      <w:r w:rsidR="004047C6" w:rsidRPr="00140BF5">
        <w:rPr>
          <w:lang w:val="en-GB"/>
        </w:rPr>
        <w:t xml:space="preserve">factors identified above </w:t>
      </w:r>
      <w:r w:rsidR="00FF37CE" w:rsidRPr="00140BF5">
        <w:rPr>
          <w:lang w:val="en-GB"/>
        </w:rPr>
        <w:t>amount</w:t>
      </w:r>
      <w:r w:rsidR="004047C6" w:rsidRPr="00140BF5">
        <w:rPr>
          <w:lang w:val="en-GB"/>
        </w:rPr>
        <w:t xml:space="preserve"> to a rather unfavorable setting for the implementation of market-correcting regulations in public </w:t>
      </w:r>
      <w:r w:rsidR="00DE1A22" w:rsidRPr="00140BF5">
        <w:rPr>
          <w:lang w:val="en-GB"/>
        </w:rPr>
        <w:t>procurement</w:t>
      </w:r>
      <w:r w:rsidR="004047C6" w:rsidRPr="00140BF5">
        <w:rPr>
          <w:lang w:val="en-GB"/>
        </w:rPr>
        <w:t>.</w:t>
      </w:r>
      <w:r w:rsidR="005D6DFC" w:rsidRPr="00140BF5">
        <w:rPr>
          <w:lang w:val="en-GB"/>
        </w:rPr>
        <w:t xml:space="preserve"> </w:t>
      </w:r>
      <w:r w:rsidRPr="00140BF5">
        <w:rPr>
          <w:lang w:val="en-GB"/>
        </w:rPr>
        <w:t>Despite these challenges</w:t>
      </w:r>
      <w:r w:rsidR="00120EC7" w:rsidRPr="00140BF5">
        <w:rPr>
          <w:lang w:val="en-GB"/>
        </w:rPr>
        <w:t xml:space="preserve">, </w:t>
      </w:r>
      <w:r w:rsidR="00654C0C" w:rsidRPr="00140BF5">
        <w:rPr>
          <w:lang w:val="en-GB"/>
        </w:rPr>
        <w:t xml:space="preserve">labour </w:t>
      </w:r>
      <w:r w:rsidR="002645FF" w:rsidRPr="00140BF5">
        <w:rPr>
          <w:lang w:val="en-GB"/>
        </w:rPr>
        <w:t xml:space="preserve">clauses </w:t>
      </w:r>
      <w:r w:rsidR="00AC6790" w:rsidRPr="00140BF5">
        <w:rPr>
          <w:lang w:val="en-GB"/>
        </w:rPr>
        <w:t xml:space="preserve">were </w:t>
      </w:r>
      <w:r w:rsidR="00C57E2A" w:rsidRPr="00140BF5">
        <w:rPr>
          <w:lang w:val="en-GB"/>
        </w:rPr>
        <w:t xml:space="preserve">well-established mechanism of regulating wages in supply chains </w:t>
      </w:r>
      <w:r w:rsidR="00E92E7E" w:rsidRPr="00140BF5">
        <w:rPr>
          <w:lang w:val="en-GB"/>
        </w:rPr>
        <w:t xml:space="preserve">in sectors such </w:t>
      </w:r>
      <w:r w:rsidR="00FF37CE" w:rsidRPr="00140BF5">
        <w:rPr>
          <w:lang w:val="en-GB"/>
        </w:rPr>
        <w:t>as</w:t>
      </w:r>
      <w:r w:rsidR="002645FF" w:rsidRPr="00140BF5">
        <w:rPr>
          <w:lang w:val="en-GB"/>
        </w:rPr>
        <w:t xml:space="preserve"> construction</w:t>
      </w:r>
      <w:r w:rsidR="00AC6790" w:rsidRPr="00140BF5">
        <w:rPr>
          <w:lang w:val="en-GB"/>
        </w:rPr>
        <w:t>,</w:t>
      </w:r>
      <w:r w:rsidR="00E92E7E" w:rsidRPr="00140BF5">
        <w:rPr>
          <w:lang w:val="en-GB"/>
        </w:rPr>
        <w:t xml:space="preserve"> dating back to the</w:t>
      </w:r>
      <w:r w:rsidR="005D6DFC" w:rsidRPr="00140BF5">
        <w:rPr>
          <w:lang w:val="en-GB"/>
        </w:rPr>
        <w:t xml:space="preserve"> 19</w:t>
      </w:r>
      <w:r w:rsidR="005D6DFC" w:rsidRPr="00140BF5">
        <w:rPr>
          <w:vertAlign w:val="superscript"/>
          <w:lang w:val="en-GB"/>
        </w:rPr>
        <w:t>th</w:t>
      </w:r>
      <w:r w:rsidR="005D6DFC" w:rsidRPr="00140BF5">
        <w:rPr>
          <w:lang w:val="en-GB"/>
        </w:rPr>
        <w:t xml:space="preserve"> century</w:t>
      </w:r>
      <w:r w:rsidR="00FF37CE" w:rsidRPr="00140BF5">
        <w:rPr>
          <w:lang w:val="en-GB"/>
        </w:rPr>
        <w:t xml:space="preserve"> </w:t>
      </w:r>
      <w:r w:rsidR="00654C0C" w:rsidRPr="00140BF5">
        <w:rPr>
          <w:lang w:val="en-GB"/>
        </w:rPr>
        <w:t>(McCrudden</w:t>
      </w:r>
      <w:r w:rsidRPr="00140BF5">
        <w:rPr>
          <w:lang w:val="en-GB"/>
        </w:rPr>
        <w:t>,</w:t>
      </w:r>
      <w:r w:rsidR="00654C0C" w:rsidRPr="00140BF5">
        <w:rPr>
          <w:lang w:val="en-GB"/>
        </w:rPr>
        <w:t xml:space="preserve"> 2007</w:t>
      </w:r>
      <w:r w:rsidRPr="00140BF5">
        <w:rPr>
          <w:lang w:val="en-GB"/>
        </w:rPr>
        <w:t>;</w:t>
      </w:r>
      <w:r w:rsidR="00E92E7E" w:rsidRPr="00140BF5">
        <w:rPr>
          <w:lang w:val="en-GB"/>
        </w:rPr>
        <w:t xml:space="preserve"> Cunningham and James</w:t>
      </w:r>
      <w:r w:rsidRPr="00140BF5">
        <w:rPr>
          <w:lang w:val="en-GB"/>
        </w:rPr>
        <w:t>,</w:t>
      </w:r>
      <w:r w:rsidR="00E92E7E" w:rsidRPr="00140BF5">
        <w:rPr>
          <w:lang w:val="en-GB"/>
        </w:rPr>
        <w:t xml:space="preserve"> 2016). What is of particular interest for the current research is how </w:t>
      </w:r>
      <w:r w:rsidR="00654C0C" w:rsidRPr="00140BF5">
        <w:rPr>
          <w:szCs w:val="28"/>
          <w:lang w:val="en-GB"/>
        </w:rPr>
        <w:t xml:space="preserve">local </w:t>
      </w:r>
      <w:r w:rsidR="006F316A" w:rsidRPr="00140BF5">
        <w:rPr>
          <w:szCs w:val="28"/>
          <w:lang w:val="en-GB"/>
        </w:rPr>
        <w:t xml:space="preserve">authorities </w:t>
      </w:r>
      <w:r w:rsidR="0092405E" w:rsidRPr="00140BF5">
        <w:rPr>
          <w:szCs w:val="28"/>
          <w:lang w:val="en-GB"/>
        </w:rPr>
        <w:t xml:space="preserve">across countries with diverse systems of employment regulation have </w:t>
      </w:r>
      <w:r w:rsidR="00BC4B5A" w:rsidRPr="00140BF5">
        <w:rPr>
          <w:szCs w:val="28"/>
          <w:lang w:val="en-GB"/>
        </w:rPr>
        <w:t>invoked</w:t>
      </w:r>
      <w:r w:rsidR="0092405E" w:rsidRPr="00140BF5">
        <w:rPr>
          <w:szCs w:val="28"/>
          <w:lang w:val="en-GB"/>
        </w:rPr>
        <w:t xml:space="preserve"> labour clauses for </w:t>
      </w:r>
      <w:r w:rsidR="00120EC7" w:rsidRPr="00140BF5">
        <w:rPr>
          <w:szCs w:val="28"/>
          <w:lang w:val="en-GB"/>
        </w:rPr>
        <w:t xml:space="preserve">a wider range of </w:t>
      </w:r>
      <w:r w:rsidR="0092405E" w:rsidRPr="00140BF5">
        <w:rPr>
          <w:szCs w:val="28"/>
          <w:lang w:val="en-GB"/>
        </w:rPr>
        <w:t>services such as catering, cleaning, care work, prison and probation services</w:t>
      </w:r>
      <w:r w:rsidR="00832936" w:rsidRPr="00140BF5">
        <w:rPr>
          <w:szCs w:val="28"/>
          <w:lang w:val="en-GB"/>
        </w:rPr>
        <w:t xml:space="preserve"> in challenging </w:t>
      </w:r>
      <w:r w:rsidR="00583C63" w:rsidRPr="00140BF5">
        <w:rPr>
          <w:szCs w:val="28"/>
          <w:lang w:val="en-GB"/>
        </w:rPr>
        <w:t xml:space="preserve">financial and legal </w:t>
      </w:r>
      <w:r w:rsidR="00832936" w:rsidRPr="00140BF5">
        <w:rPr>
          <w:szCs w:val="28"/>
          <w:lang w:val="en-GB"/>
        </w:rPr>
        <w:t>conditions</w:t>
      </w:r>
      <w:r w:rsidR="0092405E" w:rsidRPr="00140BF5">
        <w:rPr>
          <w:szCs w:val="28"/>
          <w:lang w:val="en-GB"/>
        </w:rPr>
        <w:t xml:space="preserve"> (Holley et al.</w:t>
      </w:r>
      <w:r w:rsidR="00A77D6B" w:rsidRPr="00140BF5">
        <w:rPr>
          <w:szCs w:val="28"/>
          <w:lang w:val="en-GB"/>
        </w:rPr>
        <w:t>,</w:t>
      </w:r>
      <w:r w:rsidR="0092405E" w:rsidRPr="00140BF5">
        <w:rPr>
          <w:szCs w:val="28"/>
          <w:lang w:val="en-GB"/>
        </w:rPr>
        <w:t xml:space="preserve"> 2015; Ludlow</w:t>
      </w:r>
      <w:r w:rsidR="00A77D6B" w:rsidRPr="00140BF5">
        <w:rPr>
          <w:szCs w:val="28"/>
          <w:lang w:val="en-GB"/>
        </w:rPr>
        <w:t>,</w:t>
      </w:r>
      <w:r w:rsidR="0092405E" w:rsidRPr="00140BF5">
        <w:rPr>
          <w:szCs w:val="28"/>
          <w:lang w:val="en-GB"/>
        </w:rPr>
        <w:t xml:space="preserve"> 2015; </w:t>
      </w:r>
      <w:r w:rsidR="004808F4">
        <w:rPr>
          <w:szCs w:val="28"/>
          <w:lang w:val="en-GB"/>
        </w:rPr>
        <w:t>Jaehrling</w:t>
      </w:r>
      <w:r w:rsidR="0092405E" w:rsidRPr="00140BF5">
        <w:rPr>
          <w:szCs w:val="28"/>
          <w:lang w:val="en-GB"/>
        </w:rPr>
        <w:t xml:space="preserve"> et al.</w:t>
      </w:r>
      <w:r w:rsidR="00A77D6B" w:rsidRPr="00140BF5">
        <w:rPr>
          <w:szCs w:val="28"/>
          <w:lang w:val="en-GB"/>
        </w:rPr>
        <w:t>,</w:t>
      </w:r>
      <w:r w:rsidR="0092405E" w:rsidRPr="00140BF5">
        <w:rPr>
          <w:szCs w:val="28"/>
          <w:lang w:val="en-GB"/>
        </w:rPr>
        <w:t xml:space="preserve"> 2015; Ravenswood and Kaine</w:t>
      </w:r>
      <w:r w:rsidR="00A77D6B" w:rsidRPr="00140BF5">
        <w:rPr>
          <w:szCs w:val="28"/>
          <w:lang w:val="en-GB"/>
        </w:rPr>
        <w:t>,</w:t>
      </w:r>
      <w:r w:rsidR="0092405E" w:rsidRPr="00140BF5">
        <w:rPr>
          <w:szCs w:val="28"/>
          <w:lang w:val="en-GB"/>
        </w:rPr>
        <w:t xml:space="preserve"> 2015).</w:t>
      </w:r>
      <w:r w:rsidR="000B465F" w:rsidRPr="00140BF5">
        <w:rPr>
          <w:szCs w:val="28"/>
          <w:lang w:val="en-GB"/>
        </w:rPr>
        <w:t xml:space="preserve"> Within the EU, </w:t>
      </w:r>
      <w:r w:rsidR="000B465F" w:rsidRPr="00140BF5">
        <w:rPr>
          <w:lang w:val="en-GB"/>
        </w:rPr>
        <w:t xml:space="preserve">these </w:t>
      </w:r>
      <w:r w:rsidR="00BC4B5A" w:rsidRPr="00140BF5">
        <w:rPr>
          <w:lang w:val="en-GB"/>
        </w:rPr>
        <w:t>attempts to reassert labour clauses</w:t>
      </w:r>
      <w:r w:rsidR="000B465F" w:rsidRPr="00140BF5">
        <w:rPr>
          <w:lang w:val="en-GB"/>
        </w:rPr>
        <w:t xml:space="preserve"> operate from within the (admittedly broad) interpretation of </w:t>
      </w:r>
      <w:r w:rsidR="00654C0C" w:rsidRPr="00140BF5">
        <w:rPr>
          <w:lang w:val="en-GB"/>
        </w:rPr>
        <w:t xml:space="preserve">the </w:t>
      </w:r>
      <w:r w:rsidR="000B465F" w:rsidRPr="00140BF5">
        <w:rPr>
          <w:lang w:val="en-GB"/>
        </w:rPr>
        <w:t>existing EU procurement directives</w:t>
      </w:r>
      <w:r w:rsidR="00BC4B5A" w:rsidRPr="00140BF5">
        <w:rPr>
          <w:lang w:val="en-GB"/>
        </w:rPr>
        <w:t xml:space="preserve"> (McCrudden 2011)</w:t>
      </w:r>
      <w:r w:rsidR="00F54F38" w:rsidRPr="00140BF5">
        <w:rPr>
          <w:lang w:val="en-GB"/>
        </w:rPr>
        <w:t xml:space="preserve">. </w:t>
      </w:r>
      <w:r w:rsidR="002E6E78" w:rsidRPr="00140BF5">
        <w:rPr>
          <w:lang w:val="en-GB"/>
        </w:rPr>
        <w:t>D</w:t>
      </w:r>
      <w:r w:rsidR="008869C4" w:rsidRPr="00140BF5">
        <w:rPr>
          <w:lang w:val="en-GB"/>
        </w:rPr>
        <w:t xml:space="preserve">espite the strong influence of EU </w:t>
      </w:r>
      <w:r w:rsidR="006F316A" w:rsidRPr="00140BF5">
        <w:rPr>
          <w:lang w:val="en-GB"/>
        </w:rPr>
        <w:t>legislation</w:t>
      </w:r>
      <w:r w:rsidR="008869C4" w:rsidRPr="00140BF5">
        <w:rPr>
          <w:lang w:val="en-GB"/>
        </w:rPr>
        <w:t xml:space="preserve">, </w:t>
      </w:r>
      <w:r w:rsidR="00654C0C" w:rsidRPr="00140BF5">
        <w:rPr>
          <w:lang w:val="en-GB"/>
        </w:rPr>
        <w:lastRenderedPageBreak/>
        <w:t>the</w:t>
      </w:r>
      <w:r w:rsidR="008869C4" w:rsidRPr="00140BF5">
        <w:rPr>
          <w:lang w:val="en-GB"/>
        </w:rPr>
        <w:t xml:space="preserve"> procurement regulations and practice</w:t>
      </w:r>
      <w:r w:rsidR="00654C0C" w:rsidRPr="00140BF5">
        <w:rPr>
          <w:lang w:val="en-GB"/>
        </w:rPr>
        <w:t>s</w:t>
      </w:r>
      <w:r w:rsidR="008869C4" w:rsidRPr="00140BF5">
        <w:rPr>
          <w:lang w:val="en-GB"/>
        </w:rPr>
        <w:t xml:space="preserve"> within countries have not simply converged into a single model</w:t>
      </w:r>
      <w:r w:rsidR="000B465F" w:rsidRPr="00140BF5">
        <w:rPr>
          <w:lang w:val="en-GB"/>
        </w:rPr>
        <w:t xml:space="preserve"> </w:t>
      </w:r>
      <w:r w:rsidR="008869C4" w:rsidRPr="00140BF5">
        <w:rPr>
          <w:lang w:val="en-GB"/>
        </w:rPr>
        <w:t>(Rödl</w:t>
      </w:r>
      <w:r w:rsidR="00A77D6B" w:rsidRPr="00140BF5">
        <w:rPr>
          <w:lang w:val="en-GB"/>
        </w:rPr>
        <w:t>,</w:t>
      </w:r>
      <w:r w:rsidR="008869C4" w:rsidRPr="00140BF5">
        <w:rPr>
          <w:lang w:val="en-GB"/>
        </w:rPr>
        <w:t xml:space="preserve"> 2009; Blauberger</w:t>
      </w:r>
      <w:r w:rsidR="00A77D6B" w:rsidRPr="00140BF5">
        <w:rPr>
          <w:lang w:val="en-GB"/>
        </w:rPr>
        <w:t>,</w:t>
      </w:r>
      <w:r w:rsidR="008869C4" w:rsidRPr="00140BF5">
        <w:rPr>
          <w:lang w:val="en-GB"/>
        </w:rPr>
        <w:t xml:space="preserve"> 2014; Bruun and Ahlberg, 2014). </w:t>
      </w:r>
      <w:r w:rsidR="00BC4B5A" w:rsidRPr="00140BF5">
        <w:rPr>
          <w:lang w:val="en-GB"/>
        </w:rPr>
        <w:t xml:space="preserve">This in turn means that </w:t>
      </w:r>
      <w:r w:rsidR="008869C4" w:rsidRPr="00140BF5">
        <w:rPr>
          <w:lang w:val="en-GB"/>
        </w:rPr>
        <w:t xml:space="preserve">public procurement is an </w:t>
      </w:r>
      <w:r w:rsidR="00140BF5">
        <w:rPr>
          <w:lang w:val="en-GB"/>
        </w:rPr>
        <w:t>increasingly politicis</w:t>
      </w:r>
      <w:r w:rsidR="000B465F" w:rsidRPr="00140BF5">
        <w:rPr>
          <w:lang w:val="en-GB"/>
        </w:rPr>
        <w:t>ed field</w:t>
      </w:r>
      <w:r w:rsidR="00654C0C" w:rsidRPr="00140BF5">
        <w:rPr>
          <w:lang w:val="en-GB"/>
        </w:rPr>
        <w:t>,</w:t>
      </w:r>
      <w:r w:rsidR="000B465F" w:rsidRPr="00140BF5">
        <w:rPr>
          <w:lang w:val="en-GB"/>
        </w:rPr>
        <w:t xml:space="preserve"> </w:t>
      </w:r>
      <w:r w:rsidR="008869C4" w:rsidRPr="00140BF5">
        <w:rPr>
          <w:lang w:val="en-GB"/>
        </w:rPr>
        <w:t>where the competing interests of public authorities, workers and private business are played out</w:t>
      </w:r>
      <w:r w:rsidR="000D31EA" w:rsidRPr="00140BF5">
        <w:rPr>
          <w:lang w:val="en-GB"/>
        </w:rPr>
        <w:t>. Therefore</w:t>
      </w:r>
      <w:r w:rsidR="00654C0C" w:rsidRPr="00140BF5">
        <w:rPr>
          <w:lang w:val="en-GB"/>
        </w:rPr>
        <w:t>,</w:t>
      </w:r>
      <w:r w:rsidR="000D31EA" w:rsidRPr="00140BF5">
        <w:rPr>
          <w:lang w:val="en-GB"/>
        </w:rPr>
        <w:t xml:space="preserve"> the</w:t>
      </w:r>
      <w:r w:rsidR="00832936" w:rsidRPr="00140BF5">
        <w:rPr>
          <w:lang w:val="en-GB"/>
        </w:rPr>
        <w:t xml:space="preserve"> agreement </w:t>
      </w:r>
      <w:r w:rsidR="000D31EA" w:rsidRPr="00140BF5">
        <w:rPr>
          <w:lang w:val="en-GB"/>
        </w:rPr>
        <w:t xml:space="preserve"> </w:t>
      </w:r>
      <w:r w:rsidR="00832936" w:rsidRPr="00140BF5">
        <w:rPr>
          <w:lang w:val="en-GB"/>
        </w:rPr>
        <w:t xml:space="preserve">and implementation of labour clauses are </w:t>
      </w:r>
      <w:r w:rsidR="000D31EA" w:rsidRPr="00140BF5">
        <w:rPr>
          <w:lang w:val="en-GB"/>
        </w:rPr>
        <w:t xml:space="preserve">shaped </w:t>
      </w:r>
      <w:r w:rsidR="00CC4EB2" w:rsidRPr="00140BF5">
        <w:rPr>
          <w:lang w:val="en-GB"/>
        </w:rPr>
        <w:t xml:space="preserve">not only by the wider regulatory framework </w:t>
      </w:r>
      <w:r w:rsidR="00E62B8C" w:rsidRPr="00140BF5">
        <w:rPr>
          <w:lang w:val="en-GB"/>
        </w:rPr>
        <w:t xml:space="preserve">of </w:t>
      </w:r>
      <w:r w:rsidR="00CC4EB2" w:rsidRPr="00140BF5">
        <w:rPr>
          <w:lang w:val="en-GB"/>
        </w:rPr>
        <w:t>EU law</w:t>
      </w:r>
      <w:r w:rsidR="00E62B8C" w:rsidRPr="00140BF5">
        <w:rPr>
          <w:lang w:val="en-GB"/>
        </w:rPr>
        <w:t>, as well as Eurozone fiscal policy conditions</w:t>
      </w:r>
      <w:r w:rsidR="00654C0C" w:rsidRPr="00140BF5">
        <w:rPr>
          <w:lang w:val="en-GB"/>
        </w:rPr>
        <w:t>,</w:t>
      </w:r>
      <w:r w:rsidR="00CC4EB2" w:rsidRPr="00140BF5">
        <w:rPr>
          <w:lang w:val="en-GB"/>
        </w:rPr>
        <w:t xml:space="preserve"> but also </w:t>
      </w:r>
      <w:r w:rsidR="000D31EA" w:rsidRPr="00140BF5">
        <w:rPr>
          <w:lang w:val="en-GB"/>
        </w:rPr>
        <w:t>by the peculiarities of national and sectoral employment systems and the specific power resources of actors within those systems</w:t>
      </w:r>
      <w:r w:rsidR="00CC4EB2" w:rsidRPr="00140BF5">
        <w:rPr>
          <w:lang w:val="en-GB"/>
        </w:rPr>
        <w:t xml:space="preserve"> (</w:t>
      </w:r>
      <w:r w:rsidR="004808F4">
        <w:rPr>
          <w:lang w:val="en-GB"/>
        </w:rPr>
        <w:t>Jaehrling</w:t>
      </w:r>
      <w:r w:rsidR="008A2D5E" w:rsidRPr="00140BF5">
        <w:rPr>
          <w:lang w:val="en-GB"/>
        </w:rPr>
        <w:t>,</w:t>
      </w:r>
      <w:r w:rsidR="00CC4EB2" w:rsidRPr="00140BF5">
        <w:rPr>
          <w:lang w:val="en-GB"/>
        </w:rPr>
        <w:t xml:space="preserve"> 2015a; Cunningham and James</w:t>
      </w:r>
      <w:r w:rsidR="008A2D5E" w:rsidRPr="00140BF5">
        <w:rPr>
          <w:lang w:val="en-GB"/>
        </w:rPr>
        <w:t>,</w:t>
      </w:r>
      <w:r w:rsidR="00CC4EB2" w:rsidRPr="00140BF5">
        <w:rPr>
          <w:lang w:val="en-GB"/>
        </w:rPr>
        <w:t xml:space="preserve"> 2016)</w:t>
      </w:r>
      <w:r w:rsidR="000D31EA" w:rsidRPr="00140BF5">
        <w:rPr>
          <w:lang w:val="en-GB"/>
        </w:rPr>
        <w:t>.</w:t>
      </w:r>
    </w:p>
    <w:p w14:paraId="3EF504ED" w14:textId="1AC1AC0C" w:rsidR="0097076E" w:rsidRPr="00140BF5" w:rsidRDefault="00154745" w:rsidP="0011084D">
      <w:pPr>
        <w:shd w:val="clear" w:color="auto" w:fill="FFFFFF" w:themeFill="background1"/>
        <w:spacing w:line="480" w:lineRule="auto"/>
        <w:jc w:val="both"/>
        <w:rPr>
          <w:lang w:val="en-GB"/>
        </w:rPr>
      </w:pPr>
      <w:r w:rsidRPr="00140BF5">
        <w:rPr>
          <w:lang w:val="en-GB"/>
        </w:rPr>
        <w:t>D</w:t>
      </w:r>
      <w:r w:rsidR="00431B9B" w:rsidRPr="00140BF5">
        <w:rPr>
          <w:lang w:val="en-GB"/>
        </w:rPr>
        <w:t>rawing on institutional accounts of</w:t>
      </w:r>
      <w:r w:rsidR="0097076E" w:rsidRPr="00140BF5">
        <w:rPr>
          <w:lang w:val="en-GB"/>
        </w:rPr>
        <w:t xml:space="preserve"> labour market regulation</w:t>
      </w:r>
      <w:r w:rsidR="00431B9B" w:rsidRPr="00140BF5">
        <w:rPr>
          <w:lang w:val="en-GB"/>
        </w:rPr>
        <w:t>, i</w:t>
      </w:r>
      <w:r w:rsidR="009B0811" w:rsidRPr="00140BF5">
        <w:rPr>
          <w:lang w:val="en-GB"/>
        </w:rPr>
        <w:t>t is possible to identify two</w:t>
      </w:r>
      <w:r w:rsidR="00431B9B" w:rsidRPr="00140BF5">
        <w:rPr>
          <w:lang w:val="en-GB"/>
        </w:rPr>
        <w:t xml:space="preserve"> </w:t>
      </w:r>
      <w:r w:rsidR="000D31EA" w:rsidRPr="00140BF5">
        <w:rPr>
          <w:lang w:val="en-GB"/>
        </w:rPr>
        <w:t xml:space="preserve">(stylised) </w:t>
      </w:r>
      <w:r w:rsidR="009B0811" w:rsidRPr="00140BF5">
        <w:rPr>
          <w:lang w:val="en-GB"/>
        </w:rPr>
        <w:t>interaction</w:t>
      </w:r>
      <w:r w:rsidR="000D31EA" w:rsidRPr="00140BF5">
        <w:rPr>
          <w:lang w:val="en-GB"/>
        </w:rPr>
        <w:t>s</w:t>
      </w:r>
      <w:r w:rsidR="009B0811" w:rsidRPr="00140BF5">
        <w:rPr>
          <w:lang w:val="en-GB"/>
        </w:rPr>
        <w:t xml:space="preserve"> between labour clauses and embedded wage</w:t>
      </w:r>
      <w:r w:rsidR="00654C0C" w:rsidRPr="00140BF5">
        <w:rPr>
          <w:lang w:val="en-GB"/>
        </w:rPr>
        <w:t>-</w:t>
      </w:r>
      <w:r w:rsidR="009B0811" w:rsidRPr="00140BF5">
        <w:rPr>
          <w:lang w:val="en-GB"/>
        </w:rPr>
        <w:t>setting</w:t>
      </w:r>
      <w:r w:rsidR="008C1CE8" w:rsidRPr="00140BF5">
        <w:rPr>
          <w:lang w:val="en-GB"/>
        </w:rPr>
        <w:t xml:space="preserve"> </w:t>
      </w:r>
      <w:r w:rsidR="00654C0C" w:rsidRPr="00140BF5">
        <w:rPr>
          <w:lang w:val="en-GB"/>
        </w:rPr>
        <w:t xml:space="preserve">systems </w:t>
      </w:r>
      <w:r w:rsidR="008C1CE8" w:rsidRPr="00140BF5">
        <w:rPr>
          <w:lang w:val="en-GB"/>
        </w:rPr>
        <w:t>that offer different potential benefits and limitations</w:t>
      </w:r>
      <w:r w:rsidR="0097076E" w:rsidRPr="00140BF5">
        <w:rPr>
          <w:lang w:val="en-GB"/>
        </w:rPr>
        <w:t xml:space="preserve">: </w:t>
      </w:r>
      <w:r w:rsidR="009B0811" w:rsidRPr="00140BF5">
        <w:rPr>
          <w:lang w:val="en-GB"/>
        </w:rPr>
        <w:t xml:space="preserve"> </w:t>
      </w:r>
      <w:r w:rsidR="009B0811" w:rsidRPr="00140BF5">
        <w:rPr>
          <w:i/>
          <w:iCs/>
          <w:lang w:val="en-GB"/>
        </w:rPr>
        <w:t xml:space="preserve">compensatory </w:t>
      </w:r>
      <w:r w:rsidR="0097076E" w:rsidRPr="00140BF5">
        <w:rPr>
          <w:lang w:val="en-GB"/>
        </w:rPr>
        <w:t xml:space="preserve">and </w:t>
      </w:r>
      <w:r w:rsidR="0097076E" w:rsidRPr="00140BF5">
        <w:rPr>
          <w:i/>
          <w:lang w:val="en-GB"/>
        </w:rPr>
        <w:t>complementary</w:t>
      </w:r>
      <w:r w:rsidR="00A46E6F" w:rsidRPr="00140BF5">
        <w:rPr>
          <w:i/>
          <w:lang w:val="en-GB"/>
        </w:rPr>
        <w:t>.</w:t>
      </w:r>
      <w:r w:rsidR="00D0706B" w:rsidRPr="00140BF5">
        <w:rPr>
          <w:lang w:val="en-GB"/>
        </w:rPr>
        <w:t xml:space="preserve"> </w:t>
      </w:r>
      <w:r w:rsidR="00140BF5">
        <w:rPr>
          <w:lang w:val="en-GB"/>
        </w:rPr>
        <w:t>These two (stylis</w:t>
      </w:r>
      <w:r w:rsidR="00AD0786" w:rsidRPr="00140BF5">
        <w:rPr>
          <w:lang w:val="en-GB"/>
        </w:rPr>
        <w:t xml:space="preserve">ed) interactions may capture not only cross-national differences, but also important variations between sectors due to the importance of </w:t>
      </w:r>
      <w:r w:rsidR="00AD0786" w:rsidRPr="00140BF5">
        <w:rPr>
          <w:i/>
          <w:lang w:val="en-GB"/>
        </w:rPr>
        <w:t>sector</w:t>
      </w:r>
      <w:r w:rsidR="00AD0786" w:rsidRPr="00140BF5">
        <w:rPr>
          <w:lang w:val="en-GB"/>
        </w:rPr>
        <w:t>-specific systems of industrial relations (Bechter et al., 2012).</w:t>
      </w:r>
    </w:p>
    <w:p w14:paraId="58CAC832" w14:textId="7DA80174" w:rsidR="005B3A3C" w:rsidRPr="00140BF5" w:rsidRDefault="00766474" w:rsidP="0011084D">
      <w:pPr>
        <w:spacing w:line="480" w:lineRule="auto"/>
        <w:jc w:val="both"/>
        <w:rPr>
          <w:lang w:val="en-GB"/>
        </w:rPr>
      </w:pPr>
      <w:r w:rsidRPr="00140BF5">
        <w:rPr>
          <w:lang w:val="en-GB"/>
        </w:rPr>
        <w:t>W</w:t>
      </w:r>
      <w:r w:rsidR="00EA3654" w:rsidRPr="00140BF5">
        <w:rPr>
          <w:lang w:val="en-GB"/>
        </w:rPr>
        <w:t xml:space="preserve">here </w:t>
      </w:r>
      <w:r w:rsidR="00B87153" w:rsidRPr="00140BF5">
        <w:rPr>
          <w:lang w:val="en-GB"/>
        </w:rPr>
        <w:t>labour market</w:t>
      </w:r>
      <w:r w:rsidR="009B0811" w:rsidRPr="00140BF5">
        <w:rPr>
          <w:lang w:val="en-GB"/>
        </w:rPr>
        <w:t xml:space="preserve"> regulation</w:t>
      </w:r>
      <w:r w:rsidR="0097076E" w:rsidRPr="00140BF5">
        <w:rPr>
          <w:lang w:val="en-GB"/>
        </w:rPr>
        <w:t xml:space="preserve"> </w:t>
      </w:r>
      <w:r w:rsidR="008C3310" w:rsidRPr="00140BF5">
        <w:rPr>
          <w:lang w:val="en-GB"/>
        </w:rPr>
        <w:t xml:space="preserve">is weak and social dialogue </w:t>
      </w:r>
      <w:r w:rsidR="0097076E" w:rsidRPr="00140BF5">
        <w:rPr>
          <w:lang w:val="en-GB"/>
        </w:rPr>
        <w:t>limited</w:t>
      </w:r>
      <w:r w:rsidR="009B0811" w:rsidRPr="00140BF5">
        <w:rPr>
          <w:lang w:val="en-GB"/>
        </w:rPr>
        <w:t xml:space="preserve">, procurement instruments </w:t>
      </w:r>
      <w:r w:rsidR="000D31EA" w:rsidRPr="00140BF5">
        <w:rPr>
          <w:lang w:val="en-GB"/>
        </w:rPr>
        <w:t xml:space="preserve">potentially have a significant </w:t>
      </w:r>
      <w:r w:rsidR="000D31EA" w:rsidRPr="00140BF5">
        <w:rPr>
          <w:i/>
          <w:lang w:val="en-GB"/>
        </w:rPr>
        <w:t>compensatory</w:t>
      </w:r>
      <w:r w:rsidR="000D31EA" w:rsidRPr="00140BF5">
        <w:rPr>
          <w:lang w:val="en-GB"/>
        </w:rPr>
        <w:t xml:space="preserve"> role in </w:t>
      </w:r>
      <w:r w:rsidR="0097076E" w:rsidRPr="00140BF5">
        <w:rPr>
          <w:lang w:val="en-GB"/>
        </w:rPr>
        <w:t>harmonis</w:t>
      </w:r>
      <w:r w:rsidR="000D31EA" w:rsidRPr="00140BF5">
        <w:rPr>
          <w:lang w:val="en-GB"/>
        </w:rPr>
        <w:t>ing</w:t>
      </w:r>
      <w:r w:rsidR="0097076E" w:rsidRPr="00140BF5">
        <w:rPr>
          <w:lang w:val="en-GB"/>
        </w:rPr>
        <w:t xml:space="preserve"> standards between the public and </w:t>
      </w:r>
      <w:r w:rsidR="009A1099" w:rsidRPr="00140BF5">
        <w:rPr>
          <w:lang w:val="en-GB"/>
        </w:rPr>
        <w:t xml:space="preserve">the </w:t>
      </w:r>
      <w:r w:rsidR="0097076E" w:rsidRPr="00140BF5">
        <w:rPr>
          <w:lang w:val="en-GB"/>
        </w:rPr>
        <w:t>private sectors</w:t>
      </w:r>
      <w:r w:rsidR="00DC6915" w:rsidRPr="00140BF5">
        <w:rPr>
          <w:lang w:val="en-GB"/>
        </w:rPr>
        <w:t xml:space="preserve"> </w:t>
      </w:r>
      <w:r w:rsidR="009B0811" w:rsidRPr="00140BF5">
        <w:rPr>
          <w:lang w:val="en-GB"/>
        </w:rPr>
        <w:t xml:space="preserve"> </w:t>
      </w:r>
      <w:r w:rsidR="00AB49CB" w:rsidRPr="00140BF5">
        <w:rPr>
          <w:lang w:val="en-GB"/>
        </w:rPr>
        <w:t>(</w:t>
      </w:r>
      <w:r w:rsidR="009B0811" w:rsidRPr="00140BF5">
        <w:rPr>
          <w:lang w:val="en-GB"/>
        </w:rPr>
        <w:t>Schulten et al.</w:t>
      </w:r>
      <w:r w:rsidR="008A2D5E" w:rsidRPr="00140BF5">
        <w:rPr>
          <w:lang w:val="en-GB"/>
        </w:rPr>
        <w:t>,</w:t>
      </w:r>
      <w:r w:rsidR="009B0811" w:rsidRPr="00140BF5">
        <w:rPr>
          <w:lang w:val="en-GB"/>
        </w:rPr>
        <w:t xml:space="preserve"> 2012). </w:t>
      </w:r>
      <w:r w:rsidR="000D31EA" w:rsidRPr="00140BF5">
        <w:rPr>
          <w:lang w:val="en-GB"/>
        </w:rPr>
        <w:t>For example in the UK</w:t>
      </w:r>
      <w:r w:rsidR="009A1099" w:rsidRPr="00140BF5">
        <w:rPr>
          <w:lang w:val="en-GB"/>
        </w:rPr>
        <w:t>,</w:t>
      </w:r>
      <w:r w:rsidR="000D31EA" w:rsidRPr="00140BF5">
        <w:rPr>
          <w:lang w:val="en-GB"/>
        </w:rPr>
        <w:t xml:space="preserve"> l</w:t>
      </w:r>
      <w:r w:rsidR="00D94C23" w:rsidRPr="00140BF5">
        <w:rPr>
          <w:lang w:val="en-GB"/>
        </w:rPr>
        <w:t>ow u</w:t>
      </w:r>
      <w:r w:rsidR="00976682" w:rsidRPr="00140BF5">
        <w:rPr>
          <w:lang w:val="en-GB"/>
        </w:rPr>
        <w:t xml:space="preserve">nion </w:t>
      </w:r>
      <w:r w:rsidR="009A1099" w:rsidRPr="00140BF5">
        <w:rPr>
          <w:lang w:val="en-GB"/>
        </w:rPr>
        <w:t>densit</w:t>
      </w:r>
      <w:r w:rsidR="00BC4B5A" w:rsidRPr="00140BF5">
        <w:rPr>
          <w:lang w:val="en-GB"/>
        </w:rPr>
        <w:t>y</w:t>
      </w:r>
      <w:r w:rsidR="009A1099" w:rsidRPr="00140BF5">
        <w:rPr>
          <w:lang w:val="en-GB"/>
        </w:rPr>
        <w:t xml:space="preserve"> </w:t>
      </w:r>
      <w:r w:rsidR="00976682" w:rsidRPr="00140BF5">
        <w:rPr>
          <w:lang w:val="en-GB"/>
        </w:rPr>
        <w:t xml:space="preserve">and </w:t>
      </w:r>
      <w:r w:rsidR="009A1099" w:rsidRPr="00140BF5">
        <w:rPr>
          <w:lang w:val="en-GB"/>
        </w:rPr>
        <w:t xml:space="preserve">limited </w:t>
      </w:r>
      <w:r w:rsidR="00976682" w:rsidRPr="00140BF5">
        <w:rPr>
          <w:lang w:val="en-GB"/>
        </w:rPr>
        <w:t>c</w:t>
      </w:r>
      <w:r w:rsidR="00DB7599" w:rsidRPr="00140BF5">
        <w:rPr>
          <w:lang w:val="en-GB"/>
        </w:rPr>
        <w:t xml:space="preserve">ollective bargaining coverage </w:t>
      </w:r>
      <w:r w:rsidR="0097076E" w:rsidRPr="00140BF5">
        <w:rPr>
          <w:lang w:val="en-GB"/>
        </w:rPr>
        <w:t xml:space="preserve">in </w:t>
      </w:r>
      <w:r w:rsidR="00847963" w:rsidRPr="00140BF5">
        <w:rPr>
          <w:lang w:val="en-GB"/>
        </w:rPr>
        <w:t>low-wage</w:t>
      </w:r>
      <w:r w:rsidR="0097076E" w:rsidRPr="00140BF5">
        <w:rPr>
          <w:lang w:val="en-GB"/>
        </w:rPr>
        <w:t xml:space="preserve"> industries </w:t>
      </w:r>
      <w:r w:rsidR="00847963" w:rsidRPr="00140BF5">
        <w:rPr>
          <w:lang w:val="en-GB"/>
        </w:rPr>
        <w:t>(</w:t>
      </w:r>
      <w:r w:rsidR="0097076E" w:rsidRPr="00140BF5">
        <w:rPr>
          <w:lang w:val="en-GB"/>
        </w:rPr>
        <w:t>such as cleaning and catering</w:t>
      </w:r>
      <w:r w:rsidR="00847963" w:rsidRPr="00140BF5">
        <w:rPr>
          <w:lang w:val="en-GB"/>
        </w:rPr>
        <w:t>)</w:t>
      </w:r>
      <w:r w:rsidR="00D0661F" w:rsidRPr="00140BF5">
        <w:rPr>
          <w:lang w:val="en-GB"/>
        </w:rPr>
        <w:t xml:space="preserve"> </w:t>
      </w:r>
      <w:r w:rsidR="009B0811" w:rsidRPr="00140BF5">
        <w:rPr>
          <w:lang w:val="en-GB"/>
        </w:rPr>
        <w:t xml:space="preserve">mean </w:t>
      </w:r>
      <w:r w:rsidR="004047C6" w:rsidRPr="00140BF5">
        <w:rPr>
          <w:lang w:val="en-GB"/>
        </w:rPr>
        <w:t>that many subcontracted workers rely on statutory minimum wage protection</w:t>
      </w:r>
      <w:r w:rsidR="00DB7599" w:rsidRPr="00140BF5">
        <w:rPr>
          <w:lang w:val="en-GB"/>
        </w:rPr>
        <w:t xml:space="preserve">. </w:t>
      </w:r>
      <w:r w:rsidR="00FF152A" w:rsidRPr="00140BF5">
        <w:rPr>
          <w:lang w:val="en-GB"/>
        </w:rPr>
        <w:t xml:space="preserve">Wage clauses have been used by national public bodies in the procurement of large </w:t>
      </w:r>
      <w:r w:rsidR="00CA70B4" w:rsidRPr="00140BF5">
        <w:rPr>
          <w:lang w:val="en-GB"/>
        </w:rPr>
        <w:t xml:space="preserve">capital </w:t>
      </w:r>
      <w:r w:rsidR="00FF152A" w:rsidRPr="00140BF5">
        <w:rPr>
          <w:lang w:val="en-GB"/>
        </w:rPr>
        <w:t xml:space="preserve">construction projects such as the </w:t>
      </w:r>
      <w:r w:rsidR="00CA70B4" w:rsidRPr="00140BF5">
        <w:rPr>
          <w:lang w:val="en-GB"/>
        </w:rPr>
        <w:t xml:space="preserve">2012 London </w:t>
      </w:r>
      <w:r w:rsidR="00FF152A" w:rsidRPr="00140BF5">
        <w:rPr>
          <w:lang w:val="en-GB"/>
        </w:rPr>
        <w:t>Olympics (Druker and White</w:t>
      </w:r>
      <w:r w:rsidR="00925847" w:rsidRPr="00140BF5">
        <w:rPr>
          <w:lang w:val="en-GB"/>
        </w:rPr>
        <w:t>,</w:t>
      </w:r>
      <w:r w:rsidR="00FF152A" w:rsidRPr="00140BF5">
        <w:rPr>
          <w:lang w:val="en-GB"/>
        </w:rPr>
        <w:t xml:space="preserve"> 2013), but recent attention has shifted to the problem of precarious working conditions in </w:t>
      </w:r>
      <w:r w:rsidR="00CA70B4" w:rsidRPr="00140BF5">
        <w:rPr>
          <w:lang w:val="en-GB"/>
        </w:rPr>
        <w:t xml:space="preserve">‘core’ local authority revenue contracts such as cleaning and care services. </w:t>
      </w:r>
      <w:r w:rsidR="00AD0786" w:rsidRPr="00140BF5">
        <w:rPr>
          <w:lang w:val="en-GB"/>
        </w:rPr>
        <w:t xml:space="preserve">The general absence of multi-employer bargaining in the UK, and tight spending constraints in local government, mean that around 500,000 </w:t>
      </w:r>
      <w:r w:rsidR="00081C63">
        <w:rPr>
          <w:lang w:val="en-GB"/>
        </w:rPr>
        <w:t>–</w:t>
      </w:r>
      <w:r w:rsidR="00AD0786" w:rsidRPr="00140BF5">
        <w:rPr>
          <w:lang w:val="en-GB"/>
        </w:rPr>
        <w:t xml:space="preserve"> mostly</w:t>
      </w:r>
      <w:r w:rsidR="00081C63">
        <w:rPr>
          <w:lang w:val="en-GB"/>
        </w:rPr>
        <w:t xml:space="preserve"> </w:t>
      </w:r>
      <w:r w:rsidR="00AD0786" w:rsidRPr="00140BF5">
        <w:rPr>
          <w:lang w:val="en-GB"/>
        </w:rPr>
        <w:t xml:space="preserve">female </w:t>
      </w:r>
      <w:r w:rsidR="00081C63">
        <w:rPr>
          <w:lang w:val="en-GB"/>
        </w:rPr>
        <w:t>–</w:t>
      </w:r>
      <w:r w:rsidR="00AD0786" w:rsidRPr="00140BF5">
        <w:rPr>
          <w:lang w:val="en-GB"/>
        </w:rPr>
        <w:t xml:space="preserve"> workers</w:t>
      </w:r>
      <w:r w:rsidR="00081C63">
        <w:rPr>
          <w:lang w:val="en-GB"/>
        </w:rPr>
        <w:t xml:space="preserve"> </w:t>
      </w:r>
      <w:r w:rsidR="00AD0786" w:rsidRPr="00140BF5">
        <w:rPr>
          <w:lang w:val="en-GB"/>
        </w:rPr>
        <w:t>providing home care for the elderly in the private sector face low wages and contingent contracts (Bessa et al.</w:t>
      </w:r>
      <w:r w:rsidR="00925847" w:rsidRPr="00140BF5">
        <w:rPr>
          <w:lang w:val="en-GB"/>
        </w:rPr>
        <w:t>,</w:t>
      </w:r>
      <w:r w:rsidR="00AD0786" w:rsidRPr="00140BF5">
        <w:rPr>
          <w:lang w:val="en-GB"/>
        </w:rPr>
        <w:t xml:space="preserve"> 2013). </w:t>
      </w:r>
      <w:r w:rsidR="009B0811" w:rsidRPr="00140BF5">
        <w:rPr>
          <w:lang w:val="en-GB"/>
        </w:rPr>
        <w:t>In this context</w:t>
      </w:r>
      <w:r w:rsidR="00956DA7" w:rsidRPr="00140BF5">
        <w:rPr>
          <w:lang w:val="en-GB"/>
        </w:rPr>
        <w:t xml:space="preserve">, </w:t>
      </w:r>
      <w:r w:rsidR="00D4294B" w:rsidRPr="00140BF5">
        <w:rPr>
          <w:lang w:val="en-GB"/>
        </w:rPr>
        <w:t xml:space="preserve">labour clauses </w:t>
      </w:r>
      <w:r w:rsidR="000F47A7" w:rsidRPr="00140BF5">
        <w:rPr>
          <w:lang w:val="en-GB"/>
        </w:rPr>
        <w:t xml:space="preserve">are increasingly seen by </w:t>
      </w:r>
      <w:r w:rsidR="00D0661F" w:rsidRPr="00140BF5">
        <w:rPr>
          <w:lang w:val="en-GB"/>
        </w:rPr>
        <w:t>local authorities</w:t>
      </w:r>
      <w:r w:rsidR="00BE20D5" w:rsidRPr="00140BF5">
        <w:rPr>
          <w:lang w:val="en-GB"/>
        </w:rPr>
        <w:t xml:space="preserve"> </w:t>
      </w:r>
      <w:r w:rsidR="00BC4B5A" w:rsidRPr="00140BF5">
        <w:rPr>
          <w:lang w:val="en-GB"/>
        </w:rPr>
        <w:t xml:space="preserve">and trade unions </w:t>
      </w:r>
      <w:r w:rsidR="000F47A7" w:rsidRPr="00140BF5">
        <w:rPr>
          <w:lang w:val="en-GB"/>
        </w:rPr>
        <w:t xml:space="preserve">as </w:t>
      </w:r>
      <w:r w:rsidR="00D4294B" w:rsidRPr="00140BF5">
        <w:rPr>
          <w:lang w:val="en-GB"/>
        </w:rPr>
        <w:t>a</w:t>
      </w:r>
      <w:r w:rsidR="000F47A7" w:rsidRPr="00140BF5">
        <w:rPr>
          <w:lang w:val="en-GB"/>
        </w:rPr>
        <w:t xml:space="preserve">n expedient </w:t>
      </w:r>
      <w:r w:rsidR="00BC1650" w:rsidRPr="00140BF5">
        <w:rPr>
          <w:lang w:val="en-GB"/>
        </w:rPr>
        <w:t>way</w:t>
      </w:r>
      <w:r w:rsidR="00D4294B" w:rsidRPr="00140BF5">
        <w:rPr>
          <w:lang w:val="en-GB"/>
        </w:rPr>
        <w:t xml:space="preserve"> to </w:t>
      </w:r>
      <w:r w:rsidR="000F47A7" w:rsidRPr="00140BF5">
        <w:rPr>
          <w:lang w:val="en-GB"/>
        </w:rPr>
        <w:t>raise</w:t>
      </w:r>
      <w:r w:rsidR="00D4294B" w:rsidRPr="00140BF5">
        <w:rPr>
          <w:lang w:val="en-GB"/>
        </w:rPr>
        <w:t xml:space="preserve"> standards among the subcontracted workforce</w:t>
      </w:r>
      <w:r w:rsidR="009B0811" w:rsidRPr="00140BF5">
        <w:rPr>
          <w:lang w:val="en-GB"/>
        </w:rPr>
        <w:t xml:space="preserve"> </w:t>
      </w:r>
      <w:r w:rsidR="000F47A7" w:rsidRPr="00140BF5">
        <w:rPr>
          <w:lang w:val="en-GB"/>
        </w:rPr>
        <w:t>(</w:t>
      </w:r>
      <w:r w:rsidR="004808F4">
        <w:rPr>
          <w:lang w:val="en-GB"/>
        </w:rPr>
        <w:t>Johnson</w:t>
      </w:r>
      <w:r w:rsidR="000F47A7" w:rsidRPr="00140BF5">
        <w:rPr>
          <w:lang w:val="en-GB"/>
        </w:rPr>
        <w:t>.</w:t>
      </w:r>
      <w:r w:rsidR="00925847" w:rsidRPr="00140BF5">
        <w:rPr>
          <w:lang w:val="en-GB"/>
        </w:rPr>
        <w:t>,</w:t>
      </w:r>
      <w:r w:rsidR="000F47A7" w:rsidRPr="00140BF5">
        <w:rPr>
          <w:lang w:val="en-GB"/>
        </w:rPr>
        <w:t xml:space="preserve"> 2017).</w:t>
      </w:r>
      <w:r w:rsidR="00796758" w:rsidRPr="00140BF5">
        <w:rPr>
          <w:lang w:val="en-GB"/>
        </w:rPr>
        <w:t xml:space="preserve"> </w:t>
      </w:r>
      <w:r w:rsidR="00CA70B4" w:rsidRPr="00140BF5">
        <w:rPr>
          <w:lang w:val="en-GB"/>
        </w:rPr>
        <w:t xml:space="preserve">The problem here is that </w:t>
      </w:r>
      <w:r w:rsidR="00CA70B4" w:rsidRPr="00140BF5">
        <w:rPr>
          <w:lang w:val="en-GB"/>
        </w:rPr>
        <w:lastRenderedPageBreak/>
        <w:t>without strong underpinning mechan</w:t>
      </w:r>
      <w:r w:rsidR="00140BF5">
        <w:rPr>
          <w:lang w:val="en-GB"/>
        </w:rPr>
        <w:t>isms of social dialogue, localis</w:t>
      </w:r>
      <w:r w:rsidR="00CA70B4" w:rsidRPr="00140BF5">
        <w:rPr>
          <w:lang w:val="en-GB"/>
        </w:rPr>
        <w:t>ed initiatives may be difficult to ‘scale up’ to cover more workers in different sectors or local authority areas.</w:t>
      </w:r>
    </w:p>
    <w:p w14:paraId="766F06AB" w14:textId="6A6B737C" w:rsidR="007A5C4B" w:rsidRPr="00140BF5" w:rsidRDefault="009A1099" w:rsidP="0011084D">
      <w:pPr>
        <w:spacing w:line="480" w:lineRule="auto"/>
        <w:jc w:val="both"/>
        <w:rPr>
          <w:lang w:val="en-GB"/>
        </w:rPr>
      </w:pPr>
      <w:r w:rsidRPr="00140BF5">
        <w:rPr>
          <w:lang w:val="en-GB"/>
        </w:rPr>
        <w:t xml:space="preserve">By </w:t>
      </w:r>
      <w:r w:rsidR="00646054" w:rsidRPr="00140BF5">
        <w:rPr>
          <w:lang w:val="en-GB"/>
        </w:rPr>
        <w:t xml:space="preserve">contrast, where </w:t>
      </w:r>
      <w:r w:rsidR="00D94C23" w:rsidRPr="00140BF5">
        <w:rPr>
          <w:lang w:val="en-GB"/>
        </w:rPr>
        <w:t>employment</w:t>
      </w:r>
      <w:r w:rsidR="00646054" w:rsidRPr="00140BF5">
        <w:rPr>
          <w:lang w:val="en-GB"/>
        </w:rPr>
        <w:t xml:space="preserve"> regulation</w:t>
      </w:r>
      <w:r w:rsidR="007E6457" w:rsidRPr="00140BF5">
        <w:rPr>
          <w:lang w:val="en-GB"/>
        </w:rPr>
        <w:t xml:space="preserve"> </w:t>
      </w:r>
      <w:r w:rsidR="00CB6960" w:rsidRPr="00140BF5">
        <w:rPr>
          <w:lang w:val="en-GB"/>
        </w:rPr>
        <w:t xml:space="preserve">is strong and social dialogue </w:t>
      </w:r>
      <w:r w:rsidR="00583C63" w:rsidRPr="00140BF5">
        <w:rPr>
          <w:lang w:val="en-GB"/>
        </w:rPr>
        <w:t xml:space="preserve">is </w:t>
      </w:r>
      <w:r w:rsidR="00AC6790" w:rsidRPr="00140BF5">
        <w:rPr>
          <w:lang w:val="en-GB"/>
        </w:rPr>
        <w:t xml:space="preserve">relatively well coordinated </w:t>
      </w:r>
      <w:r w:rsidR="00D4294B" w:rsidRPr="00140BF5">
        <w:rPr>
          <w:lang w:val="en-GB"/>
        </w:rPr>
        <w:t>(such as in Germany and Denmark)</w:t>
      </w:r>
      <w:r w:rsidR="00646054" w:rsidRPr="00140BF5">
        <w:rPr>
          <w:lang w:val="en-GB"/>
        </w:rPr>
        <w:t xml:space="preserve">, labour clauses may fulfil a </w:t>
      </w:r>
      <w:r w:rsidR="009B0811" w:rsidRPr="00140BF5">
        <w:rPr>
          <w:i/>
          <w:lang w:val="en-GB"/>
        </w:rPr>
        <w:t>complementary</w:t>
      </w:r>
      <w:r w:rsidR="009B0811" w:rsidRPr="00140BF5">
        <w:rPr>
          <w:lang w:val="en-GB"/>
        </w:rPr>
        <w:t xml:space="preserve"> role </w:t>
      </w:r>
      <w:r w:rsidR="00CB6960" w:rsidRPr="00140BF5">
        <w:rPr>
          <w:lang w:val="en-GB"/>
        </w:rPr>
        <w:t>since</w:t>
      </w:r>
      <w:r w:rsidR="00646054" w:rsidRPr="00140BF5">
        <w:rPr>
          <w:lang w:val="en-GB"/>
        </w:rPr>
        <w:t xml:space="preserve"> they </w:t>
      </w:r>
      <w:r w:rsidR="00504E4B" w:rsidRPr="00140BF5">
        <w:rPr>
          <w:lang w:val="en-GB"/>
        </w:rPr>
        <w:t>offer a</w:t>
      </w:r>
      <w:r w:rsidR="00956DA7" w:rsidRPr="00140BF5">
        <w:rPr>
          <w:lang w:val="en-GB"/>
        </w:rPr>
        <w:t xml:space="preserve"> </w:t>
      </w:r>
      <w:r w:rsidR="009B0811" w:rsidRPr="00140BF5">
        <w:rPr>
          <w:lang w:val="en-GB"/>
        </w:rPr>
        <w:t xml:space="preserve">means to bring </w:t>
      </w:r>
      <w:r w:rsidR="00D40405" w:rsidRPr="00140BF5">
        <w:rPr>
          <w:lang w:val="en-GB"/>
        </w:rPr>
        <w:t xml:space="preserve">subcontracted </w:t>
      </w:r>
      <w:r w:rsidR="009B0811" w:rsidRPr="00140BF5">
        <w:rPr>
          <w:lang w:val="en-GB"/>
        </w:rPr>
        <w:t xml:space="preserve">workers under the </w:t>
      </w:r>
      <w:r w:rsidR="00866207" w:rsidRPr="00140BF5">
        <w:rPr>
          <w:lang w:val="en-GB"/>
        </w:rPr>
        <w:t>reach</w:t>
      </w:r>
      <w:r w:rsidR="009B0811" w:rsidRPr="00140BF5">
        <w:rPr>
          <w:lang w:val="en-GB"/>
        </w:rPr>
        <w:t xml:space="preserve"> of existing mechanisms of collective bargaining</w:t>
      </w:r>
      <w:r w:rsidR="000B5D78" w:rsidRPr="00140BF5">
        <w:rPr>
          <w:lang w:val="en-GB"/>
        </w:rPr>
        <w:t xml:space="preserve"> (</w:t>
      </w:r>
      <w:r w:rsidR="004808F4">
        <w:rPr>
          <w:rFonts w:cs="AdvP5D8B"/>
          <w:color w:val="000000"/>
          <w:lang w:val="en-GB"/>
        </w:rPr>
        <w:t>Jaehrling</w:t>
      </w:r>
      <w:r w:rsidR="00C9722E" w:rsidRPr="00140BF5">
        <w:rPr>
          <w:rFonts w:cs="AdvP5D8B"/>
          <w:color w:val="000000"/>
          <w:lang w:val="en-GB"/>
        </w:rPr>
        <w:t>,</w:t>
      </w:r>
      <w:r w:rsidR="000B5D78" w:rsidRPr="00140BF5">
        <w:rPr>
          <w:rFonts w:cs="AdvP5D8B"/>
          <w:color w:val="000000"/>
          <w:lang w:val="en-GB"/>
        </w:rPr>
        <w:t xml:space="preserve"> 2015a</w:t>
      </w:r>
      <w:r w:rsidR="003F59E6" w:rsidRPr="00140BF5">
        <w:rPr>
          <w:lang w:val="en-GB"/>
        </w:rPr>
        <w:t>)</w:t>
      </w:r>
      <w:r w:rsidR="004821DD" w:rsidRPr="00140BF5">
        <w:rPr>
          <w:lang w:val="en-GB"/>
        </w:rPr>
        <w:t>.</w:t>
      </w:r>
      <w:r w:rsidR="009B0811" w:rsidRPr="00140BF5">
        <w:rPr>
          <w:lang w:val="en-GB"/>
        </w:rPr>
        <w:t xml:space="preserve"> </w:t>
      </w:r>
      <w:r w:rsidR="00646054" w:rsidRPr="00140BF5">
        <w:rPr>
          <w:lang w:val="en-GB"/>
        </w:rPr>
        <w:t>In</w:t>
      </w:r>
      <w:r w:rsidR="00866207" w:rsidRPr="00140BF5">
        <w:rPr>
          <w:lang w:val="en-GB"/>
        </w:rPr>
        <w:t xml:space="preserve"> this context, public procurement has a broader </w:t>
      </w:r>
      <w:r w:rsidR="005E333B" w:rsidRPr="00140BF5">
        <w:rPr>
          <w:lang w:val="en-GB"/>
        </w:rPr>
        <w:t>function</w:t>
      </w:r>
      <w:r w:rsidR="00866207" w:rsidRPr="00140BF5">
        <w:rPr>
          <w:lang w:val="en-GB"/>
        </w:rPr>
        <w:t xml:space="preserve"> to engage subcontractors in </w:t>
      </w:r>
      <w:r w:rsidR="005E333B" w:rsidRPr="00140BF5">
        <w:rPr>
          <w:lang w:val="en-GB"/>
        </w:rPr>
        <w:t xml:space="preserve">regular </w:t>
      </w:r>
      <w:r w:rsidR="00866207" w:rsidRPr="00140BF5">
        <w:rPr>
          <w:lang w:val="en-GB"/>
        </w:rPr>
        <w:t>negotiations over wage rates</w:t>
      </w:r>
      <w:r w:rsidR="005E333B" w:rsidRPr="00140BF5">
        <w:rPr>
          <w:lang w:val="en-GB"/>
        </w:rPr>
        <w:t xml:space="preserve"> (as opposed to </w:t>
      </w:r>
      <w:r w:rsidR="00B359E9" w:rsidRPr="00140BF5">
        <w:rPr>
          <w:lang w:val="en-GB"/>
        </w:rPr>
        <w:t xml:space="preserve">agreeing </w:t>
      </w:r>
      <w:r w:rsidRPr="00140BF5">
        <w:rPr>
          <w:lang w:val="en-GB"/>
        </w:rPr>
        <w:t xml:space="preserve">to </w:t>
      </w:r>
      <w:r w:rsidR="005E333B" w:rsidRPr="00140BF5">
        <w:rPr>
          <w:lang w:val="en-GB"/>
        </w:rPr>
        <w:t>a one-off set of contract terms)</w:t>
      </w:r>
      <w:r w:rsidR="00866207" w:rsidRPr="00140BF5">
        <w:rPr>
          <w:lang w:val="en-GB"/>
        </w:rPr>
        <w:t xml:space="preserve">, and potentially provides a framework for inspection and monitoring. </w:t>
      </w:r>
      <w:r w:rsidR="00BC281E" w:rsidRPr="00140BF5">
        <w:rPr>
          <w:lang w:val="en-GB"/>
        </w:rPr>
        <w:t xml:space="preserve">This can </w:t>
      </w:r>
      <w:r w:rsidR="00B87153" w:rsidRPr="00140BF5">
        <w:rPr>
          <w:lang w:val="en-GB"/>
        </w:rPr>
        <w:t xml:space="preserve">directly put pressure on reluctant employers to </w:t>
      </w:r>
      <w:r w:rsidR="009A75F8" w:rsidRPr="00140BF5">
        <w:rPr>
          <w:lang w:val="en-GB"/>
        </w:rPr>
        <w:t xml:space="preserve">engage, but can also </w:t>
      </w:r>
      <w:r w:rsidR="00BC281E" w:rsidRPr="00140BF5">
        <w:rPr>
          <w:lang w:val="en-GB"/>
        </w:rPr>
        <w:t xml:space="preserve">lead to new coalitions between employers and unions who seek to </w:t>
      </w:r>
      <w:r w:rsidR="000F47A7" w:rsidRPr="00140BF5">
        <w:rPr>
          <w:lang w:val="en-GB"/>
        </w:rPr>
        <w:t xml:space="preserve">restore the legitimacy and ‘bite’ of </w:t>
      </w:r>
      <w:r w:rsidR="00BC281E" w:rsidRPr="00140BF5">
        <w:rPr>
          <w:lang w:val="en-GB"/>
        </w:rPr>
        <w:t>existing wage</w:t>
      </w:r>
      <w:r w:rsidRPr="00140BF5">
        <w:rPr>
          <w:lang w:val="en-GB"/>
        </w:rPr>
        <w:t>-</w:t>
      </w:r>
      <w:r w:rsidR="00BC281E" w:rsidRPr="00140BF5">
        <w:rPr>
          <w:lang w:val="en-GB"/>
        </w:rPr>
        <w:t xml:space="preserve">setting </w:t>
      </w:r>
      <w:r w:rsidRPr="00140BF5">
        <w:rPr>
          <w:lang w:val="en-GB"/>
        </w:rPr>
        <w:t xml:space="preserve">systems </w:t>
      </w:r>
      <w:r w:rsidR="00BC281E" w:rsidRPr="00140BF5">
        <w:rPr>
          <w:lang w:val="en-GB"/>
        </w:rPr>
        <w:t>(</w:t>
      </w:r>
      <w:r w:rsidR="000709DE" w:rsidRPr="00140BF5">
        <w:rPr>
          <w:rFonts w:cs="AdvP5D8B"/>
          <w:color w:val="000000"/>
          <w:lang w:val="en-GB"/>
        </w:rPr>
        <w:t>Blauberger</w:t>
      </w:r>
      <w:r w:rsidR="00C9722E" w:rsidRPr="00140BF5">
        <w:rPr>
          <w:rFonts w:cs="AdvP5D8B"/>
          <w:color w:val="000000"/>
          <w:lang w:val="en-GB"/>
        </w:rPr>
        <w:t>,</w:t>
      </w:r>
      <w:r w:rsidR="000709DE" w:rsidRPr="00140BF5">
        <w:rPr>
          <w:rFonts w:cs="AdvP5D8B"/>
          <w:color w:val="000000"/>
          <w:lang w:val="en-GB"/>
        </w:rPr>
        <w:t xml:space="preserve"> 2014</w:t>
      </w:r>
      <w:r w:rsidR="009A75F8" w:rsidRPr="00140BF5">
        <w:rPr>
          <w:rFonts w:cs="AdvP5D8B"/>
          <w:color w:val="000000"/>
          <w:lang w:val="en-GB"/>
        </w:rPr>
        <w:t>)</w:t>
      </w:r>
      <w:r w:rsidR="00583C63" w:rsidRPr="00140BF5">
        <w:rPr>
          <w:rFonts w:cs="AdvP5D8B"/>
          <w:color w:val="000000"/>
          <w:lang w:val="en-GB"/>
        </w:rPr>
        <w:t xml:space="preserve">. </w:t>
      </w:r>
      <w:r w:rsidR="00BC3FF0" w:rsidRPr="00140BF5">
        <w:rPr>
          <w:lang w:val="en-GB"/>
        </w:rPr>
        <w:t xml:space="preserve"> </w:t>
      </w:r>
      <w:r w:rsidR="00CA70B4" w:rsidRPr="00140BF5">
        <w:rPr>
          <w:lang w:val="en-GB"/>
        </w:rPr>
        <w:t>The complicating factor in this scenario is that the extent to which labour clauses complement existing mechanisms of collective bargaining may be shaped by both national and sectoral dynamics</w:t>
      </w:r>
      <w:r w:rsidR="00095C37" w:rsidRPr="00140BF5">
        <w:rPr>
          <w:lang w:val="en-GB"/>
        </w:rPr>
        <w:t xml:space="preserve"> which give rise to changing patterns and concentrations of precariousness</w:t>
      </w:r>
      <w:r w:rsidR="00CA70B4" w:rsidRPr="00140BF5">
        <w:rPr>
          <w:lang w:val="en-GB"/>
        </w:rPr>
        <w:t xml:space="preserve">. </w:t>
      </w:r>
      <w:r w:rsidR="00095C37" w:rsidRPr="00140BF5">
        <w:rPr>
          <w:lang w:val="en-GB"/>
        </w:rPr>
        <w:t>For example, despite high union density and collective bargaining coverage in Denmark, a small, but growing minority of workers in sectors such as cleaning and construction (often migrant workers) are non-union members working in companies not complying with existing collective agreements meaning hourly pay is often below prevailing wage rates (Arnholtz and Hansen, 2013). The situation is similar in Germany where declining collective bargaining coverage outside of the ‘core’ manufacturing sectors combined with the absence of a national minimum wage (until 2015) mean that low wages and atypical contracts are of increasing concern (Eichhorst and Tobsch, 2015).</w:t>
      </w:r>
    </w:p>
    <w:p w14:paraId="22361B01" w14:textId="5E7EC63E" w:rsidR="00FE6F31" w:rsidRPr="00140BF5" w:rsidRDefault="00FE6F31" w:rsidP="006F724C">
      <w:pPr>
        <w:spacing w:line="480" w:lineRule="auto"/>
        <w:jc w:val="both"/>
        <w:rPr>
          <w:rFonts w:cs="AdvP5D8B"/>
          <w:i/>
          <w:color w:val="000000"/>
          <w:lang w:val="en-GB"/>
        </w:rPr>
      </w:pPr>
    </w:p>
    <w:p w14:paraId="10B6C58A" w14:textId="015A1AEA" w:rsidR="007A5C4B" w:rsidRPr="00140BF5" w:rsidRDefault="007A5C4B" w:rsidP="006F724C">
      <w:pPr>
        <w:spacing w:line="480" w:lineRule="auto"/>
        <w:jc w:val="both"/>
        <w:rPr>
          <w:rFonts w:cs="AdvP5D8B"/>
          <w:i/>
          <w:color w:val="000000"/>
          <w:lang w:val="en-GB"/>
        </w:rPr>
      </w:pPr>
      <w:r w:rsidRPr="00140BF5">
        <w:rPr>
          <w:rFonts w:cs="AdvP5D8B"/>
          <w:i/>
          <w:color w:val="000000"/>
          <w:lang w:val="en-GB"/>
        </w:rPr>
        <w:t xml:space="preserve">How to make </w:t>
      </w:r>
      <w:r w:rsidR="009A1099" w:rsidRPr="00140BF5">
        <w:rPr>
          <w:rFonts w:cs="AdvP5D8B"/>
          <w:i/>
          <w:color w:val="000000"/>
          <w:lang w:val="en-GB"/>
        </w:rPr>
        <w:t xml:space="preserve">labour </w:t>
      </w:r>
      <w:r w:rsidR="00154745" w:rsidRPr="00140BF5">
        <w:rPr>
          <w:rFonts w:cs="AdvP5D8B"/>
          <w:i/>
          <w:color w:val="000000"/>
          <w:lang w:val="en-GB"/>
        </w:rPr>
        <w:t>clauses</w:t>
      </w:r>
      <w:r w:rsidRPr="00140BF5">
        <w:rPr>
          <w:rFonts w:cs="AdvP5D8B"/>
          <w:i/>
          <w:color w:val="000000"/>
          <w:lang w:val="en-GB"/>
        </w:rPr>
        <w:t xml:space="preserve"> work?</w:t>
      </w:r>
    </w:p>
    <w:p w14:paraId="4EC5003F" w14:textId="501AECA9" w:rsidR="00154745" w:rsidRPr="00140BF5" w:rsidRDefault="009A75F8" w:rsidP="006F724C">
      <w:pPr>
        <w:spacing w:line="480" w:lineRule="auto"/>
        <w:jc w:val="both"/>
        <w:rPr>
          <w:rFonts w:cs="AdvP5D8B"/>
          <w:color w:val="000000"/>
          <w:lang w:val="en-GB"/>
        </w:rPr>
      </w:pPr>
      <w:r w:rsidRPr="00140BF5">
        <w:rPr>
          <w:rFonts w:cs="AdvP5D8B"/>
          <w:color w:val="000000"/>
          <w:lang w:val="en-GB"/>
        </w:rPr>
        <w:t xml:space="preserve">Whether labour clauses compensate for or complement systems of labour market regulation, in </w:t>
      </w:r>
      <w:r w:rsidR="00140BF5">
        <w:rPr>
          <w:rFonts w:cs="AdvP5D8B"/>
          <w:color w:val="000000"/>
          <w:lang w:val="en-GB"/>
        </w:rPr>
        <w:t>and of themselves, their localis</w:t>
      </w:r>
      <w:r w:rsidRPr="00140BF5">
        <w:rPr>
          <w:rFonts w:cs="AdvP5D8B"/>
          <w:color w:val="000000"/>
          <w:lang w:val="en-GB"/>
        </w:rPr>
        <w:t xml:space="preserve">ed nature </w:t>
      </w:r>
      <w:r w:rsidR="00C668C2" w:rsidRPr="00140BF5">
        <w:rPr>
          <w:rFonts w:cs="AdvP5D8B"/>
          <w:color w:val="000000"/>
          <w:lang w:val="en-GB"/>
        </w:rPr>
        <w:t xml:space="preserve">often </w:t>
      </w:r>
      <w:r w:rsidRPr="00140BF5">
        <w:rPr>
          <w:rFonts w:cs="AdvP5D8B"/>
          <w:color w:val="000000"/>
          <w:lang w:val="en-GB"/>
        </w:rPr>
        <w:t>means that they only cover a limited number of workers,</w:t>
      </w:r>
      <w:r w:rsidR="0041753C" w:rsidRPr="00140BF5">
        <w:rPr>
          <w:rFonts w:cs="AdvP5D8B"/>
          <w:color w:val="000000"/>
          <w:lang w:val="en-GB"/>
        </w:rPr>
        <w:t xml:space="preserve"> and the</w:t>
      </w:r>
      <w:r w:rsidRPr="00140BF5">
        <w:rPr>
          <w:rFonts w:cs="AdvP5D8B"/>
          <w:color w:val="000000"/>
          <w:lang w:val="en-GB"/>
        </w:rPr>
        <w:t>re is a</w:t>
      </w:r>
      <w:r w:rsidR="0041753C" w:rsidRPr="00140BF5">
        <w:rPr>
          <w:rFonts w:cs="AdvP5D8B"/>
          <w:color w:val="000000"/>
          <w:lang w:val="en-GB"/>
        </w:rPr>
        <w:t xml:space="preserve"> risk that the</w:t>
      </w:r>
      <w:r w:rsidR="00DB1867" w:rsidRPr="00140BF5">
        <w:rPr>
          <w:rFonts w:cs="AdvP5D8B"/>
          <w:color w:val="000000"/>
          <w:lang w:val="en-GB"/>
        </w:rPr>
        <w:t>y</w:t>
      </w:r>
      <w:r w:rsidR="0041753C" w:rsidRPr="00140BF5">
        <w:rPr>
          <w:rFonts w:cs="AdvP5D8B"/>
          <w:color w:val="000000"/>
          <w:lang w:val="en-GB"/>
        </w:rPr>
        <w:t xml:space="preserve"> </w:t>
      </w:r>
      <w:r w:rsidRPr="00140BF5">
        <w:rPr>
          <w:rFonts w:cs="AdvP5D8B"/>
          <w:color w:val="000000"/>
          <w:lang w:val="en-GB"/>
        </w:rPr>
        <w:t>detract from</w:t>
      </w:r>
      <w:r w:rsidR="0041753C" w:rsidRPr="00140BF5">
        <w:rPr>
          <w:rFonts w:cs="AdvP5D8B"/>
          <w:color w:val="000000"/>
          <w:lang w:val="en-GB"/>
        </w:rPr>
        <w:t xml:space="preserve"> </w:t>
      </w:r>
      <w:r w:rsidRPr="00140BF5">
        <w:rPr>
          <w:rFonts w:cs="AdvP5D8B"/>
          <w:color w:val="000000"/>
          <w:lang w:val="en-GB"/>
        </w:rPr>
        <w:t xml:space="preserve">broader </w:t>
      </w:r>
      <w:r w:rsidR="0041753C" w:rsidRPr="00140BF5">
        <w:rPr>
          <w:rFonts w:cs="AdvP5D8B"/>
          <w:color w:val="000000"/>
          <w:lang w:val="en-GB"/>
        </w:rPr>
        <w:t xml:space="preserve">efforts </w:t>
      </w:r>
      <w:r w:rsidRPr="00140BF5">
        <w:rPr>
          <w:rFonts w:cs="AdvP5D8B"/>
          <w:color w:val="000000"/>
          <w:lang w:val="en-GB"/>
        </w:rPr>
        <w:t xml:space="preserve">to systematically re-regulate low wage labour </w:t>
      </w:r>
      <w:r w:rsidR="00925847" w:rsidRPr="00140BF5">
        <w:rPr>
          <w:rFonts w:cs="AdvP5D8B"/>
          <w:color w:val="000000"/>
          <w:lang w:val="en-GB"/>
        </w:rPr>
        <w:lastRenderedPageBreak/>
        <w:t>markets (</w:t>
      </w:r>
      <w:r w:rsidR="0041753C" w:rsidRPr="00140BF5">
        <w:rPr>
          <w:rFonts w:cs="AdvP5D8B"/>
          <w:color w:val="000000"/>
          <w:lang w:val="en-GB"/>
        </w:rPr>
        <w:t>Freeman</w:t>
      </w:r>
      <w:r w:rsidR="00B5306D" w:rsidRPr="00140BF5">
        <w:rPr>
          <w:rFonts w:cs="AdvP5D8B"/>
          <w:color w:val="000000"/>
          <w:lang w:val="en-GB"/>
        </w:rPr>
        <w:t>,</w:t>
      </w:r>
      <w:r w:rsidR="0041753C" w:rsidRPr="00140BF5">
        <w:rPr>
          <w:rFonts w:cs="AdvP5D8B"/>
          <w:color w:val="000000"/>
          <w:lang w:val="en-GB"/>
        </w:rPr>
        <w:t xml:space="preserve"> 2005). </w:t>
      </w:r>
      <w:r w:rsidR="00B9139A" w:rsidRPr="00140BF5">
        <w:rPr>
          <w:lang w:val="en-GB"/>
        </w:rPr>
        <w:t xml:space="preserve"> </w:t>
      </w:r>
      <w:r w:rsidR="002E6E78" w:rsidRPr="00140BF5">
        <w:rPr>
          <w:lang w:val="en-GB"/>
        </w:rPr>
        <w:t>The</w:t>
      </w:r>
      <w:r w:rsidR="002E132D" w:rsidRPr="00140BF5">
        <w:rPr>
          <w:lang w:val="en-GB"/>
        </w:rPr>
        <w:t xml:space="preserve">re are also doubts about the ability of campaigners to maintain pressure on public bodies to prevent the dilution of labour clauses over time, </w:t>
      </w:r>
      <w:r w:rsidR="00027A7D" w:rsidRPr="00140BF5">
        <w:rPr>
          <w:lang w:val="en-GB"/>
        </w:rPr>
        <w:t>and some are sc</w:t>
      </w:r>
      <w:r w:rsidR="00E92E7E" w:rsidRPr="00140BF5">
        <w:rPr>
          <w:lang w:val="en-GB"/>
        </w:rPr>
        <w:t>eptical about the</w:t>
      </w:r>
      <w:r w:rsidR="00D32806" w:rsidRPr="00140BF5">
        <w:rPr>
          <w:lang w:val="en-GB"/>
        </w:rPr>
        <w:t xml:space="preserve"> resources committed by local state actors to monitoring and enforcement: </w:t>
      </w:r>
      <w:r w:rsidR="00D32806" w:rsidRPr="00140BF5">
        <w:rPr>
          <w:rFonts w:cs="AdvP5D8B"/>
          <w:color w:val="000000"/>
          <w:lang w:val="en-GB"/>
        </w:rPr>
        <w:t>‘any expectations that government contracting agencies will monitor and enforce labour standards are misleading. At best, the clauses are rhetoric, and at worst, they are a distraction for parties with enforcement powers’ (Holley et al.</w:t>
      </w:r>
      <w:r w:rsidR="00925847" w:rsidRPr="00140BF5">
        <w:rPr>
          <w:rFonts w:cs="AdvP5D8B"/>
          <w:color w:val="000000"/>
          <w:lang w:val="en-GB"/>
        </w:rPr>
        <w:t>,</w:t>
      </w:r>
      <w:r w:rsidR="00D32806" w:rsidRPr="00140BF5">
        <w:rPr>
          <w:rFonts w:cs="AdvP5D8B"/>
          <w:color w:val="000000"/>
          <w:lang w:val="en-GB"/>
        </w:rPr>
        <w:t xml:space="preserve"> 2015: 43).</w:t>
      </w:r>
      <w:r w:rsidR="002E6E78" w:rsidRPr="00140BF5">
        <w:rPr>
          <w:lang w:val="en-GB"/>
        </w:rPr>
        <w:t xml:space="preserve"> </w:t>
      </w:r>
      <w:r w:rsidR="00BC7A64" w:rsidRPr="00140BF5">
        <w:rPr>
          <w:rFonts w:cs="AdvP5D8B"/>
          <w:color w:val="000000"/>
          <w:lang w:val="en-GB"/>
        </w:rPr>
        <w:t>Furthermore,</w:t>
      </w:r>
      <w:r w:rsidR="00873D86" w:rsidRPr="00140BF5">
        <w:rPr>
          <w:rFonts w:cs="AdvP5D8B"/>
          <w:color w:val="000000"/>
          <w:lang w:val="en-GB"/>
        </w:rPr>
        <w:t xml:space="preserve"> since</w:t>
      </w:r>
      <w:r w:rsidR="00BC7A64" w:rsidRPr="00140BF5">
        <w:rPr>
          <w:rFonts w:cs="AdvP5D8B"/>
          <w:color w:val="000000"/>
          <w:lang w:val="en-GB"/>
        </w:rPr>
        <w:t xml:space="preserve"> </w:t>
      </w:r>
      <w:r w:rsidR="00D32806" w:rsidRPr="00140BF5">
        <w:rPr>
          <w:rFonts w:cs="AdvP5D8B"/>
          <w:color w:val="000000"/>
          <w:lang w:val="en-GB"/>
        </w:rPr>
        <w:t>labour clauses fall</w:t>
      </w:r>
      <w:r w:rsidR="000B5D78" w:rsidRPr="00140BF5">
        <w:rPr>
          <w:rFonts w:cs="AdvP5D8B"/>
          <w:color w:val="000000"/>
          <w:lang w:val="en-GB"/>
        </w:rPr>
        <w:t xml:space="preserve"> outside</w:t>
      </w:r>
      <w:r w:rsidR="00BC7A64" w:rsidRPr="00140BF5">
        <w:rPr>
          <w:rFonts w:cs="AdvP5D8B"/>
          <w:color w:val="000000"/>
          <w:lang w:val="en-GB"/>
        </w:rPr>
        <w:t xml:space="preserve"> of</w:t>
      </w:r>
      <w:r w:rsidR="000B5D78" w:rsidRPr="00140BF5">
        <w:rPr>
          <w:rFonts w:cs="AdvP5D8B"/>
          <w:color w:val="000000"/>
          <w:lang w:val="en-GB"/>
        </w:rPr>
        <w:t xml:space="preserve"> existing</w:t>
      </w:r>
      <w:r w:rsidR="00140BF5">
        <w:rPr>
          <w:rFonts w:cs="AdvP5D8B"/>
          <w:color w:val="000000"/>
          <w:lang w:val="en-GB"/>
        </w:rPr>
        <w:t xml:space="preserve"> institutionalis</w:t>
      </w:r>
      <w:r w:rsidR="000B5D78" w:rsidRPr="00140BF5">
        <w:rPr>
          <w:rFonts w:cs="AdvP5D8B"/>
          <w:color w:val="000000"/>
          <w:lang w:val="en-GB"/>
        </w:rPr>
        <w:t xml:space="preserve">ed forms of interest reconciliation between employers and employees </w:t>
      </w:r>
      <w:r w:rsidR="00BC7A64" w:rsidRPr="00140BF5">
        <w:rPr>
          <w:rFonts w:cs="AdvP5D8B"/>
          <w:color w:val="000000"/>
          <w:lang w:val="en-GB"/>
        </w:rPr>
        <w:t>(collective agreements)</w:t>
      </w:r>
      <w:r w:rsidR="00873D86" w:rsidRPr="00140BF5">
        <w:rPr>
          <w:rFonts w:cs="AdvP5D8B"/>
          <w:color w:val="000000"/>
          <w:lang w:val="en-GB"/>
        </w:rPr>
        <w:t xml:space="preserve"> </w:t>
      </w:r>
      <w:r w:rsidR="00D94C23" w:rsidRPr="00140BF5">
        <w:rPr>
          <w:rFonts w:cs="AdvP5D8B"/>
          <w:color w:val="000000"/>
          <w:lang w:val="en-GB"/>
        </w:rPr>
        <w:t>actors</w:t>
      </w:r>
      <w:r w:rsidR="000B5D78" w:rsidRPr="00140BF5">
        <w:rPr>
          <w:rFonts w:cs="AdvP5D8B"/>
          <w:color w:val="000000"/>
          <w:lang w:val="en-GB"/>
        </w:rPr>
        <w:t xml:space="preserve"> </w:t>
      </w:r>
      <w:r w:rsidR="00832936" w:rsidRPr="00140BF5">
        <w:rPr>
          <w:rFonts w:cs="AdvP5D8B"/>
          <w:color w:val="000000"/>
          <w:lang w:val="en-GB"/>
        </w:rPr>
        <w:t xml:space="preserve">may struggle </w:t>
      </w:r>
      <w:r w:rsidR="000B5D78" w:rsidRPr="00140BF5">
        <w:rPr>
          <w:rFonts w:cs="AdvP5D8B"/>
          <w:color w:val="000000"/>
          <w:lang w:val="en-GB"/>
        </w:rPr>
        <w:t>to effectively transfer their power resources to this increasingly important arena of negotiation</w:t>
      </w:r>
      <w:r w:rsidR="001649A7" w:rsidRPr="00140BF5">
        <w:rPr>
          <w:rFonts w:cs="AdvP5D8B"/>
          <w:color w:val="000000"/>
          <w:lang w:val="en-GB"/>
        </w:rPr>
        <w:t>s</w:t>
      </w:r>
      <w:r w:rsidR="000B5D78" w:rsidRPr="00140BF5">
        <w:rPr>
          <w:rFonts w:cs="AdvP5D8B"/>
          <w:color w:val="000000"/>
          <w:lang w:val="en-GB"/>
        </w:rPr>
        <w:t xml:space="preserve"> </w:t>
      </w:r>
      <w:r w:rsidR="006718E7" w:rsidRPr="00140BF5">
        <w:rPr>
          <w:rFonts w:cs="AdvP5D8B"/>
          <w:color w:val="000000"/>
          <w:lang w:val="en-GB"/>
        </w:rPr>
        <w:t xml:space="preserve">and to ensure that any  agreements are both binding and sustainable </w:t>
      </w:r>
      <w:r w:rsidR="000B5D78" w:rsidRPr="00140BF5">
        <w:rPr>
          <w:rFonts w:cs="AdvP5D8B"/>
          <w:color w:val="000000"/>
          <w:lang w:val="en-GB"/>
        </w:rPr>
        <w:t>(</w:t>
      </w:r>
      <w:r w:rsidR="004808F4">
        <w:rPr>
          <w:rFonts w:cs="AdvP5D8B"/>
          <w:color w:val="000000"/>
          <w:lang w:val="en-GB"/>
        </w:rPr>
        <w:t>Jaehrling</w:t>
      </w:r>
      <w:r w:rsidR="00636063" w:rsidRPr="00140BF5">
        <w:rPr>
          <w:rFonts w:cs="AdvP5D8B"/>
          <w:color w:val="000000"/>
          <w:lang w:val="en-GB"/>
        </w:rPr>
        <w:t>,</w:t>
      </w:r>
      <w:r w:rsidR="000B5D78" w:rsidRPr="00140BF5">
        <w:rPr>
          <w:rFonts w:cs="AdvP5D8B"/>
          <w:color w:val="000000"/>
          <w:lang w:val="en-GB"/>
        </w:rPr>
        <w:t xml:space="preserve"> 2015b). </w:t>
      </w:r>
    </w:p>
    <w:p w14:paraId="76A744CE" w14:textId="7D164E2E" w:rsidR="003D4C0B" w:rsidRPr="00140BF5" w:rsidRDefault="00C73F3F" w:rsidP="006F724C">
      <w:pPr>
        <w:spacing w:line="480" w:lineRule="auto"/>
        <w:jc w:val="both"/>
        <w:rPr>
          <w:rFonts w:cs="AdvP5D8B"/>
          <w:i/>
          <w:color w:val="000000"/>
          <w:lang w:val="en-GB"/>
        </w:rPr>
      </w:pPr>
      <w:r w:rsidRPr="00140BF5">
        <w:rPr>
          <w:rFonts w:cs="AdvP5D8B"/>
          <w:color w:val="000000"/>
          <w:lang w:val="en-GB"/>
        </w:rPr>
        <w:t xml:space="preserve">However, studies </w:t>
      </w:r>
      <w:r w:rsidR="00DE2535" w:rsidRPr="00140BF5">
        <w:rPr>
          <w:rFonts w:cs="AdvP5D8B"/>
          <w:color w:val="000000"/>
          <w:lang w:val="en-GB"/>
        </w:rPr>
        <w:t xml:space="preserve">on </w:t>
      </w:r>
      <w:r w:rsidRPr="00140BF5">
        <w:rPr>
          <w:rFonts w:cs="AdvP5D8B"/>
          <w:color w:val="000000"/>
          <w:lang w:val="en-GB"/>
        </w:rPr>
        <w:t>the implementation of social procurement policies at local level</w:t>
      </w:r>
      <w:r w:rsidR="000579BF" w:rsidRPr="00140BF5">
        <w:rPr>
          <w:rFonts w:cs="AdvP5D8B"/>
          <w:color w:val="000000"/>
          <w:lang w:val="en-GB"/>
        </w:rPr>
        <w:t xml:space="preserve"> </w:t>
      </w:r>
      <w:r w:rsidR="00D32806" w:rsidRPr="00140BF5">
        <w:rPr>
          <w:rFonts w:cs="AdvP5D8B"/>
          <w:color w:val="000000"/>
          <w:lang w:val="en-GB"/>
        </w:rPr>
        <w:t xml:space="preserve">have yet to </w:t>
      </w:r>
      <w:r w:rsidR="000579BF" w:rsidRPr="00140BF5">
        <w:rPr>
          <w:rFonts w:cs="AdvP5D8B"/>
          <w:color w:val="000000"/>
          <w:lang w:val="en-GB"/>
        </w:rPr>
        <w:t xml:space="preserve">reveal </w:t>
      </w:r>
      <w:r w:rsidRPr="00140BF5">
        <w:rPr>
          <w:rFonts w:cs="AdvP5D8B"/>
          <w:color w:val="000000"/>
          <w:lang w:val="en-GB"/>
        </w:rPr>
        <w:t xml:space="preserve">how actors within </w:t>
      </w:r>
      <w:r w:rsidR="00DE2535" w:rsidRPr="00140BF5">
        <w:rPr>
          <w:rFonts w:cs="AdvP5D8B"/>
          <w:color w:val="000000"/>
          <w:lang w:val="en-GB"/>
        </w:rPr>
        <w:t xml:space="preserve">distinct </w:t>
      </w:r>
      <w:r w:rsidR="009622AA" w:rsidRPr="00140BF5">
        <w:rPr>
          <w:rFonts w:cs="AdvP5D8B"/>
          <w:color w:val="000000"/>
          <w:lang w:val="en-GB"/>
        </w:rPr>
        <w:t>employment</w:t>
      </w:r>
      <w:r w:rsidRPr="00140BF5">
        <w:rPr>
          <w:rFonts w:cs="AdvP5D8B"/>
          <w:color w:val="000000"/>
          <w:lang w:val="en-GB"/>
        </w:rPr>
        <w:t xml:space="preserve"> systems leverage their power resource</w:t>
      </w:r>
      <w:r w:rsidR="00735399" w:rsidRPr="00140BF5">
        <w:rPr>
          <w:rFonts w:cs="AdvP5D8B"/>
          <w:color w:val="000000"/>
          <w:lang w:val="en-GB"/>
        </w:rPr>
        <w:t xml:space="preserve">s </w:t>
      </w:r>
      <w:r w:rsidR="001E25F5" w:rsidRPr="00140BF5">
        <w:rPr>
          <w:rFonts w:cs="AdvP5D8B"/>
          <w:color w:val="000000"/>
          <w:lang w:val="en-GB"/>
        </w:rPr>
        <w:t>to tackle precariousness</w:t>
      </w:r>
      <w:r w:rsidR="00735399" w:rsidRPr="00140BF5">
        <w:rPr>
          <w:rFonts w:cs="AdvP5D8B"/>
          <w:color w:val="000000"/>
          <w:lang w:val="en-GB"/>
        </w:rPr>
        <w:t xml:space="preserve">. </w:t>
      </w:r>
      <w:r w:rsidRPr="00140BF5">
        <w:rPr>
          <w:rFonts w:cs="AdvP5D8B"/>
          <w:color w:val="000000"/>
          <w:lang w:val="en-GB"/>
        </w:rPr>
        <w:t xml:space="preserve"> </w:t>
      </w:r>
      <w:r w:rsidR="001C065F" w:rsidRPr="00140BF5">
        <w:rPr>
          <w:rFonts w:cs="AdvP5D8B"/>
          <w:color w:val="000000"/>
          <w:lang w:val="en-GB"/>
        </w:rPr>
        <w:t xml:space="preserve">The </w:t>
      </w:r>
      <w:r w:rsidR="00D663D7" w:rsidRPr="00140BF5">
        <w:rPr>
          <w:rFonts w:cs="AdvP5D8B"/>
          <w:color w:val="000000"/>
          <w:lang w:val="en-GB"/>
        </w:rPr>
        <w:t xml:space="preserve">following </w:t>
      </w:r>
      <w:r w:rsidR="00795EAC" w:rsidRPr="00140BF5">
        <w:rPr>
          <w:rFonts w:cs="AdvP5D8B"/>
          <w:color w:val="000000"/>
          <w:lang w:val="en-GB"/>
        </w:rPr>
        <w:t>fine-grained analys</w:t>
      </w:r>
      <w:r w:rsidR="001C065F" w:rsidRPr="00140BF5">
        <w:rPr>
          <w:rFonts w:cs="AdvP5D8B"/>
          <w:color w:val="000000"/>
          <w:lang w:val="en-GB"/>
        </w:rPr>
        <w:t>i</w:t>
      </w:r>
      <w:r w:rsidR="00795EAC" w:rsidRPr="00140BF5">
        <w:rPr>
          <w:rFonts w:cs="AdvP5D8B"/>
          <w:color w:val="000000"/>
          <w:lang w:val="en-GB"/>
        </w:rPr>
        <w:t xml:space="preserve">s </w:t>
      </w:r>
      <w:r w:rsidR="00415282" w:rsidRPr="00140BF5">
        <w:rPr>
          <w:rFonts w:cs="AdvP5D8B"/>
          <w:color w:val="000000"/>
          <w:lang w:val="en-GB"/>
        </w:rPr>
        <w:t xml:space="preserve">of </w:t>
      </w:r>
      <w:r w:rsidR="00CC4EB2" w:rsidRPr="00140BF5">
        <w:rPr>
          <w:rFonts w:cs="AdvP5D8B"/>
          <w:color w:val="000000"/>
          <w:lang w:val="en-GB"/>
        </w:rPr>
        <w:t xml:space="preserve">social procurement policies over </w:t>
      </w:r>
      <w:r w:rsidR="00795EAC" w:rsidRPr="00140BF5">
        <w:rPr>
          <w:rFonts w:cs="AdvP5D8B"/>
          <w:color w:val="000000"/>
          <w:lang w:val="en-GB"/>
        </w:rPr>
        <w:t xml:space="preserve">the whole policy cycle </w:t>
      </w:r>
      <w:r w:rsidR="008869C4" w:rsidRPr="00140BF5">
        <w:rPr>
          <w:rFonts w:cs="AdvP5D8B"/>
          <w:color w:val="000000"/>
          <w:lang w:val="en-GB"/>
        </w:rPr>
        <w:t>(</w:t>
      </w:r>
      <w:r w:rsidR="00D10E14" w:rsidRPr="00140BF5">
        <w:rPr>
          <w:rFonts w:cs="AdvP5D8B"/>
          <w:color w:val="000000"/>
          <w:lang w:val="en-GB"/>
        </w:rPr>
        <w:t>including</w:t>
      </w:r>
      <w:r w:rsidR="001E25F5" w:rsidRPr="00140BF5">
        <w:rPr>
          <w:rFonts w:cs="AdvP5D8B"/>
          <w:color w:val="000000"/>
          <w:lang w:val="en-GB"/>
        </w:rPr>
        <w:t xml:space="preserve"> </w:t>
      </w:r>
      <w:r w:rsidR="00CC4EB2" w:rsidRPr="00140BF5">
        <w:rPr>
          <w:rFonts w:cs="AdvP5D8B"/>
          <w:color w:val="000000"/>
          <w:lang w:val="en-GB"/>
        </w:rPr>
        <w:t xml:space="preserve">adoption, </w:t>
      </w:r>
      <w:r w:rsidR="00415282" w:rsidRPr="00140BF5">
        <w:rPr>
          <w:rFonts w:cs="AdvP5D8B"/>
          <w:color w:val="000000"/>
          <w:lang w:val="en-GB"/>
        </w:rPr>
        <w:t>design</w:t>
      </w:r>
      <w:r w:rsidR="009622AA" w:rsidRPr="00140BF5">
        <w:rPr>
          <w:rFonts w:cs="AdvP5D8B"/>
          <w:color w:val="000000"/>
          <w:lang w:val="en-GB"/>
        </w:rPr>
        <w:t>,</w:t>
      </w:r>
      <w:r w:rsidR="00415282" w:rsidRPr="00140BF5">
        <w:rPr>
          <w:rFonts w:cs="AdvP5D8B"/>
          <w:color w:val="000000"/>
          <w:lang w:val="en-GB"/>
        </w:rPr>
        <w:t xml:space="preserve"> </w:t>
      </w:r>
      <w:r w:rsidR="00795EAC" w:rsidRPr="00140BF5">
        <w:rPr>
          <w:rFonts w:cs="AdvP5D8B"/>
          <w:color w:val="000000"/>
          <w:lang w:val="en-GB"/>
        </w:rPr>
        <w:t>monitoring</w:t>
      </w:r>
      <w:r w:rsidR="00DB297E" w:rsidRPr="00140BF5">
        <w:rPr>
          <w:rFonts w:cs="AdvP5D8B"/>
          <w:color w:val="000000"/>
          <w:lang w:val="en-GB"/>
        </w:rPr>
        <w:t>,</w:t>
      </w:r>
      <w:r w:rsidR="00CC4EB2" w:rsidRPr="00140BF5">
        <w:rPr>
          <w:rFonts w:cs="AdvP5D8B"/>
          <w:color w:val="000000"/>
          <w:lang w:val="en-GB"/>
        </w:rPr>
        <w:t xml:space="preserve"> and enforcement</w:t>
      </w:r>
      <w:r w:rsidR="00795EAC" w:rsidRPr="00140BF5">
        <w:rPr>
          <w:rFonts w:cs="AdvP5D8B"/>
          <w:color w:val="000000"/>
          <w:lang w:val="en-GB"/>
        </w:rPr>
        <w:t xml:space="preserve">) </w:t>
      </w:r>
      <w:r w:rsidR="002F4B90" w:rsidRPr="00140BF5">
        <w:rPr>
          <w:rFonts w:cs="AdvP5D8B"/>
          <w:color w:val="000000"/>
          <w:lang w:val="en-GB"/>
        </w:rPr>
        <w:t xml:space="preserve">examines </w:t>
      </w:r>
      <w:r w:rsidR="00795EAC" w:rsidRPr="00140BF5">
        <w:rPr>
          <w:rFonts w:cs="AdvP5D8B"/>
          <w:color w:val="000000"/>
          <w:lang w:val="en-GB"/>
        </w:rPr>
        <w:t xml:space="preserve">the </w:t>
      </w:r>
      <w:r w:rsidR="00415282" w:rsidRPr="00140BF5">
        <w:rPr>
          <w:rFonts w:cs="AdvP5D8B"/>
          <w:color w:val="000000"/>
          <w:lang w:val="en-GB"/>
        </w:rPr>
        <w:t>negotiation process between social partners</w:t>
      </w:r>
      <w:r w:rsidR="006F724C" w:rsidRPr="00140BF5">
        <w:rPr>
          <w:rFonts w:cs="AdvP5D8B"/>
          <w:color w:val="000000"/>
          <w:lang w:val="en-GB"/>
        </w:rPr>
        <w:t xml:space="preserve"> over </w:t>
      </w:r>
      <w:r w:rsidR="009622AA" w:rsidRPr="00140BF5">
        <w:rPr>
          <w:rFonts w:cs="AdvP5D8B"/>
          <w:color w:val="000000"/>
          <w:lang w:val="en-GB"/>
        </w:rPr>
        <w:t>these new labour market rules</w:t>
      </w:r>
      <w:r w:rsidR="00415282" w:rsidRPr="00140BF5">
        <w:rPr>
          <w:rFonts w:cs="AdvP5D8B"/>
          <w:color w:val="000000"/>
          <w:lang w:val="en-GB"/>
        </w:rPr>
        <w:t xml:space="preserve">, and how </w:t>
      </w:r>
      <w:r w:rsidR="00761E66" w:rsidRPr="00140BF5">
        <w:rPr>
          <w:rFonts w:cs="AdvP5D8B"/>
          <w:color w:val="000000"/>
          <w:lang w:val="en-GB"/>
        </w:rPr>
        <w:t xml:space="preserve">they </w:t>
      </w:r>
      <w:r w:rsidR="001E25F5" w:rsidRPr="00140BF5">
        <w:rPr>
          <w:rFonts w:cs="AdvP5D8B"/>
          <w:color w:val="000000"/>
          <w:lang w:val="en-GB"/>
        </w:rPr>
        <w:t xml:space="preserve">interact with the </w:t>
      </w:r>
      <w:r w:rsidR="00415282" w:rsidRPr="00140BF5">
        <w:rPr>
          <w:rFonts w:cs="AdvP5D8B"/>
          <w:color w:val="000000"/>
          <w:lang w:val="en-GB"/>
        </w:rPr>
        <w:t xml:space="preserve">wider </w:t>
      </w:r>
      <w:r w:rsidR="00795EAC" w:rsidRPr="00140BF5">
        <w:rPr>
          <w:rFonts w:cs="AdvP5D8B"/>
          <w:color w:val="000000"/>
          <w:lang w:val="en-GB"/>
        </w:rPr>
        <w:t xml:space="preserve">institutional </w:t>
      </w:r>
      <w:r w:rsidR="00415282" w:rsidRPr="00140BF5">
        <w:rPr>
          <w:rFonts w:cs="AdvP5D8B"/>
          <w:color w:val="000000"/>
          <w:lang w:val="en-GB"/>
        </w:rPr>
        <w:t>context</w:t>
      </w:r>
      <w:r w:rsidR="00795EAC" w:rsidRPr="00140BF5">
        <w:rPr>
          <w:rFonts w:cs="AdvP5D8B"/>
          <w:i/>
          <w:color w:val="000000"/>
          <w:lang w:val="en-GB"/>
        </w:rPr>
        <w:t>.</w:t>
      </w:r>
    </w:p>
    <w:p w14:paraId="0A077D76" w14:textId="77777777" w:rsidR="003B3A21" w:rsidRPr="00140BF5" w:rsidRDefault="0007407B" w:rsidP="000D740B">
      <w:pPr>
        <w:spacing w:before="60" w:line="480" w:lineRule="auto"/>
        <w:jc w:val="both"/>
        <w:rPr>
          <w:rFonts w:cs="AdvP5D8B"/>
          <w:i/>
          <w:color w:val="000000"/>
          <w:lang w:val="en-GB"/>
        </w:rPr>
      </w:pPr>
      <w:r w:rsidRPr="00140BF5">
        <w:rPr>
          <w:b/>
          <w:lang w:val="en-GB"/>
        </w:rPr>
        <w:t>Research and</w:t>
      </w:r>
      <w:r w:rsidR="003B3A21" w:rsidRPr="00140BF5">
        <w:rPr>
          <w:b/>
          <w:lang w:val="en-GB"/>
        </w:rPr>
        <w:t xml:space="preserve"> </w:t>
      </w:r>
      <w:r w:rsidRPr="00140BF5">
        <w:rPr>
          <w:b/>
          <w:lang w:val="en-GB"/>
        </w:rPr>
        <w:t>m</w:t>
      </w:r>
      <w:r w:rsidR="003B3A21" w:rsidRPr="00140BF5">
        <w:rPr>
          <w:b/>
          <w:lang w:val="en-GB"/>
        </w:rPr>
        <w:t>ethods</w:t>
      </w:r>
    </w:p>
    <w:p w14:paraId="24972116" w14:textId="5EBA94F6" w:rsidR="00C063E8" w:rsidRPr="00140BF5" w:rsidRDefault="00512BAE" w:rsidP="000D740B">
      <w:pPr>
        <w:spacing w:before="60" w:line="480" w:lineRule="auto"/>
        <w:jc w:val="both"/>
        <w:rPr>
          <w:lang w:val="en-GB"/>
        </w:rPr>
      </w:pPr>
      <w:r w:rsidRPr="00140BF5">
        <w:rPr>
          <w:lang w:val="en-GB"/>
        </w:rPr>
        <w:t xml:space="preserve">The data are drawn from a cross-national comparative study of precarious work in six EU countries which took place during 2015-16, generating a total of 21 case studies and 144 interviews with employers, unions, government officials, managers and workers. The three case studies in this article focus on the procurement of construction and cleaning in Copenhagen (Denmark), construction and catering in Bremen (Germany) and care for older people in Leeds (UK). The specific cases were sampled purposively to provide innovative examples of ‘good practice’ in local government procurement, thus the research design identified local councils across the three countries that had attempted to develop socially responsible procurement initiatives, before identifying specific service areas that met certain conditions critical to this investigation. The first condition to be met was that local government was a </w:t>
      </w:r>
      <w:r w:rsidRPr="00140BF5">
        <w:rPr>
          <w:lang w:val="en-GB"/>
        </w:rPr>
        <w:lastRenderedPageBreak/>
        <w:t>significant customer and that individual councils were responsible for managing contracts of significant value in these service areas. The second was that the service was largely procured and ‘consumed’ locally, thereby affording greater accessibility for local regulatory projects aimed at tackling precariousness. The third was that the procured service activity was chara</w:t>
      </w:r>
      <w:r w:rsidR="00140BF5">
        <w:rPr>
          <w:lang w:val="en-GB"/>
        </w:rPr>
        <w:t>cteris</w:t>
      </w:r>
      <w:r w:rsidRPr="00140BF5">
        <w:rPr>
          <w:lang w:val="en-GB"/>
        </w:rPr>
        <w:t xml:space="preserve">ed by cost competitive market conditions (driven both by downward pressure on public budgets and competition between providers in the private market), often resulting in poor wages working conditions. Although not all sectors (care, cleaning, construction) were represented in each of the three municipalities, the way in which the local councils attempted to introduce labour clauses in these areas </w:t>
      </w:r>
      <w:r w:rsidR="00027A7D" w:rsidRPr="00140BF5">
        <w:rPr>
          <w:lang w:val="en-GB"/>
        </w:rPr>
        <w:t>was</w:t>
      </w:r>
      <w:r w:rsidRPr="00140BF5">
        <w:rPr>
          <w:lang w:val="en-GB"/>
        </w:rPr>
        <w:t xml:space="preserve"> considered potentially illustrative of the dynamics of regulating public sector supply chains where cost considerations typically dominate. </w:t>
      </w:r>
      <w:r w:rsidR="00E312E6" w:rsidRPr="00140BF5">
        <w:rPr>
          <w:lang w:val="en-GB"/>
        </w:rPr>
        <w:t>Finally, t</w:t>
      </w:r>
      <w:r w:rsidR="00581693" w:rsidRPr="00140BF5">
        <w:rPr>
          <w:lang w:val="en-GB"/>
        </w:rPr>
        <w:t xml:space="preserve">he </w:t>
      </w:r>
      <w:r w:rsidR="00E47B8B" w:rsidRPr="00140BF5">
        <w:rPr>
          <w:lang w:val="en-GB"/>
        </w:rPr>
        <w:t xml:space="preserve">choice of </w:t>
      </w:r>
      <w:r w:rsidR="00581693" w:rsidRPr="00140BF5">
        <w:rPr>
          <w:lang w:val="en-GB"/>
        </w:rPr>
        <w:t>three service</w:t>
      </w:r>
      <w:r w:rsidR="00B752D3" w:rsidRPr="00140BF5">
        <w:rPr>
          <w:lang w:val="en-GB"/>
        </w:rPr>
        <w:t xml:space="preserve"> </w:t>
      </w:r>
      <w:r w:rsidR="00581693" w:rsidRPr="00140BF5">
        <w:rPr>
          <w:lang w:val="en-GB"/>
        </w:rPr>
        <w:t xml:space="preserve">activities </w:t>
      </w:r>
      <w:r w:rsidR="00E47B8B" w:rsidRPr="00140BF5">
        <w:rPr>
          <w:lang w:val="en-GB"/>
        </w:rPr>
        <w:t xml:space="preserve">followed a concern to cover both female- and male-dominated sectors (care/cleaning and construction, respectively). </w:t>
      </w:r>
      <w:r w:rsidR="00753B42" w:rsidRPr="00140BF5">
        <w:rPr>
          <w:lang w:val="en-GB"/>
        </w:rPr>
        <w:t>Overall, there are clearly differences in the size, structure and employment relations institutions across the different service</w:t>
      </w:r>
      <w:r w:rsidR="00236030" w:rsidRPr="00140BF5">
        <w:rPr>
          <w:lang w:val="en-GB"/>
        </w:rPr>
        <w:t xml:space="preserve"> areas and countries covered</w:t>
      </w:r>
      <w:r w:rsidR="00753B42" w:rsidRPr="00140BF5">
        <w:rPr>
          <w:lang w:val="en-GB"/>
        </w:rPr>
        <w:t>,</w:t>
      </w:r>
      <w:r w:rsidR="003875AF" w:rsidRPr="00140BF5">
        <w:rPr>
          <w:lang w:val="en-GB"/>
        </w:rPr>
        <w:t xml:space="preserve"> which </w:t>
      </w:r>
      <w:r w:rsidR="00185F0A" w:rsidRPr="00140BF5">
        <w:rPr>
          <w:lang w:val="en-GB"/>
        </w:rPr>
        <w:t xml:space="preserve">is </w:t>
      </w:r>
      <w:r w:rsidR="003875AF" w:rsidRPr="00140BF5">
        <w:rPr>
          <w:lang w:val="en-GB"/>
        </w:rPr>
        <w:t xml:space="preserve">a key factor in exploring the potential compensatory or complementary role </w:t>
      </w:r>
      <w:r w:rsidR="00D12392" w:rsidRPr="00140BF5">
        <w:rPr>
          <w:lang w:val="en-GB"/>
        </w:rPr>
        <w:t xml:space="preserve">of labour clauses. </w:t>
      </w:r>
    </w:p>
    <w:p w14:paraId="54DD1A4A" w14:textId="679208A9" w:rsidR="009F117C" w:rsidRPr="00140BF5" w:rsidRDefault="003B36F8" w:rsidP="0011084D">
      <w:pPr>
        <w:spacing w:before="60" w:line="480" w:lineRule="auto"/>
        <w:jc w:val="both"/>
        <w:rPr>
          <w:lang w:val="en-GB"/>
        </w:rPr>
      </w:pPr>
      <w:r w:rsidRPr="00140BF5">
        <w:rPr>
          <w:lang w:val="en-GB"/>
        </w:rPr>
        <w:t xml:space="preserve">In </w:t>
      </w:r>
      <w:r w:rsidR="002B09A1" w:rsidRPr="00140BF5">
        <w:rPr>
          <w:lang w:val="en-GB"/>
        </w:rPr>
        <w:t xml:space="preserve">the </w:t>
      </w:r>
      <w:r w:rsidRPr="00140BF5">
        <w:rPr>
          <w:lang w:val="en-GB"/>
        </w:rPr>
        <w:t xml:space="preserve">three </w:t>
      </w:r>
      <w:r w:rsidR="002B09A1" w:rsidRPr="00140BF5">
        <w:rPr>
          <w:lang w:val="en-GB"/>
        </w:rPr>
        <w:t xml:space="preserve">selected </w:t>
      </w:r>
      <w:r w:rsidR="00597141" w:rsidRPr="00140BF5">
        <w:rPr>
          <w:lang w:val="en-GB"/>
        </w:rPr>
        <w:t>municipalities</w:t>
      </w:r>
      <w:r w:rsidR="002B09A1" w:rsidRPr="00140BF5">
        <w:rPr>
          <w:lang w:val="en-GB"/>
        </w:rPr>
        <w:t>,</w:t>
      </w:r>
      <w:r w:rsidR="00597141" w:rsidRPr="00140BF5">
        <w:rPr>
          <w:lang w:val="en-GB"/>
        </w:rPr>
        <w:t xml:space="preserve"> </w:t>
      </w:r>
      <w:r w:rsidRPr="00140BF5">
        <w:rPr>
          <w:lang w:val="en-GB"/>
        </w:rPr>
        <w:t xml:space="preserve">labour clauses were introduced as a </w:t>
      </w:r>
      <w:r w:rsidR="002B09A1" w:rsidRPr="00140BF5">
        <w:rPr>
          <w:lang w:val="en-GB"/>
        </w:rPr>
        <w:t xml:space="preserve">mechanism </w:t>
      </w:r>
      <w:r w:rsidRPr="00140BF5">
        <w:rPr>
          <w:lang w:val="en-GB"/>
        </w:rPr>
        <w:t xml:space="preserve">to close </w:t>
      </w:r>
      <w:r w:rsidR="00AE2CB1" w:rsidRPr="00140BF5">
        <w:rPr>
          <w:lang w:val="en-GB"/>
        </w:rPr>
        <w:t xml:space="preserve">specific </w:t>
      </w:r>
      <w:r w:rsidRPr="00140BF5">
        <w:rPr>
          <w:lang w:val="en-GB"/>
        </w:rPr>
        <w:t>gaps</w:t>
      </w:r>
      <w:r w:rsidR="00095C37" w:rsidRPr="00140BF5">
        <w:rPr>
          <w:lang w:val="en-GB"/>
        </w:rPr>
        <w:t xml:space="preserve"> between public and private sector wage rates</w:t>
      </w:r>
      <w:r w:rsidRPr="00140BF5">
        <w:rPr>
          <w:lang w:val="en-GB"/>
        </w:rPr>
        <w:t>, and all three could be considered ‘leaders’ in socially responsible procurement within local government</w:t>
      </w:r>
      <w:r w:rsidR="00EE571C" w:rsidRPr="00140BF5">
        <w:rPr>
          <w:lang w:val="en-GB"/>
        </w:rPr>
        <w:t xml:space="preserve"> in their respective countries</w:t>
      </w:r>
      <w:r w:rsidRPr="00140BF5">
        <w:rPr>
          <w:lang w:val="en-GB"/>
        </w:rPr>
        <w:t>. For example</w:t>
      </w:r>
      <w:r w:rsidR="009628A7" w:rsidRPr="00140BF5">
        <w:rPr>
          <w:lang w:val="en-GB"/>
        </w:rPr>
        <w:t>,</w:t>
      </w:r>
      <w:r w:rsidRPr="00140BF5">
        <w:rPr>
          <w:lang w:val="en-GB"/>
        </w:rPr>
        <w:t xml:space="preserve"> </w:t>
      </w:r>
      <w:r w:rsidR="00E808D2" w:rsidRPr="00140BF5">
        <w:rPr>
          <w:lang w:val="en-GB"/>
        </w:rPr>
        <w:t>90</w:t>
      </w:r>
      <w:r w:rsidR="001864DC" w:rsidRPr="00140BF5">
        <w:rPr>
          <w:lang w:val="en-GB"/>
        </w:rPr>
        <w:t xml:space="preserve"> percent</w:t>
      </w:r>
      <w:r w:rsidR="00E808D2" w:rsidRPr="00140BF5">
        <w:rPr>
          <w:lang w:val="en-GB"/>
        </w:rPr>
        <w:t xml:space="preserve"> of Danish municipalities make use of</w:t>
      </w:r>
      <w:r w:rsidR="00B30B35" w:rsidRPr="00140BF5">
        <w:rPr>
          <w:lang w:val="en-GB"/>
        </w:rPr>
        <w:t xml:space="preserve"> non-mandatory </w:t>
      </w:r>
      <w:r w:rsidR="00E808D2" w:rsidRPr="00140BF5">
        <w:rPr>
          <w:lang w:val="en-GB"/>
        </w:rPr>
        <w:t>labour clauses</w:t>
      </w:r>
      <w:r w:rsidR="00721BCD" w:rsidRPr="00140BF5">
        <w:rPr>
          <w:lang w:val="en-GB"/>
        </w:rPr>
        <w:t xml:space="preserve"> for some of their contracts</w:t>
      </w:r>
      <w:r w:rsidR="00E808D2" w:rsidRPr="00140BF5">
        <w:rPr>
          <w:lang w:val="en-GB"/>
        </w:rPr>
        <w:t xml:space="preserve">, but </w:t>
      </w:r>
      <w:r w:rsidR="00721BCD" w:rsidRPr="00140BF5">
        <w:rPr>
          <w:lang w:val="en-GB"/>
        </w:rPr>
        <w:t>Copenhagen is unusual</w:t>
      </w:r>
      <w:r w:rsidR="00E808D2" w:rsidRPr="00140BF5">
        <w:rPr>
          <w:lang w:val="en-GB"/>
        </w:rPr>
        <w:t xml:space="preserve"> </w:t>
      </w:r>
      <w:r w:rsidR="00721BCD" w:rsidRPr="00140BF5">
        <w:rPr>
          <w:lang w:val="en-GB"/>
        </w:rPr>
        <w:t>in that it</w:t>
      </w:r>
      <w:r w:rsidR="005F7CD5" w:rsidRPr="00140BF5">
        <w:rPr>
          <w:lang w:val="en-GB"/>
        </w:rPr>
        <w:t xml:space="preserve"> </w:t>
      </w:r>
      <w:r w:rsidR="00E808D2" w:rsidRPr="00140BF5">
        <w:rPr>
          <w:lang w:val="en-GB"/>
        </w:rPr>
        <w:t xml:space="preserve">systematically includes them in all public </w:t>
      </w:r>
      <w:r w:rsidR="00721BCD" w:rsidRPr="00140BF5">
        <w:rPr>
          <w:lang w:val="en-GB"/>
        </w:rPr>
        <w:t>contracts</w:t>
      </w:r>
      <w:r w:rsidR="009628A7" w:rsidRPr="00140BF5">
        <w:rPr>
          <w:lang w:val="en-GB"/>
        </w:rPr>
        <w:t xml:space="preserve"> and monitor</w:t>
      </w:r>
      <w:r w:rsidR="002B09A1" w:rsidRPr="00140BF5">
        <w:rPr>
          <w:lang w:val="en-GB"/>
        </w:rPr>
        <w:t>s</w:t>
      </w:r>
      <w:r w:rsidR="009628A7" w:rsidRPr="00140BF5">
        <w:rPr>
          <w:lang w:val="en-GB"/>
        </w:rPr>
        <w:t xml:space="preserve"> them</w:t>
      </w:r>
      <w:r w:rsidR="00E808D2" w:rsidRPr="00140BF5">
        <w:rPr>
          <w:lang w:val="en-GB"/>
        </w:rPr>
        <w:t xml:space="preserve">. </w:t>
      </w:r>
      <w:r w:rsidR="002B09A1" w:rsidRPr="00140BF5">
        <w:rPr>
          <w:lang w:val="en-GB"/>
        </w:rPr>
        <w:t xml:space="preserve">In Germany, </w:t>
      </w:r>
      <w:r w:rsidR="00E808D2" w:rsidRPr="00140BF5">
        <w:rPr>
          <w:lang w:val="en-GB"/>
        </w:rPr>
        <w:t xml:space="preserve">12 out of 16 </w:t>
      </w:r>
      <w:r w:rsidR="002B09A1" w:rsidRPr="00140BF5">
        <w:rPr>
          <w:lang w:val="en-GB"/>
        </w:rPr>
        <w:t>f</w:t>
      </w:r>
      <w:r w:rsidR="00E808D2" w:rsidRPr="00140BF5">
        <w:rPr>
          <w:lang w:val="en-GB"/>
        </w:rPr>
        <w:t>ederal states mandat</w:t>
      </w:r>
      <w:r w:rsidR="00721BCD" w:rsidRPr="00140BF5">
        <w:rPr>
          <w:lang w:val="en-GB"/>
        </w:rPr>
        <w:t>e</w:t>
      </w:r>
      <w:r w:rsidR="00E808D2" w:rsidRPr="00140BF5">
        <w:rPr>
          <w:lang w:val="en-GB"/>
        </w:rPr>
        <w:t xml:space="preserve"> labour clauses, but Bremen </w:t>
      </w:r>
      <w:r w:rsidR="00EE571C" w:rsidRPr="00140BF5">
        <w:rPr>
          <w:lang w:val="en-GB"/>
        </w:rPr>
        <w:t xml:space="preserve">City </w:t>
      </w:r>
      <w:r w:rsidR="00E808D2" w:rsidRPr="00140BF5">
        <w:rPr>
          <w:lang w:val="en-GB"/>
        </w:rPr>
        <w:t xml:space="preserve">pioneered this </w:t>
      </w:r>
      <w:r w:rsidR="00721BCD" w:rsidRPr="00140BF5">
        <w:rPr>
          <w:lang w:val="en-GB"/>
        </w:rPr>
        <w:t>approach</w:t>
      </w:r>
      <w:r w:rsidR="00E808D2" w:rsidRPr="00140BF5">
        <w:rPr>
          <w:lang w:val="en-GB"/>
        </w:rPr>
        <w:t xml:space="preserve"> and extend</w:t>
      </w:r>
      <w:r w:rsidR="00721BCD" w:rsidRPr="00140BF5">
        <w:rPr>
          <w:lang w:val="en-GB"/>
        </w:rPr>
        <w:t>s</w:t>
      </w:r>
      <w:r w:rsidR="00E808D2" w:rsidRPr="00140BF5">
        <w:rPr>
          <w:lang w:val="en-GB"/>
        </w:rPr>
        <w:t xml:space="preserve"> it to </w:t>
      </w:r>
      <w:r w:rsidR="00B30B35" w:rsidRPr="00140BF5">
        <w:rPr>
          <w:lang w:val="en-GB"/>
        </w:rPr>
        <w:t xml:space="preserve">a </w:t>
      </w:r>
      <w:r w:rsidR="00721BCD" w:rsidRPr="00140BF5">
        <w:rPr>
          <w:lang w:val="en-GB"/>
        </w:rPr>
        <w:t>wide</w:t>
      </w:r>
      <w:r w:rsidRPr="00140BF5">
        <w:rPr>
          <w:lang w:val="en-GB"/>
        </w:rPr>
        <w:t>r</w:t>
      </w:r>
      <w:r w:rsidR="00721BCD" w:rsidRPr="00140BF5">
        <w:rPr>
          <w:lang w:val="en-GB"/>
        </w:rPr>
        <w:t xml:space="preserve"> range</w:t>
      </w:r>
      <w:r w:rsidR="00B30B35" w:rsidRPr="00140BF5">
        <w:rPr>
          <w:lang w:val="en-GB"/>
        </w:rPr>
        <w:t xml:space="preserve"> of industries</w:t>
      </w:r>
      <w:r w:rsidRPr="00140BF5">
        <w:rPr>
          <w:lang w:val="en-GB"/>
        </w:rPr>
        <w:t xml:space="preserve"> than most</w:t>
      </w:r>
      <w:r w:rsidR="005C74AE" w:rsidRPr="00140BF5">
        <w:rPr>
          <w:lang w:val="en-GB"/>
        </w:rPr>
        <w:t>.</w:t>
      </w:r>
      <w:r w:rsidR="00B30B35" w:rsidRPr="00140BF5">
        <w:rPr>
          <w:lang w:val="en-GB"/>
        </w:rPr>
        <w:t xml:space="preserve"> Leeds </w:t>
      </w:r>
      <w:r w:rsidR="00721BCD" w:rsidRPr="00140BF5">
        <w:rPr>
          <w:lang w:val="en-GB"/>
        </w:rPr>
        <w:t>is one of</w:t>
      </w:r>
      <w:r w:rsidR="00B30B35" w:rsidRPr="00140BF5">
        <w:rPr>
          <w:lang w:val="en-GB"/>
        </w:rPr>
        <w:t xml:space="preserve"> </w:t>
      </w:r>
      <w:r w:rsidR="00721BCD" w:rsidRPr="00140BF5">
        <w:rPr>
          <w:lang w:val="en-GB"/>
        </w:rPr>
        <w:t>only 13</w:t>
      </w:r>
      <w:r w:rsidR="00B30B35" w:rsidRPr="00140BF5">
        <w:rPr>
          <w:lang w:val="en-GB"/>
        </w:rPr>
        <w:t xml:space="preserve"> UK local authorities </w:t>
      </w:r>
      <w:r w:rsidR="002B09A1" w:rsidRPr="00140BF5">
        <w:rPr>
          <w:lang w:val="en-GB"/>
        </w:rPr>
        <w:t xml:space="preserve">(out of 365) </w:t>
      </w:r>
      <w:r w:rsidR="00B30B35" w:rsidRPr="00140BF5">
        <w:rPr>
          <w:lang w:val="en-GB"/>
        </w:rPr>
        <w:t>applying labour clauses</w:t>
      </w:r>
      <w:r w:rsidR="00721BCD" w:rsidRPr="00140BF5">
        <w:rPr>
          <w:lang w:val="en-GB"/>
        </w:rPr>
        <w:t xml:space="preserve"> </w:t>
      </w:r>
      <w:r w:rsidRPr="00140BF5">
        <w:rPr>
          <w:lang w:val="en-GB"/>
        </w:rPr>
        <w:t xml:space="preserve">to contracts </w:t>
      </w:r>
      <w:r w:rsidR="00721BCD" w:rsidRPr="00140BF5">
        <w:rPr>
          <w:lang w:val="en-GB"/>
        </w:rPr>
        <w:t>for older persons</w:t>
      </w:r>
      <w:r w:rsidR="002B09A1" w:rsidRPr="00140BF5">
        <w:rPr>
          <w:lang w:val="en-GB"/>
        </w:rPr>
        <w:t>’</w:t>
      </w:r>
      <w:r w:rsidR="00721BCD" w:rsidRPr="00140BF5">
        <w:rPr>
          <w:lang w:val="en-GB"/>
        </w:rPr>
        <w:t xml:space="preserve"> care</w:t>
      </w:r>
      <w:r w:rsidR="002B09A1" w:rsidRPr="00140BF5">
        <w:rPr>
          <w:lang w:val="en-GB"/>
        </w:rPr>
        <w:t>, following its</w:t>
      </w:r>
      <w:r w:rsidR="00721BCD" w:rsidRPr="00140BF5">
        <w:rPr>
          <w:lang w:val="en-GB"/>
        </w:rPr>
        <w:t xml:space="preserve"> adoption of</w:t>
      </w:r>
      <w:r w:rsidR="00FA02CD" w:rsidRPr="00140BF5">
        <w:rPr>
          <w:lang w:val="en-GB"/>
        </w:rPr>
        <w:t xml:space="preserve"> a voluntary </w:t>
      </w:r>
      <w:r w:rsidR="00721BCD" w:rsidRPr="00140BF5">
        <w:rPr>
          <w:lang w:val="en-GB"/>
        </w:rPr>
        <w:t xml:space="preserve">‘ethical care </w:t>
      </w:r>
      <w:r w:rsidR="00FA02CD" w:rsidRPr="00140BF5">
        <w:rPr>
          <w:lang w:val="en-GB"/>
        </w:rPr>
        <w:t>charter</w:t>
      </w:r>
      <w:r w:rsidR="00721BCD" w:rsidRPr="00140BF5">
        <w:rPr>
          <w:lang w:val="en-GB"/>
        </w:rPr>
        <w:t>’</w:t>
      </w:r>
      <w:r w:rsidR="00FA02CD" w:rsidRPr="00140BF5">
        <w:rPr>
          <w:lang w:val="en-GB"/>
        </w:rPr>
        <w:t xml:space="preserve"> launched by </w:t>
      </w:r>
      <w:r w:rsidR="004821DD" w:rsidRPr="00140BF5">
        <w:rPr>
          <w:lang w:val="en-GB"/>
        </w:rPr>
        <w:t xml:space="preserve">one of the </w:t>
      </w:r>
      <w:r w:rsidR="00FA02CD" w:rsidRPr="00140BF5">
        <w:rPr>
          <w:lang w:val="en-GB"/>
        </w:rPr>
        <w:t xml:space="preserve">main </w:t>
      </w:r>
      <w:r w:rsidR="00721BCD" w:rsidRPr="00140BF5">
        <w:rPr>
          <w:lang w:val="en-GB"/>
        </w:rPr>
        <w:t xml:space="preserve">local government </w:t>
      </w:r>
      <w:r w:rsidR="004821DD" w:rsidRPr="00140BF5">
        <w:rPr>
          <w:lang w:val="en-GB"/>
        </w:rPr>
        <w:t xml:space="preserve">trade </w:t>
      </w:r>
      <w:r w:rsidR="005C74AE" w:rsidRPr="00140BF5">
        <w:rPr>
          <w:lang w:val="en-GB"/>
        </w:rPr>
        <w:t>union</w:t>
      </w:r>
      <w:r w:rsidR="004821DD" w:rsidRPr="00140BF5">
        <w:rPr>
          <w:lang w:val="en-GB"/>
        </w:rPr>
        <w:t>s</w:t>
      </w:r>
      <w:r w:rsidR="005C74AE" w:rsidRPr="00140BF5">
        <w:rPr>
          <w:lang w:val="en-GB"/>
        </w:rPr>
        <w:t xml:space="preserve"> </w:t>
      </w:r>
      <w:r w:rsidR="00FA02CD" w:rsidRPr="00140BF5">
        <w:rPr>
          <w:lang w:val="en-GB"/>
        </w:rPr>
        <w:t>in 2012</w:t>
      </w:r>
      <w:r w:rsidR="00721BCD" w:rsidRPr="00140BF5">
        <w:rPr>
          <w:lang w:val="en-GB"/>
        </w:rPr>
        <w:t xml:space="preserve">. </w:t>
      </w:r>
      <w:r w:rsidR="003D4C0B" w:rsidRPr="00140BF5">
        <w:rPr>
          <w:lang w:val="en-GB"/>
        </w:rPr>
        <w:t xml:space="preserve"> </w:t>
      </w:r>
      <w:r w:rsidR="00AE2CB1" w:rsidRPr="00140BF5">
        <w:rPr>
          <w:lang w:val="en-GB"/>
        </w:rPr>
        <w:t xml:space="preserve"> </w:t>
      </w:r>
    </w:p>
    <w:p w14:paraId="414665CB" w14:textId="77777777" w:rsidR="003B3A21" w:rsidRPr="00140BF5" w:rsidRDefault="003D4C0B" w:rsidP="0011084D">
      <w:pPr>
        <w:spacing w:line="480" w:lineRule="auto"/>
        <w:jc w:val="both"/>
        <w:rPr>
          <w:b/>
          <w:lang w:val="en-GB"/>
        </w:rPr>
      </w:pPr>
      <w:r w:rsidRPr="00140BF5">
        <w:rPr>
          <w:lang w:val="en-GB"/>
        </w:rPr>
        <w:t xml:space="preserve">The </w:t>
      </w:r>
      <w:r w:rsidR="00467E59" w:rsidRPr="00140BF5">
        <w:rPr>
          <w:lang w:val="en-GB"/>
        </w:rPr>
        <w:t>research</w:t>
      </w:r>
      <w:r w:rsidRPr="00140BF5">
        <w:rPr>
          <w:lang w:val="en-GB"/>
        </w:rPr>
        <w:t xml:space="preserve"> draws on a </w:t>
      </w:r>
      <w:r w:rsidR="00A63B70" w:rsidRPr="00140BF5">
        <w:rPr>
          <w:lang w:val="en-GB"/>
        </w:rPr>
        <w:t xml:space="preserve">sub-set </w:t>
      </w:r>
      <w:r w:rsidRPr="00140BF5">
        <w:rPr>
          <w:lang w:val="en-GB"/>
        </w:rPr>
        <w:t>of 2</w:t>
      </w:r>
      <w:r w:rsidR="00BE3694" w:rsidRPr="00140BF5">
        <w:rPr>
          <w:lang w:val="en-GB"/>
        </w:rPr>
        <w:t>8</w:t>
      </w:r>
      <w:r w:rsidRPr="00140BF5">
        <w:rPr>
          <w:lang w:val="en-GB"/>
        </w:rPr>
        <w:t xml:space="preserve"> interview</w:t>
      </w:r>
      <w:r w:rsidR="009F117C" w:rsidRPr="00140BF5">
        <w:rPr>
          <w:lang w:val="en-GB"/>
        </w:rPr>
        <w:t>s (</w:t>
      </w:r>
      <w:r w:rsidR="00C940FC" w:rsidRPr="00140BF5">
        <w:rPr>
          <w:lang w:val="en-GB"/>
        </w:rPr>
        <w:t xml:space="preserve">14 </w:t>
      </w:r>
      <w:r w:rsidRPr="00140BF5">
        <w:rPr>
          <w:lang w:val="en-GB"/>
        </w:rPr>
        <w:t xml:space="preserve">in </w:t>
      </w:r>
      <w:r w:rsidR="009F117C" w:rsidRPr="00140BF5">
        <w:rPr>
          <w:lang w:val="en-GB"/>
        </w:rPr>
        <w:t>Copenhagen</w:t>
      </w:r>
      <w:r w:rsidRPr="00140BF5">
        <w:rPr>
          <w:lang w:val="en-GB"/>
        </w:rPr>
        <w:t xml:space="preserve">, eight in </w:t>
      </w:r>
      <w:r w:rsidR="009F117C" w:rsidRPr="00140BF5">
        <w:rPr>
          <w:lang w:val="en-GB"/>
        </w:rPr>
        <w:t>Bremen</w:t>
      </w:r>
      <w:r w:rsidRPr="00140BF5">
        <w:rPr>
          <w:lang w:val="en-GB"/>
        </w:rPr>
        <w:t xml:space="preserve"> and six in </w:t>
      </w:r>
      <w:r w:rsidR="009F117C" w:rsidRPr="00140BF5">
        <w:rPr>
          <w:lang w:val="en-GB"/>
        </w:rPr>
        <w:t xml:space="preserve">Leeds) </w:t>
      </w:r>
      <w:r w:rsidR="00501214" w:rsidRPr="00140BF5">
        <w:rPr>
          <w:lang w:val="en-GB"/>
        </w:rPr>
        <w:t>with</w:t>
      </w:r>
      <w:r w:rsidRPr="00140BF5">
        <w:rPr>
          <w:lang w:val="en-GB"/>
        </w:rPr>
        <w:t xml:space="preserve"> key stakeholders</w:t>
      </w:r>
      <w:r w:rsidR="00BE279B" w:rsidRPr="00140BF5">
        <w:rPr>
          <w:lang w:val="en-GB"/>
        </w:rPr>
        <w:t>:</w:t>
      </w:r>
      <w:r w:rsidRPr="00140BF5">
        <w:rPr>
          <w:lang w:val="en-GB"/>
        </w:rPr>
        <w:t xml:space="preserve"> local government officials</w:t>
      </w:r>
      <w:r w:rsidR="00BE279B" w:rsidRPr="00140BF5">
        <w:rPr>
          <w:lang w:val="en-GB"/>
        </w:rPr>
        <w:t>;</w:t>
      </w:r>
      <w:r w:rsidRPr="00140BF5">
        <w:rPr>
          <w:lang w:val="en-GB"/>
        </w:rPr>
        <w:t xml:space="preserve"> politicians</w:t>
      </w:r>
      <w:r w:rsidR="00BE279B" w:rsidRPr="00140BF5">
        <w:rPr>
          <w:lang w:val="en-GB"/>
        </w:rPr>
        <w:t>;</w:t>
      </w:r>
      <w:r w:rsidRPr="00140BF5">
        <w:rPr>
          <w:lang w:val="en-GB"/>
        </w:rPr>
        <w:t xml:space="preserve"> </w:t>
      </w:r>
      <w:r w:rsidR="00BE279B" w:rsidRPr="00140BF5">
        <w:rPr>
          <w:lang w:val="en-GB"/>
        </w:rPr>
        <w:t xml:space="preserve">trade </w:t>
      </w:r>
      <w:r w:rsidRPr="00140BF5">
        <w:rPr>
          <w:lang w:val="en-GB"/>
        </w:rPr>
        <w:t>union representatives</w:t>
      </w:r>
      <w:r w:rsidR="00BE279B" w:rsidRPr="00140BF5">
        <w:rPr>
          <w:lang w:val="en-GB"/>
        </w:rPr>
        <w:t>;</w:t>
      </w:r>
      <w:r w:rsidRPr="00140BF5">
        <w:rPr>
          <w:lang w:val="en-GB"/>
        </w:rPr>
        <w:t xml:space="preserve"> employers' </w:t>
      </w:r>
      <w:r w:rsidRPr="00140BF5">
        <w:rPr>
          <w:lang w:val="en-GB"/>
        </w:rPr>
        <w:lastRenderedPageBreak/>
        <w:t>association officials</w:t>
      </w:r>
      <w:r w:rsidR="00BE279B" w:rsidRPr="00140BF5">
        <w:rPr>
          <w:lang w:val="en-GB"/>
        </w:rPr>
        <w:t>;</w:t>
      </w:r>
      <w:r w:rsidRPr="00140BF5">
        <w:rPr>
          <w:lang w:val="en-GB"/>
        </w:rPr>
        <w:t xml:space="preserve"> managers </w:t>
      </w:r>
      <w:r w:rsidR="00BE279B" w:rsidRPr="00140BF5">
        <w:rPr>
          <w:lang w:val="en-GB"/>
        </w:rPr>
        <w:t xml:space="preserve">from private sector </w:t>
      </w:r>
      <w:r w:rsidRPr="00140BF5">
        <w:rPr>
          <w:lang w:val="en-GB"/>
        </w:rPr>
        <w:t>subcontractor</w:t>
      </w:r>
      <w:r w:rsidR="00BE279B" w:rsidRPr="00140BF5">
        <w:rPr>
          <w:lang w:val="en-GB"/>
        </w:rPr>
        <w:t>s;</w:t>
      </w:r>
      <w:r w:rsidRPr="00140BF5">
        <w:rPr>
          <w:lang w:val="en-GB"/>
        </w:rPr>
        <w:t xml:space="preserve"> and </w:t>
      </w:r>
      <w:r w:rsidR="00501214" w:rsidRPr="00140BF5">
        <w:rPr>
          <w:lang w:val="en-GB"/>
        </w:rPr>
        <w:t>staff f</w:t>
      </w:r>
      <w:r w:rsidR="00BE279B" w:rsidRPr="00140BF5">
        <w:rPr>
          <w:lang w:val="en-GB"/>
        </w:rPr>
        <w:t>r</w:t>
      </w:r>
      <w:r w:rsidR="00501214" w:rsidRPr="00140BF5">
        <w:rPr>
          <w:lang w:val="en-GB"/>
        </w:rPr>
        <w:t>o</w:t>
      </w:r>
      <w:r w:rsidR="00BE279B" w:rsidRPr="00140BF5">
        <w:rPr>
          <w:lang w:val="en-GB"/>
        </w:rPr>
        <w:t xml:space="preserve">m the </w:t>
      </w:r>
      <w:r w:rsidR="00BC0672" w:rsidRPr="00140BF5">
        <w:rPr>
          <w:lang w:val="en-GB"/>
        </w:rPr>
        <w:t>inspection agencies (in Bremen and Copenhagen)</w:t>
      </w:r>
      <w:r w:rsidR="00BE279B" w:rsidRPr="00140BF5">
        <w:rPr>
          <w:lang w:val="en-GB"/>
        </w:rPr>
        <w:t>.</w:t>
      </w:r>
      <w:r w:rsidR="005E333B" w:rsidRPr="00140BF5">
        <w:rPr>
          <w:lang w:val="en-GB"/>
        </w:rPr>
        <w:t xml:space="preserve"> I</w:t>
      </w:r>
      <w:r w:rsidR="002C6AA4" w:rsidRPr="00140BF5">
        <w:rPr>
          <w:lang w:val="en-GB"/>
        </w:rPr>
        <w:t>nterview</w:t>
      </w:r>
      <w:r w:rsidRPr="00140BF5">
        <w:rPr>
          <w:lang w:val="en-GB"/>
        </w:rPr>
        <w:t xml:space="preserve"> data were triangulated with various publicly available documents such as calls for tenders</w:t>
      </w:r>
      <w:r w:rsidR="00787971" w:rsidRPr="00140BF5">
        <w:rPr>
          <w:lang w:val="en-GB"/>
        </w:rPr>
        <w:t>,</w:t>
      </w:r>
      <w:r w:rsidRPr="00140BF5">
        <w:rPr>
          <w:lang w:val="en-GB"/>
        </w:rPr>
        <w:t xml:space="preserve"> contract awards, internal documents from the municipalities</w:t>
      </w:r>
      <w:r w:rsidR="00A63B70" w:rsidRPr="00140BF5">
        <w:rPr>
          <w:lang w:val="en-GB"/>
        </w:rPr>
        <w:t>,</w:t>
      </w:r>
      <w:r w:rsidRPr="00140BF5">
        <w:rPr>
          <w:lang w:val="en-GB"/>
        </w:rPr>
        <w:t xml:space="preserve"> a</w:t>
      </w:r>
      <w:r w:rsidR="005E333B" w:rsidRPr="00140BF5">
        <w:rPr>
          <w:lang w:val="en-GB"/>
        </w:rPr>
        <w:t>long with</w:t>
      </w:r>
      <w:r w:rsidRPr="00140BF5">
        <w:rPr>
          <w:lang w:val="en-GB"/>
        </w:rPr>
        <w:t xml:space="preserve"> news coverage </w:t>
      </w:r>
      <w:r w:rsidR="002C6AA4" w:rsidRPr="00140BF5">
        <w:rPr>
          <w:lang w:val="en-GB"/>
        </w:rPr>
        <w:t xml:space="preserve">to explore the </w:t>
      </w:r>
      <w:r w:rsidR="00AB3347" w:rsidRPr="00140BF5">
        <w:rPr>
          <w:lang w:val="en-GB"/>
        </w:rPr>
        <w:t xml:space="preserve">ongoing </w:t>
      </w:r>
      <w:r w:rsidR="002C6AA4" w:rsidRPr="00140BF5">
        <w:rPr>
          <w:lang w:val="en-GB"/>
        </w:rPr>
        <w:t>process of implementation and monitoring</w:t>
      </w:r>
      <w:r w:rsidR="005E333B" w:rsidRPr="00140BF5">
        <w:rPr>
          <w:lang w:val="en-GB"/>
        </w:rPr>
        <w:t xml:space="preserve">. </w:t>
      </w:r>
      <w:r w:rsidR="002C6AA4" w:rsidRPr="00140BF5">
        <w:rPr>
          <w:lang w:val="en-GB"/>
        </w:rPr>
        <w:t xml:space="preserve"> </w:t>
      </w:r>
    </w:p>
    <w:p w14:paraId="44BBFF94" w14:textId="77777777" w:rsidR="00C35A4F" w:rsidRPr="00140BF5" w:rsidRDefault="00C35A4F" w:rsidP="0011084D">
      <w:pPr>
        <w:spacing w:before="60" w:after="60" w:line="480" w:lineRule="auto"/>
        <w:rPr>
          <w:b/>
          <w:lang w:val="en-GB"/>
        </w:rPr>
      </w:pPr>
      <w:r w:rsidRPr="00140BF5">
        <w:rPr>
          <w:b/>
          <w:lang w:val="en-GB"/>
        </w:rPr>
        <w:t>Findings</w:t>
      </w:r>
    </w:p>
    <w:p w14:paraId="7B489AA4" w14:textId="25DD249E" w:rsidR="00C35A4F" w:rsidRPr="00140BF5" w:rsidRDefault="00C35A4F" w:rsidP="0011084D">
      <w:pPr>
        <w:spacing w:before="60" w:line="480" w:lineRule="auto"/>
        <w:jc w:val="both"/>
        <w:rPr>
          <w:b/>
          <w:lang w:val="en-GB"/>
        </w:rPr>
      </w:pPr>
      <w:r w:rsidRPr="00140BF5">
        <w:rPr>
          <w:lang w:val="en-GB"/>
        </w:rPr>
        <w:t>The</w:t>
      </w:r>
      <w:r w:rsidR="00E667D8" w:rsidRPr="00140BF5">
        <w:rPr>
          <w:lang w:val="en-GB"/>
        </w:rPr>
        <w:t xml:space="preserve"> </w:t>
      </w:r>
      <w:r w:rsidR="009677C0" w:rsidRPr="00140BF5">
        <w:rPr>
          <w:lang w:val="en-GB"/>
        </w:rPr>
        <w:t xml:space="preserve">research </w:t>
      </w:r>
      <w:r w:rsidR="00E667D8" w:rsidRPr="00140BF5">
        <w:rPr>
          <w:lang w:val="en-GB"/>
        </w:rPr>
        <w:t>findings</w:t>
      </w:r>
      <w:r w:rsidR="002C6AA4" w:rsidRPr="00140BF5">
        <w:rPr>
          <w:lang w:val="en-GB"/>
        </w:rPr>
        <w:t xml:space="preserve"> are</w:t>
      </w:r>
      <w:r w:rsidR="00E667D8" w:rsidRPr="00140BF5">
        <w:rPr>
          <w:lang w:val="en-GB"/>
        </w:rPr>
        <w:t xml:space="preserve"> </w:t>
      </w:r>
      <w:r w:rsidR="00B77BBA" w:rsidRPr="00140BF5">
        <w:rPr>
          <w:lang w:val="en-GB"/>
        </w:rPr>
        <w:t xml:space="preserve">organised </w:t>
      </w:r>
      <w:r w:rsidR="00A43374" w:rsidRPr="00140BF5">
        <w:rPr>
          <w:lang w:val="en-GB"/>
        </w:rPr>
        <w:t>around</w:t>
      </w:r>
      <w:r w:rsidR="00E667D8" w:rsidRPr="00140BF5">
        <w:rPr>
          <w:lang w:val="en-GB"/>
        </w:rPr>
        <w:t xml:space="preserve"> the different </w:t>
      </w:r>
      <w:r w:rsidRPr="00140BF5">
        <w:rPr>
          <w:lang w:val="en-GB"/>
        </w:rPr>
        <w:t>stage</w:t>
      </w:r>
      <w:r w:rsidR="00E667D8" w:rsidRPr="00140BF5">
        <w:rPr>
          <w:lang w:val="en-GB"/>
        </w:rPr>
        <w:t>s</w:t>
      </w:r>
      <w:r w:rsidRPr="00140BF5">
        <w:rPr>
          <w:lang w:val="en-GB"/>
        </w:rPr>
        <w:t xml:space="preserve"> of the policy</w:t>
      </w:r>
      <w:r w:rsidR="00E667D8" w:rsidRPr="00140BF5">
        <w:rPr>
          <w:lang w:val="en-GB"/>
        </w:rPr>
        <w:t>-</w:t>
      </w:r>
      <w:r w:rsidRPr="00140BF5">
        <w:rPr>
          <w:lang w:val="en-GB"/>
        </w:rPr>
        <w:t>making cycle</w:t>
      </w:r>
      <w:r w:rsidR="00E667D8" w:rsidRPr="00140BF5">
        <w:rPr>
          <w:lang w:val="en-GB"/>
        </w:rPr>
        <w:t>,</w:t>
      </w:r>
      <w:r w:rsidRPr="00140BF5">
        <w:rPr>
          <w:lang w:val="en-GB"/>
        </w:rPr>
        <w:t xml:space="preserve"> </w:t>
      </w:r>
      <w:r w:rsidR="00644EA3" w:rsidRPr="00140BF5">
        <w:rPr>
          <w:lang w:val="en-GB"/>
        </w:rPr>
        <w:t xml:space="preserve">from the </w:t>
      </w:r>
      <w:r w:rsidR="007B2B5F" w:rsidRPr="00140BF5">
        <w:rPr>
          <w:lang w:val="en-GB"/>
        </w:rPr>
        <w:t xml:space="preserve">initiation of </w:t>
      </w:r>
      <w:r w:rsidR="0033685C" w:rsidRPr="00140BF5">
        <w:rPr>
          <w:lang w:val="en-GB"/>
        </w:rPr>
        <w:t xml:space="preserve">political </w:t>
      </w:r>
      <w:r w:rsidR="007B2B5F" w:rsidRPr="00140BF5">
        <w:rPr>
          <w:lang w:val="en-GB"/>
        </w:rPr>
        <w:t>discussions about the need for labour clauses</w:t>
      </w:r>
      <w:r w:rsidR="00A43374" w:rsidRPr="00140BF5">
        <w:rPr>
          <w:lang w:val="en-GB"/>
        </w:rPr>
        <w:t>,</w:t>
      </w:r>
      <w:r w:rsidR="007B2B5F" w:rsidRPr="00140BF5">
        <w:rPr>
          <w:lang w:val="en-GB"/>
        </w:rPr>
        <w:t xml:space="preserve"> to negotiations about their design</w:t>
      </w:r>
      <w:r w:rsidR="00A43374" w:rsidRPr="00140BF5">
        <w:rPr>
          <w:lang w:val="en-GB"/>
        </w:rPr>
        <w:t>,</w:t>
      </w:r>
      <w:r w:rsidRPr="00140BF5">
        <w:rPr>
          <w:lang w:val="en-GB"/>
        </w:rPr>
        <w:t xml:space="preserve"> through to the implementation and monitoring phase. </w:t>
      </w:r>
    </w:p>
    <w:p w14:paraId="2B618987" w14:textId="77777777" w:rsidR="008B0429" w:rsidRPr="00140BF5" w:rsidRDefault="008B0429" w:rsidP="0011084D">
      <w:pPr>
        <w:spacing w:after="120" w:line="480" w:lineRule="auto"/>
        <w:jc w:val="both"/>
        <w:rPr>
          <w:i/>
          <w:lang w:val="en-GB"/>
        </w:rPr>
      </w:pPr>
      <w:r w:rsidRPr="00140BF5">
        <w:rPr>
          <w:i/>
          <w:lang w:val="en-GB"/>
        </w:rPr>
        <w:t>Mobilising actors to address precariousness</w:t>
      </w:r>
    </w:p>
    <w:p w14:paraId="57E5D4F0" w14:textId="39D47049" w:rsidR="00A74DD4" w:rsidRPr="00140BF5" w:rsidRDefault="00A646D6" w:rsidP="0011084D">
      <w:pPr>
        <w:spacing w:after="120" w:line="480" w:lineRule="auto"/>
        <w:jc w:val="both"/>
        <w:rPr>
          <w:lang w:val="en-GB"/>
        </w:rPr>
      </w:pPr>
      <w:r w:rsidRPr="00140BF5">
        <w:rPr>
          <w:lang w:val="en-GB"/>
        </w:rPr>
        <w:t>Across the three case</w:t>
      </w:r>
      <w:r w:rsidR="00A43374" w:rsidRPr="00140BF5">
        <w:rPr>
          <w:lang w:val="en-GB"/>
        </w:rPr>
        <w:t>-</w:t>
      </w:r>
      <w:r w:rsidRPr="00140BF5">
        <w:rPr>
          <w:lang w:val="en-GB"/>
        </w:rPr>
        <w:t>study municipalities,</w:t>
      </w:r>
      <w:r w:rsidR="00A74DD4" w:rsidRPr="00140BF5">
        <w:rPr>
          <w:lang w:val="en-GB"/>
        </w:rPr>
        <w:t xml:space="preserve"> socially </w:t>
      </w:r>
      <w:r w:rsidRPr="00140BF5">
        <w:rPr>
          <w:lang w:val="en-GB"/>
        </w:rPr>
        <w:t>responsible procurement</w:t>
      </w:r>
      <w:r w:rsidR="00A74DD4" w:rsidRPr="00140BF5">
        <w:rPr>
          <w:lang w:val="en-GB"/>
        </w:rPr>
        <w:t xml:space="preserve"> </w:t>
      </w:r>
      <w:r w:rsidRPr="00140BF5">
        <w:rPr>
          <w:lang w:val="en-GB"/>
        </w:rPr>
        <w:t>was</w:t>
      </w:r>
      <w:r w:rsidR="00A74DD4" w:rsidRPr="00140BF5">
        <w:rPr>
          <w:lang w:val="en-GB"/>
        </w:rPr>
        <w:t xml:space="preserve"> supported by broad coalitions</w:t>
      </w:r>
      <w:r w:rsidR="0028784F" w:rsidRPr="00140BF5">
        <w:rPr>
          <w:lang w:val="en-GB"/>
        </w:rPr>
        <w:t xml:space="preserve"> of actors, </w:t>
      </w:r>
      <w:r w:rsidR="00EC0169" w:rsidRPr="00140BF5">
        <w:rPr>
          <w:lang w:val="en-GB"/>
        </w:rPr>
        <w:t xml:space="preserve">mainly </w:t>
      </w:r>
      <w:r w:rsidR="00A74DD4" w:rsidRPr="00140BF5">
        <w:rPr>
          <w:lang w:val="en-GB"/>
        </w:rPr>
        <w:t>tr</w:t>
      </w:r>
      <w:r w:rsidRPr="00140BF5">
        <w:rPr>
          <w:lang w:val="en-GB"/>
        </w:rPr>
        <w:t>ade unions and politicians</w:t>
      </w:r>
      <w:r w:rsidR="00EC0169" w:rsidRPr="00140BF5">
        <w:rPr>
          <w:lang w:val="en-GB"/>
        </w:rPr>
        <w:t>, but also employers</w:t>
      </w:r>
      <w:r w:rsidR="00C35A4F" w:rsidRPr="00140BF5">
        <w:rPr>
          <w:lang w:val="en-GB"/>
        </w:rPr>
        <w:t xml:space="preserve"> who engaged ‘pragmatically’ in order to address problems in the supply chain</w:t>
      </w:r>
      <w:r w:rsidR="00A74DD4" w:rsidRPr="00140BF5">
        <w:rPr>
          <w:lang w:val="en-GB"/>
        </w:rPr>
        <w:t xml:space="preserve">. </w:t>
      </w:r>
      <w:r w:rsidR="00E667D8" w:rsidRPr="00140BF5">
        <w:rPr>
          <w:lang w:val="en-GB"/>
        </w:rPr>
        <w:t>The data suggest</w:t>
      </w:r>
      <w:r w:rsidR="003E139C" w:rsidRPr="00140BF5">
        <w:rPr>
          <w:lang w:val="en-GB"/>
        </w:rPr>
        <w:t xml:space="preserve"> t</w:t>
      </w:r>
      <w:r w:rsidR="00A74DD4" w:rsidRPr="00140BF5">
        <w:rPr>
          <w:lang w:val="en-GB"/>
        </w:rPr>
        <w:t xml:space="preserve">he </w:t>
      </w:r>
      <w:r w:rsidR="004D5EBC" w:rsidRPr="00140BF5">
        <w:rPr>
          <w:lang w:val="en-GB"/>
        </w:rPr>
        <w:t>mobilisation</w:t>
      </w:r>
      <w:r w:rsidR="00A74DD4" w:rsidRPr="00140BF5">
        <w:rPr>
          <w:lang w:val="en-GB"/>
        </w:rPr>
        <w:t xml:space="preserve"> of these coalitions is far from a</w:t>
      </w:r>
      <w:r w:rsidRPr="00140BF5">
        <w:rPr>
          <w:lang w:val="en-GB"/>
        </w:rPr>
        <w:t>n inevitable</w:t>
      </w:r>
      <w:r w:rsidR="00A74DD4" w:rsidRPr="00140BF5">
        <w:rPr>
          <w:lang w:val="en-GB"/>
        </w:rPr>
        <w:t xml:space="preserve"> consequence of </w:t>
      </w:r>
      <w:r w:rsidRPr="00140BF5">
        <w:rPr>
          <w:lang w:val="en-GB"/>
        </w:rPr>
        <w:t xml:space="preserve">specific </w:t>
      </w:r>
      <w:r w:rsidR="003C23BC" w:rsidRPr="00140BF5">
        <w:rPr>
          <w:lang w:val="en-GB"/>
        </w:rPr>
        <w:t xml:space="preserve">structural or </w:t>
      </w:r>
      <w:r w:rsidRPr="00140BF5">
        <w:rPr>
          <w:lang w:val="en-GB"/>
        </w:rPr>
        <w:t xml:space="preserve">institutional factors </w:t>
      </w:r>
      <w:r w:rsidR="004D5EBC" w:rsidRPr="00140BF5">
        <w:rPr>
          <w:lang w:val="en-GB"/>
        </w:rPr>
        <w:t xml:space="preserve">such as the gap between public and private sector wages or weaknesses in systems of employment relations, </w:t>
      </w:r>
      <w:r w:rsidRPr="00140BF5">
        <w:rPr>
          <w:lang w:val="en-GB"/>
        </w:rPr>
        <w:t xml:space="preserve">, but </w:t>
      </w:r>
      <w:r w:rsidR="004D5EBC" w:rsidRPr="00140BF5">
        <w:rPr>
          <w:lang w:val="en-GB"/>
        </w:rPr>
        <w:t xml:space="preserve">are the product of </w:t>
      </w:r>
      <w:r w:rsidR="00322E5C" w:rsidRPr="00140BF5">
        <w:rPr>
          <w:lang w:val="en-GB"/>
        </w:rPr>
        <w:t xml:space="preserve"> </w:t>
      </w:r>
      <w:r w:rsidR="00B144C9" w:rsidRPr="00140BF5">
        <w:rPr>
          <w:lang w:val="en-GB"/>
        </w:rPr>
        <w:t xml:space="preserve">a </w:t>
      </w:r>
      <w:r w:rsidR="00A43374" w:rsidRPr="00140BF5">
        <w:rPr>
          <w:lang w:val="en-GB"/>
        </w:rPr>
        <w:t xml:space="preserve">complex </w:t>
      </w:r>
      <w:r w:rsidR="004D5EBC" w:rsidRPr="00140BF5">
        <w:rPr>
          <w:lang w:val="en-GB"/>
        </w:rPr>
        <w:t>contextual and relational</w:t>
      </w:r>
      <w:r w:rsidR="00B144C9" w:rsidRPr="00140BF5">
        <w:rPr>
          <w:lang w:val="en-GB"/>
        </w:rPr>
        <w:t xml:space="preserve"> dynamics</w:t>
      </w:r>
      <w:r w:rsidR="00A74DD4" w:rsidRPr="00140BF5">
        <w:rPr>
          <w:lang w:val="en-GB"/>
        </w:rPr>
        <w:t xml:space="preserve"> .</w:t>
      </w:r>
    </w:p>
    <w:p w14:paraId="169F2C8A" w14:textId="68316F69" w:rsidR="008A0820" w:rsidRPr="00140BF5" w:rsidRDefault="00A43374" w:rsidP="001864DC">
      <w:pPr>
        <w:spacing w:after="120" w:line="480" w:lineRule="auto"/>
        <w:jc w:val="both"/>
        <w:rPr>
          <w:i/>
          <w:lang w:val="en-GB"/>
        </w:rPr>
      </w:pPr>
      <w:r w:rsidRPr="00140BF5">
        <w:rPr>
          <w:lang w:val="en-GB"/>
        </w:rPr>
        <w:t>A f</w:t>
      </w:r>
      <w:r w:rsidR="00B144C9" w:rsidRPr="00140BF5">
        <w:rPr>
          <w:lang w:val="en-GB"/>
        </w:rPr>
        <w:t>irst</w:t>
      </w:r>
      <w:r w:rsidR="00A646D6" w:rsidRPr="00140BF5">
        <w:rPr>
          <w:lang w:val="en-GB"/>
        </w:rPr>
        <w:t xml:space="preserve"> key dimension of mobilisation </w:t>
      </w:r>
      <w:r w:rsidRPr="00140BF5">
        <w:rPr>
          <w:lang w:val="en-GB"/>
        </w:rPr>
        <w:t>involved</w:t>
      </w:r>
      <w:r w:rsidR="00A646D6" w:rsidRPr="00140BF5">
        <w:rPr>
          <w:lang w:val="en-GB"/>
        </w:rPr>
        <w:t xml:space="preserve"> the strong relationships</w:t>
      </w:r>
      <w:r w:rsidR="00A74DD4" w:rsidRPr="00140BF5">
        <w:rPr>
          <w:lang w:val="en-GB"/>
        </w:rPr>
        <w:t xml:space="preserve"> between </w:t>
      </w:r>
      <w:r w:rsidRPr="00140BF5">
        <w:rPr>
          <w:lang w:val="en-GB"/>
        </w:rPr>
        <w:t>centre-</w:t>
      </w:r>
      <w:r w:rsidR="00A646D6" w:rsidRPr="00140BF5">
        <w:rPr>
          <w:lang w:val="en-GB"/>
        </w:rPr>
        <w:t xml:space="preserve">left political parties </w:t>
      </w:r>
      <w:r w:rsidR="00A74DD4" w:rsidRPr="00140BF5">
        <w:rPr>
          <w:lang w:val="en-GB"/>
        </w:rPr>
        <w:t xml:space="preserve">and </w:t>
      </w:r>
      <w:r w:rsidR="00A646D6" w:rsidRPr="00140BF5">
        <w:rPr>
          <w:lang w:val="en-GB"/>
        </w:rPr>
        <w:t xml:space="preserve">locally recognised </w:t>
      </w:r>
      <w:r w:rsidR="00A74DD4" w:rsidRPr="00140BF5">
        <w:rPr>
          <w:lang w:val="en-GB"/>
        </w:rPr>
        <w:t>trade unions</w:t>
      </w:r>
      <w:r w:rsidR="00A646D6" w:rsidRPr="00140BF5">
        <w:rPr>
          <w:lang w:val="en-GB"/>
        </w:rPr>
        <w:t xml:space="preserve">. </w:t>
      </w:r>
      <w:r w:rsidR="00E667D8" w:rsidRPr="00140BF5">
        <w:rPr>
          <w:lang w:val="en-GB"/>
        </w:rPr>
        <w:t>A</w:t>
      </w:r>
      <w:r w:rsidR="008A0820" w:rsidRPr="00140BF5">
        <w:rPr>
          <w:lang w:val="en-GB"/>
        </w:rPr>
        <w:t xml:space="preserve">ll three </w:t>
      </w:r>
      <w:r w:rsidR="00E667D8" w:rsidRPr="00140BF5">
        <w:rPr>
          <w:lang w:val="en-GB"/>
        </w:rPr>
        <w:t>municipalities</w:t>
      </w:r>
      <w:r w:rsidR="008A0820" w:rsidRPr="00140BF5">
        <w:rPr>
          <w:lang w:val="en-GB"/>
        </w:rPr>
        <w:t xml:space="preserve"> were dominated by</w:t>
      </w:r>
      <w:r w:rsidR="006D019A" w:rsidRPr="00140BF5">
        <w:rPr>
          <w:lang w:val="en-GB"/>
        </w:rPr>
        <w:t xml:space="preserve"> </w:t>
      </w:r>
      <w:r w:rsidR="004D5EBC" w:rsidRPr="00140BF5">
        <w:rPr>
          <w:lang w:val="en-GB"/>
        </w:rPr>
        <w:t>Social Democratic/Labour</w:t>
      </w:r>
      <w:r w:rsidR="008A0820" w:rsidRPr="00140BF5">
        <w:rPr>
          <w:lang w:val="en-GB"/>
        </w:rPr>
        <w:t xml:space="preserve"> </w:t>
      </w:r>
      <w:r w:rsidR="00501214" w:rsidRPr="00140BF5">
        <w:rPr>
          <w:lang w:val="en-GB"/>
        </w:rPr>
        <w:t>political p</w:t>
      </w:r>
      <w:r w:rsidR="008A0820" w:rsidRPr="00140BF5">
        <w:rPr>
          <w:lang w:val="en-GB"/>
        </w:rPr>
        <w:t>arties, wh</w:t>
      </w:r>
      <w:r w:rsidR="00E667D8" w:rsidRPr="00140BF5">
        <w:rPr>
          <w:lang w:val="en-GB"/>
        </w:rPr>
        <w:t xml:space="preserve">ich advanced </w:t>
      </w:r>
      <w:r w:rsidR="0007407B" w:rsidRPr="00140BF5">
        <w:rPr>
          <w:lang w:val="en-GB"/>
        </w:rPr>
        <w:t xml:space="preserve">labour clauses </w:t>
      </w:r>
      <w:r w:rsidR="008A0820" w:rsidRPr="00140BF5">
        <w:rPr>
          <w:lang w:val="en-GB"/>
        </w:rPr>
        <w:t xml:space="preserve">as part of a </w:t>
      </w:r>
      <w:r w:rsidR="00501214" w:rsidRPr="00140BF5">
        <w:rPr>
          <w:lang w:val="en-GB"/>
        </w:rPr>
        <w:t>broad</w:t>
      </w:r>
      <w:r w:rsidR="0007407B" w:rsidRPr="00140BF5">
        <w:rPr>
          <w:lang w:val="en-GB"/>
        </w:rPr>
        <w:t>er</w:t>
      </w:r>
      <w:r w:rsidR="00501214" w:rsidRPr="00140BF5">
        <w:rPr>
          <w:lang w:val="en-GB"/>
        </w:rPr>
        <w:t xml:space="preserve"> ‘s</w:t>
      </w:r>
      <w:r w:rsidR="008A0820" w:rsidRPr="00140BF5">
        <w:rPr>
          <w:lang w:val="en-GB"/>
        </w:rPr>
        <w:t>ocial</w:t>
      </w:r>
      <w:r w:rsidR="006E35C0" w:rsidRPr="00140BF5">
        <w:rPr>
          <w:lang w:val="en-GB"/>
        </w:rPr>
        <w:t>’</w:t>
      </w:r>
      <w:r w:rsidR="008A0820" w:rsidRPr="00140BF5">
        <w:rPr>
          <w:lang w:val="en-GB"/>
        </w:rPr>
        <w:t xml:space="preserve"> agenda. In </w:t>
      </w:r>
      <w:r w:rsidR="00E667D8" w:rsidRPr="00140BF5">
        <w:rPr>
          <w:lang w:val="en-GB"/>
        </w:rPr>
        <w:t>Copenhagen,</w:t>
      </w:r>
      <w:r w:rsidR="008A0820" w:rsidRPr="00140BF5">
        <w:rPr>
          <w:lang w:val="en-GB"/>
        </w:rPr>
        <w:t xml:space="preserve"> </w:t>
      </w:r>
      <w:r w:rsidRPr="00140BF5">
        <w:rPr>
          <w:lang w:val="en-GB"/>
        </w:rPr>
        <w:t xml:space="preserve">for example, </w:t>
      </w:r>
      <w:r w:rsidR="008A0820" w:rsidRPr="00140BF5">
        <w:rPr>
          <w:lang w:val="en-GB"/>
        </w:rPr>
        <w:t xml:space="preserve">labour clauses </w:t>
      </w:r>
      <w:r w:rsidRPr="00140BF5">
        <w:rPr>
          <w:lang w:val="en-GB"/>
        </w:rPr>
        <w:t>were</w:t>
      </w:r>
      <w:r w:rsidR="008A0820" w:rsidRPr="00140BF5">
        <w:rPr>
          <w:lang w:val="en-GB"/>
        </w:rPr>
        <w:t xml:space="preserve"> an important </w:t>
      </w:r>
      <w:r w:rsidRPr="00140BF5">
        <w:rPr>
          <w:lang w:val="en-GB"/>
        </w:rPr>
        <w:t>issue</w:t>
      </w:r>
      <w:r w:rsidR="00E667D8" w:rsidRPr="00140BF5">
        <w:rPr>
          <w:lang w:val="en-GB"/>
        </w:rPr>
        <w:t xml:space="preserve"> in</w:t>
      </w:r>
      <w:r w:rsidR="008A0820" w:rsidRPr="00140BF5">
        <w:rPr>
          <w:lang w:val="en-GB"/>
        </w:rPr>
        <w:t xml:space="preserve"> </w:t>
      </w:r>
      <w:r w:rsidR="00C26FFB" w:rsidRPr="00140BF5">
        <w:rPr>
          <w:lang w:val="en-GB"/>
        </w:rPr>
        <w:t xml:space="preserve">the </w:t>
      </w:r>
      <w:r w:rsidRPr="00140BF5">
        <w:rPr>
          <w:lang w:val="en-GB"/>
        </w:rPr>
        <w:t xml:space="preserve">2013 </w:t>
      </w:r>
      <w:r w:rsidR="008A0820" w:rsidRPr="00140BF5">
        <w:rPr>
          <w:lang w:val="en-GB"/>
        </w:rPr>
        <w:t xml:space="preserve">local government election. </w:t>
      </w:r>
      <w:r w:rsidR="0007407B" w:rsidRPr="00140BF5">
        <w:rPr>
          <w:lang w:val="en-GB"/>
        </w:rPr>
        <w:t xml:space="preserve">Nevertheless, </w:t>
      </w:r>
      <w:r w:rsidR="00C92852" w:rsidRPr="00140BF5">
        <w:rPr>
          <w:lang w:val="en-GB"/>
        </w:rPr>
        <w:t xml:space="preserve">in all cases </w:t>
      </w:r>
      <w:r w:rsidR="006E35C0" w:rsidRPr="00140BF5">
        <w:rPr>
          <w:lang w:val="en-GB"/>
        </w:rPr>
        <w:t>the u</w:t>
      </w:r>
      <w:r w:rsidR="008A0820" w:rsidRPr="00140BF5">
        <w:rPr>
          <w:lang w:val="en-GB"/>
        </w:rPr>
        <w:t xml:space="preserve">nions </w:t>
      </w:r>
      <w:r w:rsidRPr="00140BF5">
        <w:rPr>
          <w:lang w:val="en-GB"/>
        </w:rPr>
        <w:t xml:space="preserve">leveraged </w:t>
      </w:r>
      <w:r w:rsidR="008A0820" w:rsidRPr="00140BF5">
        <w:rPr>
          <w:lang w:val="en-GB"/>
        </w:rPr>
        <w:t>the</w:t>
      </w:r>
      <w:r w:rsidR="00501214" w:rsidRPr="00140BF5">
        <w:rPr>
          <w:lang w:val="en-GB"/>
        </w:rPr>
        <w:t>ir</w:t>
      </w:r>
      <w:r w:rsidR="008A0820" w:rsidRPr="00140BF5">
        <w:rPr>
          <w:lang w:val="en-GB"/>
        </w:rPr>
        <w:t xml:space="preserve"> traditional connections to lobby local </w:t>
      </w:r>
      <w:r w:rsidR="00501214" w:rsidRPr="00140BF5">
        <w:rPr>
          <w:lang w:val="en-GB"/>
        </w:rPr>
        <w:t>politicians</w:t>
      </w:r>
      <w:r w:rsidR="006E35C0" w:rsidRPr="00140BF5">
        <w:rPr>
          <w:lang w:val="en-GB"/>
        </w:rPr>
        <w:t>. I</w:t>
      </w:r>
      <w:r w:rsidR="008A0820" w:rsidRPr="00140BF5">
        <w:rPr>
          <w:lang w:val="en-GB"/>
        </w:rPr>
        <w:t xml:space="preserve">n Bremen </w:t>
      </w:r>
      <w:r w:rsidR="006E35C0" w:rsidRPr="00140BF5">
        <w:rPr>
          <w:lang w:val="en-GB"/>
        </w:rPr>
        <w:t xml:space="preserve">this </w:t>
      </w:r>
      <w:r w:rsidR="00501214" w:rsidRPr="00140BF5">
        <w:rPr>
          <w:lang w:val="en-GB"/>
        </w:rPr>
        <w:t xml:space="preserve">was bolstered by the fact that </w:t>
      </w:r>
      <w:r w:rsidR="008A0820" w:rsidRPr="00140BF5">
        <w:rPr>
          <w:lang w:val="en-GB"/>
        </w:rPr>
        <w:t xml:space="preserve">two </w:t>
      </w:r>
      <w:r w:rsidR="00C92852" w:rsidRPr="00140BF5">
        <w:rPr>
          <w:lang w:val="en-GB"/>
        </w:rPr>
        <w:t>Social Democrat</w:t>
      </w:r>
      <w:r w:rsidR="008A0820" w:rsidRPr="00140BF5">
        <w:rPr>
          <w:lang w:val="en-GB"/>
        </w:rPr>
        <w:t xml:space="preserve"> politic</w:t>
      </w:r>
      <w:r w:rsidR="00C92852" w:rsidRPr="00140BF5">
        <w:rPr>
          <w:lang w:val="en-GB"/>
        </w:rPr>
        <w:t>ians were</w:t>
      </w:r>
      <w:r w:rsidR="008A0820" w:rsidRPr="00140BF5">
        <w:rPr>
          <w:lang w:val="en-GB"/>
        </w:rPr>
        <w:t xml:space="preserve"> previous</w:t>
      </w:r>
      <w:r w:rsidR="00501214" w:rsidRPr="00140BF5">
        <w:rPr>
          <w:lang w:val="en-GB"/>
        </w:rPr>
        <w:t xml:space="preserve">ly trade </w:t>
      </w:r>
      <w:r w:rsidR="008A0820" w:rsidRPr="00140BF5">
        <w:rPr>
          <w:lang w:val="en-GB"/>
        </w:rPr>
        <w:t>union</w:t>
      </w:r>
      <w:r w:rsidR="00501214" w:rsidRPr="00140BF5">
        <w:rPr>
          <w:lang w:val="en-GB"/>
        </w:rPr>
        <w:t>ists</w:t>
      </w:r>
      <w:r w:rsidR="008A0820" w:rsidRPr="00140BF5">
        <w:rPr>
          <w:lang w:val="en-GB"/>
        </w:rPr>
        <w:t xml:space="preserve"> at the local level. </w:t>
      </w:r>
      <w:r w:rsidR="00501214" w:rsidRPr="00140BF5">
        <w:rPr>
          <w:lang w:val="en-GB"/>
        </w:rPr>
        <w:t xml:space="preserve">In Leeds, Labour party politicians </w:t>
      </w:r>
      <w:r w:rsidR="0007407B" w:rsidRPr="00140BF5">
        <w:rPr>
          <w:lang w:val="en-GB"/>
        </w:rPr>
        <w:t xml:space="preserve">and commissioners </w:t>
      </w:r>
      <w:r w:rsidR="006E35C0" w:rsidRPr="00140BF5">
        <w:rPr>
          <w:lang w:val="en-GB"/>
        </w:rPr>
        <w:t xml:space="preserve">argued that the council </w:t>
      </w:r>
      <w:r w:rsidR="00227166" w:rsidRPr="00140BF5">
        <w:rPr>
          <w:lang w:val="en-GB"/>
        </w:rPr>
        <w:t>had long</w:t>
      </w:r>
      <w:r w:rsidR="00F70D69" w:rsidRPr="00140BF5">
        <w:rPr>
          <w:lang w:val="en-GB"/>
        </w:rPr>
        <w:t xml:space="preserve">standing ambitions </w:t>
      </w:r>
      <w:r w:rsidR="0007407B" w:rsidRPr="00140BF5">
        <w:rPr>
          <w:lang w:val="en-GB"/>
        </w:rPr>
        <w:t xml:space="preserve">to </w:t>
      </w:r>
      <w:r w:rsidR="00227166" w:rsidRPr="00140BF5">
        <w:rPr>
          <w:lang w:val="en-GB"/>
        </w:rPr>
        <w:t xml:space="preserve">improve </w:t>
      </w:r>
      <w:r w:rsidR="00501214" w:rsidRPr="00140BF5">
        <w:rPr>
          <w:lang w:val="en-GB"/>
        </w:rPr>
        <w:t>care services for the elderly, but f</w:t>
      </w:r>
      <w:r w:rsidR="0007407B" w:rsidRPr="00140BF5">
        <w:rPr>
          <w:lang w:val="en-GB"/>
        </w:rPr>
        <w:t xml:space="preserve">or </w:t>
      </w:r>
      <w:r w:rsidR="00DB6CC8" w:rsidRPr="00140BF5">
        <w:rPr>
          <w:lang w:val="en-GB"/>
        </w:rPr>
        <w:t>the union</w:t>
      </w:r>
      <w:r w:rsidR="00227166" w:rsidRPr="00140BF5">
        <w:rPr>
          <w:lang w:val="en-GB"/>
        </w:rPr>
        <w:t xml:space="preserve"> locally</w:t>
      </w:r>
      <w:r w:rsidR="008A0820" w:rsidRPr="00140BF5">
        <w:rPr>
          <w:lang w:val="en-GB"/>
        </w:rPr>
        <w:t xml:space="preserve">, persuading the council to </w:t>
      </w:r>
      <w:r w:rsidR="00DB6CC8" w:rsidRPr="00140BF5">
        <w:rPr>
          <w:lang w:val="en-GB"/>
        </w:rPr>
        <w:t xml:space="preserve">agree to </w:t>
      </w:r>
      <w:r w:rsidR="006E35C0" w:rsidRPr="00140BF5">
        <w:rPr>
          <w:lang w:val="en-GB"/>
        </w:rPr>
        <w:t xml:space="preserve">specific </w:t>
      </w:r>
      <w:r w:rsidR="0007407B" w:rsidRPr="00140BF5">
        <w:rPr>
          <w:lang w:val="en-GB"/>
        </w:rPr>
        <w:t>labour clause</w:t>
      </w:r>
      <w:r w:rsidR="00227166" w:rsidRPr="00140BF5">
        <w:rPr>
          <w:lang w:val="en-GB"/>
        </w:rPr>
        <w:t>s</w:t>
      </w:r>
      <w:r w:rsidR="0007407B" w:rsidRPr="00140BF5">
        <w:rPr>
          <w:lang w:val="en-GB"/>
        </w:rPr>
        <w:t xml:space="preserve"> </w:t>
      </w:r>
      <w:r w:rsidR="008A0820" w:rsidRPr="00140BF5">
        <w:rPr>
          <w:lang w:val="en-GB"/>
        </w:rPr>
        <w:t>was the result of three years of persistent lobbying:</w:t>
      </w:r>
      <w:r w:rsidR="008A0820" w:rsidRPr="00140BF5">
        <w:rPr>
          <w:i/>
          <w:lang w:val="en-GB"/>
        </w:rPr>
        <w:t xml:space="preserve">‘…we kept banging on about ethical care, banging on about travelling time, </w:t>
      </w:r>
      <w:r w:rsidR="008A0820" w:rsidRPr="00140BF5">
        <w:rPr>
          <w:i/>
          <w:lang w:val="en-GB"/>
        </w:rPr>
        <w:lastRenderedPageBreak/>
        <w:t>banging on about zero hour contracts</w:t>
      </w:r>
      <w:r w:rsidR="00227166" w:rsidRPr="00140BF5">
        <w:rPr>
          <w:i/>
          <w:lang w:val="en-GB"/>
        </w:rPr>
        <w:t>…</w:t>
      </w:r>
      <w:r w:rsidR="008A0820" w:rsidRPr="00140BF5">
        <w:rPr>
          <w:i/>
          <w:lang w:val="en-GB"/>
        </w:rPr>
        <w:t xml:space="preserve"> in the end</w:t>
      </w:r>
      <w:r w:rsidR="00F70D69" w:rsidRPr="00140BF5">
        <w:rPr>
          <w:i/>
          <w:lang w:val="en-GB"/>
        </w:rPr>
        <w:t xml:space="preserve"> </w:t>
      </w:r>
      <w:r w:rsidR="008A0820" w:rsidRPr="00140BF5">
        <w:rPr>
          <w:i/>
          <w:lang w:val="en-GB"/>
        </w:rPr>
        <w:t xml:space="preserve">I think they just got fed up with us…’ </w:t>
      </w:r>
      <w:r w:rsidR="008A0820" w:rsidRPr="00140BF5">
        <w:rPr>
          <w:lang w:val="en-GB"/>
        </w:rPr>
        <w:t>(</w:t>
      </w:r>
      <w:r w:rsidR="0093638F" w:rsidRPr="00140BF5">
        <w:rPr>
          <w:lang w:val="en-GB"/>
        </w:rPr>
        <w:t xml:space="preserve">Leeds </w:t>
      </w:r>
      <w:r w:rsidR="00E60775" w:rsidRPr="00140BF5">
        <w:rPr>
          <w:lang w:val="en-GB"/>
        </w:rPr>
        <w:t>union representative</w:t>
      </w:r>
      <w:r w:rsidR="008A0820" w:rsidRPr="00140BF5">
        <w:rPr>
          <w:lang w:val="en-GB"/>
        </w:rPr>
        <w:t>)</w:t>
      </w:r>
      <w:r w:rsidR="001864DC" w:rsidRPr="00140BF5">
        <w:rPr>
          <w:lang w:val="en-GB"/>
        </w:rPr>
        <w:t>.</w:t>
      </w:r>
    </w:p>
    <w:p w14:paraId="737C5FA1" w14:textId="5A4D7790" w:rsidR="00674357" w:rsidRPr="00140BF5" w:rsidRDefault="00B144C9" w:rsidP="0011084D">
      <w:pPr>
        <w:spacing w:after="120" w:line="480" w:lineRule="auto"/>
        <w:jc w:val="both"/>
        <w:rPr>
          <w:lang w:val="en-GB"/>
        </w:rPr>
      </w:pPr>
      <w:r w:rsidRPr="00140BF5">
        <w:rPr>
          <w:lang w:val="en-GB"/>
        </w:rPr>
        <w:t>Secondly, t</w:t>
      </w:r>
      <w:r w:rsidR="00020494" w:rsidRPr="00140BF5">
        <w:rPr>
          <w:lang w:val="en-GB"/>
        </w:rPr>
        <w:t xml:space="preserve">he mobilisation </w:t>
      </w:r>
      <w:r w:rsidR="00002FEF" w:rsidRPr="00140BF5">
        <w:rPr>
          <w:lang w:val="en-GB"/>
        </w:rPr>
        <w:t xml:space="preserve">of active coalitions </w:t>
      </w:r>
      <w:r w:rsidR="00020494" w:rsidRPr="00140BF5">
        <w:rPr>
          <w:lang w:val="en-GB"/>
        </w:rPr>
        <w:t xml:space="preserve">also required </w:t>
      </w:r>
      <w:r w:rsidR="00002FEF" w:rsidRPr="00140BF5">
        <w:rPr>
          <w:lang w:val="en-GB"/>
        </w:rPr>
        <w:t xml:space="preserve">trade unions </w:t>
      </w:r>
      <w:r w:rsidR="00020494" w:rsidRPr="00140BF5">
        <w:rPr>
          <w:lang w:val="en-GB"/>
        </w:rPr>
        <w:t xml:space="preserve">to </w:t>
      </w:r>
      <w:r w:rsidR="00BA6E13" w:rsidRPr="00140BF5">
        <w:rPr>
          <w:lang w:val="en-GB"/>
        </w:rPr>
        <w:t xml:space="preserve">move beyond </w:t>
      </w:r>
      <w:r w:rsidR="00002FEF" w:rsidRPr="00140BF5">
        <w:rPr>
          <w:lang w:val="en-GB"/>
        </w:rPr>
        <w:t xml:space="preserve">a longstanding reliance on </w:t>
      </w:r>
      <w:r w:rsidR="00020494" w:rsidRPr="00140BF5">
        <w:rPr>
          <w:lang w:val="en-GB"/>
        </w:rPr>
        <w:t>a voluntarist wage</w:t>
      </w:r>
      <w:r w:rsidR="00785BD4" w:rsidRPr="00140BF5">
        <w:rPr>
          <w:lang w:val="en-GB"/>
        </w:rPr>
        <w:t>-</w:t>
      </w:r>
      <w:r w:rsidR="00020494" w:rsidRPr="00140BF5">
        <w:rPr>
          <w:lang w:val="en-GB"/>
        </w:rPr>
        <w:t xml:space="preserve">setting </w:t>
      </w:r>
      <w:r w:rsidR="00785BD4" w:rsidRPr="00140BF5">
        <w:rPr>
          <w:lang w:val="en-GB"/>
        </w:rPr>
        <w:t xml:space="preserve">system </w:t>
      </w:r>
      <w:r w:rsidR="00020494" w:rsidRPr="00140BF5">
        <w:rPr>
          <w:lang w:val="en-GB"/>
        </w:rPr>
        <w:t xml:space="preserve">and seek </w:t>
      </w:r>
      <w:r w:rsidR="00E412E6" w:rsidRPr="00140BF5">
        <w:rPr>
          <w:lang w:val="en-GB"/>
        </w:rPr>
        <w:t xml:space="preserve">alternative </w:t>
      </w:r>
      <w:r w:rsidR="00777AD6" w:rsidRPr="00140BF5">
        <w:rPr>
          <w:lang w:val="en-GB"/>
        </w:rPr>
        <w:t>mechanisms</w:t>
      </w:r>
      <w:r w:rsidR="00E412E6" w:rsidRPr="00140BF5">
        <w:rPr>
          <w:lang w:val="en-GB"/>
        </w:rPr>
        <w:t xml:space="preserve"> of regulat</w:t>
      </w:r>
      <w:r w:rsidR="006E35C0" w:rsidRPr="00140BF5">
        <w:rPr>
          <w:lang w:val="en-GB"/>
        </w:rPr>
        <w:t xml:space="preserve">ing outsourced </w:t>
      </w:r>
      <w:r w:rsidR="00777AD6" w:rsidRPr="00140BF5">
        <w:rPr>
          <w:lang w:val="en-GB"/>
        </w:rPr>
        <w:t>work</w:t>
      </w:r>
      <w:r w:rsidR="00020494" w:rsidRPr="00140BF5">
        <w:rPr>
          <w:lang w:val="en-GB"/>
        </w:rPr>
        <w:t xml:space="preserve">. </w:t>
      </w:r>
      <w:r w:rsidR="0007407B" w:rsidRPr="00140BF5">
        <w:rPr>
          <w:lang w:val="en-GB"/>
        </w:rPr>
        <w:t xml:space="preserve">While </w:t>
      </w:r>
      <w:r w:rsidR="00DB6CC8" w:rsidRPr="00140BF5">
        <w:rPr>
          <w:lang w:val="en-GB"/>
        </w:rPr>
        <w:t xml:space="preserve">the union </w:t>
      </w:r>
      <w:r w:rsidR="0007407B" w:rsidRPr="00140BF5">
        <w:rPr>
          <w:lang w:val="en-GB"/>
        </w:rPr>
        <w:t>in Leeds w</w:t>
      </w:r>
      <w:r w:rsidR="00DB6CC8" w:rsidRPr="00140BF5">
        <w:rPr>
          <w:lang w:val="en-GB"/>
        </w:rPr>
        <w:t>as</w:t>
      </w:r>
      <w:r w:rsidR="0007407B" w:rsidRPr="00140BF5">
        <w:rPr>
          <w:lang w:val="en-GB"/>
        </w:rPr>
        <w:t xml:space="preserve"> unequivocal about the positive role for labour clauses, </w:t>
      </w:r>
      <w:r w:rsidR="00EC0169" w:rsidRPr="00140BF5">
        <w:rPr>
          <w:lang w:val="en-GB"/>
        </w:rPr>
        <w:t>the Danish unions</w:t>
      </w:r>
      <w:r w:rsidR="008B0429" w:rsidRPr="00140BF5">
        <w:rPr>
          <w:lang w:val="en-GB"/>
        </w:rPr>
        <w:t xml:space="preserve"> </w:t>
      </w:r>
      <w:r w:rsidR="00EC0169" w:rsidRPr="00140BF5">
        <w:rPr>
          <w:lang w:val="en-GB"/>
        </w:rPr>
        <w:t xml:space="preserve">were </w:t>
      </w:r>
      <w:r w:rsidR="008B0429" w:rsidRPr="00140BF5">
        <w:rPr>
          <w:lang w:val="en-GB"/>
        </w:rPr>
        <w:t xml:space="preserve">more hesitant. </w:t>
      </w:r>
      <w:r w:rsidR="00DA6D4E" w:rsidRPr="00140BF5">
        <w:rPr>
          <w:lang w:val="en-GB"/>
        </w:rPr>
        <w:t>A</w:t>
      </w:r>
      <w:r w:rsidR="008B0429" w:rsidRPr="00140BF5">
        <w:rPr>
          <w:lang w:val="en-GB"/>
        </w:rPr>
        <w:t>l</w:t>
      </w:r>
      <w:r w:rsidR="00542728" w:rsidRPr="00140BF5">
        <w:rPr>
          <w:lang w:val="en-GB"/>
        </w:rPr>
        <w:t xml:space="preserve">though </w:t>
      </w:r>
      <w:r w:rsidR="008C2D43" w:rsidRPr="00140BF5">
        <w:rPr>
          <w:lang w:val="en-GB"/>
        </w:rPr>
        <w:t xml:space="preserve">most </w:t>
      </w:r>
      <w:r w:rsidR="00E412E6" w:rsidRPr="00140BF5">
        <w:rPr>
          <w:lang w:val="en-GB"/>
        </w:rPr>
        <w:t xml:space="preserve">Danish </w:t>
      </w:r>
      <w:r w:rsidR="00542728" w:rsidRPr="00140BF5">
        <w:rPr>
          <w:lang w:val="en-GB"/>
        </w:rPr>
        <w:t xml:space="preserve">unions have long pressed </w:t>
      </w:r>
      <w:r w:rsidR="00CC730E" w:rsidRPr="00140BF5">
        <w:rPr>
          <w:lang w:val="en-GB"/>
        </w:rPr>
        <w:t xml:space="preserve">local, </w:t>
      </w:r>
      <w:r w:rsidR="00542728" w:rsidRPr="00140BF5">
        <w:rPr>
          <w:lang w:val="en-GB"/>
        </w:rPr>
        <w:t xml:space="preserve">regional </w:t>
      </w:r>
      <w:r w:rsidR="00CC730E" w:rsidRPr="00140BF5">
        <w:rPr>
          <w:lang w:val="en-GB"/>
        </w:rPr>
        <w:t xml:space="preserve">and central </w:t>
      </w:r>
      <w:r w:rsidR="00542728" w:rsidRPr="00140BF5">
        <w:rPr>
          <w:lang w:val="en-GB"/>
        </w:rPr>
        <w:t>government to formally adopt labour clauses</w:t>
      </w:r>
      <w:r w:rsidR="008B0429" w:rsidRPr="00140BF5">
        <w:rPr>
          <w:lang w:val="en-GB"/>
        </w:rPr>
        <w:t>,</w:t>
      </w:r>
      <w:r w:rsidR="00542728" w:rsidRPr="00140BF5">
        <w:rPr>
          <w:lang w:val="en-GB"/>
        </w:rPr>
        <w:t xml:space="preserve"> </w:t>
      </w:r>
      <w:r w:rsidR="00E94978" w:rsidRPr="00140BF5">
        <w:rPr>
          <w:lang w:val="en-GB"/>
        </w:rPr>
        <w:t xml:space="preserve">parts of the union movement </w:t>
      </w:r>
      <w:r w:rsidR="006F68E5" w:rsidRPr="00140BF5">
        <w:rPr>
          <w:lang w:val="en-GB"/>
        </w:rPr>
        <w:t xml:space="preserve">shared many employers’ critical stance </w:t>
      </w:r>
      <w:r w:rsidR="008C2D43" w:rsidRPr="00140BF5">
        <w:rPr>
          <w:lang w:val="en-GB"/>
        </w:rPr>
        <w:t>towards labour clauses</w:t>
      </w:r>
      <w:r w:rsidR="00CC730E" w:rsidRPr="00140BF5">
        <w:rPr>
          <w:lang w:val="en-GB"/>
        </w:rPr>
        <w:t xml:space="preserve"> </w:t>
      </w:r>
      <w:r w:rsidR="00BC0672" w:rsidRPr="00140BF5">
        <w:rPr>
          <w:lang w:val="en-GB"/>
        </w:rPr>
        <w:t>–</w:t>
      </w:r>
      <w:r w:rsidR="008C2D43" w:rsidRPr="00140BF5">
        <w:rPr>
          <w:lang w:val="en-GB"/>
        </w:rPr>
        <w:t xml:space="preserve"> </w:t>
      </w:r>
      <w:r w:rsidR="00E412E6" w:rsidRPr="00140BF5">
        <w:rPr>
          <w:lang w:val="en-GB"/>
        </w:rPr>
        <w:t>especially concerning</w:t>
      </w:r>
      <w:r w:rsidR="00BC0672" w:rsidRPr="00140BF5">
        <w:rPr>
          <w:lang w:val="en-GB"/>
        </w:rPr>
        <w:t xml:space="preserve"> </w:t>
      </w:r>
      <w:r w:rsidR="008C2D43" w:rsidRPr="00140BF5">
        <w:rPr>
          <w:lang w:val="en-GB"/>
        </w:rPr>
        <w:t>chain liability</w:t>
      </w:r>
      <w:r w:rsidR="00EC0169" w:rsidRPr="00140BF5">
        <w:rPr>
          <w:lang w:val="en-GB"/>
        </w:rPr>
        <w:t xml:space="preserve">. This </w:t>
      </w:r>
      <w:r w:rsidR="00027A7D" w:rsidRPr="00140BF5">
        <w:rPr>
          <w:lang w:val="en-GB"/>
        </w:rPr>
        <w:t>sc</w:t>
      </w:r>
      <w:r w:rsidR="003E568C" w:rsidRPr="00140BF5">
        <w:rPr>
          <w:lang w:val="en-GB"/>
        </w:rPr>
        <w:t xml:space="preserve">epticism </w:t>
      </w:r>
      <w:r w:rsidR="00EC0169" w:rsidRPr="00140BF5">
        <w:rPr>
          <w:lang w:val="en-GB"/>
        </w:rPr>
        <w:t>was</w:t>
      </w:r>
      <w:r w:rsidR="00CC730E" w:rsidRPr="00140BF5">
        <w:rPr>
          <w:lang w:val="en-GB"/>
        </w:rPr>
        <w:t xml:space="preserve"> </w:t>
      </w:r>
      <w:r w:rsidR="008C2D43" w:rsidRPr="00140BF5">
        <w:rPr>
          <w:lang w:val="en-GB"/>
        </w:rPr>
        <w:t>due</w:t>
      </w:r>
      <w:r w:rsidR="00BC0672" w:rsidRPr="00140BF5">
        <w:rPr>
          <w:lang w:val="en-GB"/>
        </w:rPr>
        <w:t xml:space="preserve"> </w:t>
      </w:r>
      <w:r w:rsidR="008C2D43" w:rsidRPr="00140BF5">
        <w:rPr>
          <w:lang w:val="en-GB"/>
        </w:rPr>
        <w:t xml:space="preserve">to the potential </w:t>
      </w:r>
      <w:r w:rsidR="00542728" w:rsidRPr="00140BF5">
        <w:rPr>
          <w:lang w:val="en-GB"/>
        </w:rPr>
        <w:t xml:space="preserve">threat to the </w:t>
      </w:r>
      <w:r w:rsidR="003E568C" w:rsidRPr="00140BF5">
        <w:rPr>
          <w:lang w:val="en-GB"/>
        </w:rPr>
        <w:t xml:space="preserve">strongly </w:t>
      </w:r>
      <w:r w:rsidR="00542728" w:rsidRPr="00140BF5">
        <w:rPr>
          <w:lang w:val="en-GB"/>
        </w:rPr>
        <w:t xml:space="preserve">voluntarist </w:t>
      </w:r>
      <w:r w:rsidR="003E568C" w:rsidRPr="00140BF5">
        <w:rPr>
          <w:lang w:val="en-GB"/>
        </w:rPr>
        <w:t xml:space="preserve">Danish </w:t>
      </w:r>
      <w:r w:rsidR="00542728" w:rsidRPr="00140BF5">
        <w:rPr>
          <w:lang w:val="en-GB"/>
        </w:rPr>
        <w:t xml:space="preserve">system of </w:t>
      </w:r>
      <w:r w:rsidR="008B0429" w:rsidRPr="00140BF5">
        <w:rPr>
          <w:lang w:val="en-GB"/>
        </w:rPr>
        <w:t>collective bargaining</w:t>
      </w:r>
      <w:r w:rsidR="003E568C" w:rsidRPr="00140BF5">
        <w:rPr>
          <w:lang w:val="en-GB"/>
        </w:rPr>
        <w:t>. Some</w:t>
      </w:r>
      <w:r w:rsidR="00EC0169" w:rsidRPr="00140BF5">
        <w:rPr>
          <w:lang w:val="en-GB"/>
        </w:rPr>
        <w:t xml:space="preserve"> t</w:t>
      </w:r>
      <w:r w:rsidR="00E520BF" w:rsidRPr="00140BF5">
        <w:rPr>
          <w:lang w:val="en-GB"/>
        </w:rPr>
        <w:t>rade unionist</w:t>
      </w:r>
      <w:r w:rsidR="00C27B3E" w:rsidRPr="00140BF5">
        <w:rPr>
          <w:lang w:val="en-GB"/>
        </w:rPr>
        <w:t xml:space="preserve">s and </w:t>
      </w:r>
      <w:r w:rsidR="003E568C" w:rsidRPr="00140BF5">
        <w:rPr>
          <w:lang w:val="en-GB"/>
        </w:rPr>
        <w:t xml:space="preserve">most </w:t>
      </w:r>
      <w:r w:rsidR="00C27B3E" w:rsidRPr="00140BF5">
        <w:rPr>
          <w:lang w:val="en-GB"/>
        </w:rPr>
        <w:t>employers</w:t>
      </w:r>
      <w:r w:rsidR="00E520BF" w:rsidRPr="00140BF5">
        <w:rPr>
          <w:lang w:val="en-GB"/>
        </w:rPr>
        <w:t xml:space="preserve"> were concerned </w:t>
      </w:r>
      <w:r w:rsidR="003E568C" w:rsidRPr="00140BF5">
        <w:rPr>
          <w:lang w:val="en-GB"/>
        </w:rPr>
        <w:t xml:space="preserve">this </w:t>
      </w:r>
      <w:r w:rsidR="00785BD4" w:rsidRPr="00140BF5">
        <w:rPr>
          <w:lang w:val="en-GB"/>
        </w:rPr>
        <w:t xml:space="preserve">would </w:t>
      </w:r>
      <w:r w:rsidR="009C7939" w:rsidRPr="00140BF5">
        <w:rPr>
          <w:lang w:val="en-GB"/>
        </w:rPr>
        <w:t>enabl</w:t>
      </w:r>
      <w:r w:rsidR="003E568C" w:rsidRPr="00140BF5">
        <w:rPr>
          <w:lang w:val="en-GB"/>
        </w:rPr>
        <w:t>e</w:t>
      </w:r>
      <w:r w:rsidR="009C7939" w:rsidRPr="00140BF5">
        <w:rPr>
          <w:lang w:val="en-GB"/>
        </w:rPr>
        <w:t xml:space="preserve"> </w:t>
      </w:r>
      <w:r w:rsidR="00785BD4" w:rsidRPr="00140BF5">
        <w:rPr>
          <w:lang w:val="en-GB"/>
        </w:rPr>
        <w:t>policy-makers to introduce</w:t>
      </w:r>
      <w:r w:rsidR="00C27B3E" w:rsidRPr="00140BF5">
        <w:rPr>
          <w:lang w:val="en-GB"/>
        </w:rPr>
        <w:t xml:space="preserve"> </w:t>
      </w:r>
      <w:r w:rsidR="003E568C" w:rsidRPr="00140BF5">
        <w:rPr>
          <w:lang w:val="en-GB"/>
        </w:rPr>
        <w:t xml:space="preserve">more </w:t>
      </w:r>
      <w:r w:rsidR="00785BD4" w:rsidRPr="00140BF5">
        <w:rPr>
          <w:lang w:val="en-GB"/>
        </w:rPr>
        <w:t>labour law</w:t>
      </w:r>
      <w:r w:rsidR="009C7939" w:rsidRPr="00140BF5">
        <w:rPr>
          <w:lang w:val="en-GB"/>
        </w:rPr>
        <w:t>,</w:t>
      </w:r>
      <w:r w:rsidR="00785BD4" w:rsidRPr="00140BF5">
        <w:rPr>
          <w:lang w:val="en-GB"/>
        </w:rPr>
        <w:t xml:space="preserve"> not least a statutory minimum wage</w:t>
      </w:r>
      <w:r w:rsidR="009C7939" w:rsidRPr="00140BF5">
        <w:rPr>
          <w:lang w:val="en-GB"/>
        </w:rPr>
        <w:t>,</w:t>
      </w:r>
      <w:r w:rsidR="00785BD4" w:rsidRPr="00140BF5">
        <w:rPr>
          <w:lang w:val="en-GB"/>
        </w:rPr>
        <w:t xml:space="preserve"> </w:t>
      </w:r>
      <w:r w:rsidR="00C92852" w:rsidRPr="00140BF5">
        <w:rPr>
          <w:lang w:val="en-GB"/>
        </w:rPr>
        <w:t>‘</w:t>
      </w:r>
      <w:r w:rsidR="00785BD4" w:rsidRPr="00140BF5">
        <w:rPr>
          <w:lang w:val="en-GB"/>
        </w:rPr>
        <w:t>through the backdoor</w:t>
      </w:r>
      <w:r w:rsidR="00C92852" w:rsidRPr="00140BF5">
        <w:rPr>
          <w:lang w:val="en-GB"/>
        </w:rPr>
        <w:t>’</w:t>
      </w:r>
      <w:r w:rsidR="00C65F62" w:rsidRPr="00140BF5">
        <w:rPr>
          <w:lang w:val="en-GB"/>
        </w:rPr>
        <w:t xml:space="preserve">. </w:t>
      </w:r>
      <w:r w:rsidR="00E47117" w:rsidRPr="00140BF5">
        <w:rPr>
          <w:lang w:val="en-GB"/>
        </w:rPr>
        <w:t>By contrast i</w:t>
      </w:r>
      <w:r w:rsidR="008B0429" w:rsidRPr="00140BF5">
        <w:rPr>
          <w:lang w:val="en-GB"/>
        </w:rPr>
        <w:t>n Germany</w:t>
      </w:r>
      <w:r w:rsidR="001C0CC8" w:rsidRPr="00140BF5">
        <w:rPr>
          <w:lang w:val="en-GB"/>
        </w:rPr>
        <w:t xml:space="preserve">, the </w:t>
      </w:r>
      <w:r w:rsidR="00C65F62" w:rsidRPr="00140BF5">
        <w:rPr>
          <w:lang w:val="en-GB"/>
        </w:rPr>
        <w:t xml:space="preserve">widely observed </w:t>
      </w:r>
      <w:r w:rsidR="001C0CC8" w:rsidRPr="00140BF5">
        <w:rPr>
          <w:lang w:val="en-GB"/>
        </w:rPr>
        <w:t xml:space="preserve">failure of the voluntarist system to secure minimum standards in large swathes of the economy had </w:t>
      </w:r>
      <w:r w:rsidR="00C65F62" w:rsidRPr="00140BF5">
        <w:rPr>
          <w:lang w:val="en-GB"/>
        </w:rPr>
        <w:t>overturned views among</w:t>
      </w:r>
      <w:r w:rsidR="0031216F" w:rsidRPr="00140BF5">
        <w:rPr>
          <w:lang w:val="en-GB"/>
        </w:rPr>
        <w:t xml:space="preserve"> trade union</w:t>
      </w:r>
      <w:r w:rsidR="00C65F62" w:rsidRPr="00140BF5">
        <w:rPr>
          <w:lang w:val="en-GB"/>
        </w:rPr>
        <w:t>s</w:t>
      </w:r>
      <w:r w:rsidR="0031216F" w:rsidRPr="00140BF5">
        <w:rPr>
          <w:lang w:val="en-GB"/>
        </w:rPr>
        <w:t xml:space="preserve"> and the S</w:t>
      </w:r>
      <w:r w:rsidR="00674357" w:rsidRPr="00140BF5">
        <w:rPr>
          <w:lang w:val="en-GB"/>
        </w:rPr>
        <w:t xml:space="preserve">ocial Democratic party </w:t>
      </w:r>
      <w:r w:rsidR="0031216F" w:rsidRPr="00140BF5">
        <w:rPr>
          <w:lang w:val="en-GB"/>
        </w:rPr>
        <w:t xml:space="preserve">and </w:t>
      </w:r>
      <w:r w:rsidR="00DB6CC8" w:rsidRPr="00140BF5">
        <w:rPr>
          <w:lang w:val="en-GB"/>
        </w:rPr>
        <w:t xml:space="preserve">encouraged </w:t>
      </w:r>
      <w:r w:rsidR="0031216F" w:rsidRPr="00140BF5">
        <w:rPr>
          <w:lang w:val="en-GB"/>
        </w:rPr>
        <w:t xml:space="preserve">them </w:t>
      </w:r>
      <w:r w:rsidR="00DB6CC8" w:rsidRPr="00140BF5">
        <w:rPr>
          <w:lang w:val="en-GB"/>
        </w:rPr>
        <w:t xml:space="preserve">to </w:t>
      </w:r>
      <w:r w:rsidR="0031216F" w:rsidRPr="00140BF5">
        <w:rPr>
          <w:lang w:val="en-GB"/>
        </w:rPr>
        <w:t>join lobbying activities</w:t>
      </w:r>
      <w:r w:rsidR="00C65F62" w:rsidRPr="00140BF5">
        <w:rPr>
          <w:lang w:val="en-GB"/>
        </w:rPr>
        <w:t xml:space="preserve"> by the service sector union</w:t>
      </w:r>
      <w:r w:rsidR="001602FA" w:rsidRPr="00140BF5">
        <w:rPr>
          <w:lang w:val="en-GB"/>
        </w:rPr>
        <w:t xml:space="preserve"> (since 1999) </w:t>
      </w:r>
      <w:r w:rsidR="0031216F" w:rsidRPr="00140BF5">
        <w:rPr>
          <w:lang w:val="en-GB"/>
        </w:rPr>
        <w:t>for a national minimum wage (Bosch</w:t>
      </w:r>
      <w:r w:rsidR="00C7512B" w:rsidRPr="00140BF5">
        <w:rPr>
          <w:lang w:val="en-GB"/>
        </w:rPr>
        <w:t xml:space="preserve"> and </w:t>
      </w:r>
      <w:r w:rsidR="002E7381" w:rsidRPr="00140BF5">
        <w:rPr>
          <w:lang w:val="en-GB"/>
        </w:rPr>
        <w:t>Weinkopf</w:t>
      </w:r>
      <w:r w:rsidR="003E568C" w:rsidRPr="00140BF5">
        <w:rPr>
          <w:lang w:val="en-GB"/>
        </w:rPr>
        <w:t>,</w:t>
      </w:r>
      <w:r w:rsidR="002E7381" w:rsidRPr="00140BF5">
        <w:rPr>
          <w:lang w:val="en-GB"/>
        </w:rPr>
        <w:t xml:space="preserve"> 2017</w:t>
      </w:r>
      <w:r w:rsidR="0031216F" w:rsidRPr="00140BF5">
        <w:rPr>
          <w:lang w:val="en-GB"/>
        </w:rPr>
        <w:t xml:space="preserve">). In this </w:t>
      </w:r>
      <w:r w:rsidR="001C0CC8" w:rsidRPr="00140BF5">
        <w:rPr>
          <w:lang w:val="en-GB"/>
        </w:rPr>
        <w:t xml:space="preserve">situation, the </w:t>
      </w:r>
      <w:r w:rsidR="0031216F" w:rsidRPr="00140BF5">
        <w:rPr>
          <w:lang w:val="en-GB"/>
        </w:rPr>
        <w:t xml:space="preserve">local </w:t>
      </w:r>
      <w:r w:rsidR="00027A7D" w:rsidRPr="00140BF5">
        <w:rPr>
          <w:lang w:val="en-GB"/>
        </w:rPr>
        <w:t>Social Democratic P</w:t>
      </w:r>
      <w:r w:rsidR="001C0CC8" w:rsidRPr="00140BF5">
        <w:rPr>
          <w:lang w:val="en-GB"/>
        </w:rPr>
        <w:t>arty</w:t>
      </w:r>
      <w:r w:rsidR="00C65F62" w:rsidRPr="00140BF5">
        <w:rPr>
          <w:lang w:val="en-GB"/>
        </w:rPr>
        <w:t>’</w:t>
      </w:r>
      <w:r w:rsidR="003E568C" w:rsidRPr="00140BF5">
        <w:rPr>
          <w:lang w:val="en-GB"/>
        </w:rPr>
        <w:t>s</w:t>
      </w:r>
      <w:r w:rsidR="00C65F62" w:rsidRPr="00140BF5">
        <w:rPr>
          <w:lang w:val="en-GB"/>
        </w:rPr>
        <w:t xml:space="preserve"> support</w:t>
      </w:r>
      <w:r w:rsidR="001C0CC8" w:rsidRPr="00140BF5">
        <w:rPr>
          <w:lang w:val="en-GB"/>
        </w:rPr>
        <w:t xml:space="preserve"> </w:t>
      </w:r>
      <w:r w:rsidR="00674357" w:rsidRPr="00140BF5">
        <w:rPr>
          <w:lang w:val="en-GB"/>
        </w:rPr>
        <w:t xml:space="preserve">to extend pay clauses to public grants in 2012 </w:t>
      </w:r>
      <w:r w:rsidR="001C0CC8" w:rsidRPr="00140BF5">
        <w:rPr>
          <w:lang w:val="en-GB"/>
        </w:rPr>
        <w:t>was also motivated by</w:t>
      </w:r>
      <w:r w:rsidR="0031216F" w:rsidRPr="00140BF5">
        <w:rPr>
          <w:lang w:val="en-GB"/>
        </w:rPr>
        <w:t xml:space="preserve"> </w:t>
      </w:r>
      <w:r w:rsidR="00674357" w:rsidRPr="00140BF5">
        <w:rPr>
          <w:lang w:val="en-GB"/>
        </w:rPr>
        <w:t xml:space="preserve">the strategic objective of supporting </w:t>
      </w:r>
      <w:r w:rsidR="00C65F62" w:rsidRPr="00140BF5">
        <w:rPr>
          <w:lang w:val="en-GB"/>
        </w:rPr>
        <w:t>a new statutory</w:t>
      </w:r>
      <w:r w:rsidR="00674357" w:rsidRPr="00140BF5">
        <w:rPr>
          <w:lang w:val="en-GB"/>
        </w:rPr>
        <w:t xml:space="preserve"> minimum wage, as the then chair of the governing Social Democratic Party (SPD) explained: </w:t>
      </w:r>
    </w:p>
    <w:p w14:paraId="056D97DB" w14:textId="77777777" w:rsidR="00674357" w:rsidRPr="00140BF5" w:rsidRDefault="00674357" w:rsidP="0011084D">
      <w:pPr>
        <w:spacing w:line="480" w:lineRule="auto"/>
        <w:ind w:left="708"/>
        <w:jc w:val="both"/>
        <w:rPr>
          <w:lang w:val="en-GB"/>
        </w:rPr>
      </w:pPr>
      <w:r w:rsidRPr="00140BF5">
        <w:rPr>
          <w:i/>
          <w:lang w:val="en-GB"/>
        </w:rPr>
        <w:t xml:space="preserve">"We decided to do that in order to set down markers, in order to say </w:t>
      </w:r>
      <w:r w:rsidR="00A74B5F" w:rsidRPr="00140BF5">
        <w:rPr>
          <w:i/>
          <w:lang w:val="en-GB"/>
        </w:rPr>
        <w:t>(…)</w:t>
      </w:r>
      <w:r w:rsidRPr="00140BF5">
        <w:rPr>
          <w:i/>
          <w:lang w:val="en-GB"/>
        </w:rPr>
        <w:t xml:space="preserve">: it’s possible. There are realms where the State can say‚ </w:t>
      </w:r>
      <w:r w:rsidR="00C65F62" w:rsidRPr="00140BF5">
        <w:rPr>
          <w:i/>
          <w:lang w:val="en-GB"/>
        </w:rPr>
        <w:t>‘</w:t>
      </w:r>
      <w:r w:rsidRPr="00140BF5">
        <w:rPr>
          <w:i/>
          <w:lang w:val="en-GB"/>
        </w:rPr>
        <w:t xml:space="preserve">I insist on a minimum wage, end of story‘. </w:t>
      </w:r>
      <w:r w:rsidR="00A74B5F" w:rsidRPr="00140BF5">
        <w:rPr>
          <w:i/>
          <w:lang w:val="en-GB"/>
        </w:rPr>
        <w:t>(…)</w:t>
      </w:r>
      <w:r w:rsidRPr="00140BF5">
        <w:rPr>
          <w:i/>
          <w:lang w:val="en-GB"/>
        </w:rPr>
        <w:t xml:space="preserve"> So we decided to set down this milestone, and thereby also send a signal to the minimum wa</w:t>
      </w:r>
      <w:r w:rsidR="00DA7E45" w:rsidRPr="00140BF5">
        <w:rPr>
          <w:i/>
          <w:lang w:val="en-GB"/>
        </w:rPr>
        <w:t>ge debate at the national level”</w:t>
      </w:r>
      <w:r w:rsidRPr="00140BF5">
        <w:rPr>
          <w:lang w:val="en-GB"/>
        </w:rPr>
        <w:t xml:space="preserve"> (SPD member of state parliament, authors’ translation)</w:t>
      </w:r>
    </w:p>
    <w:p w14:paraId="5867637B" w14:textId="17D46546" w:rsidR="00307371" w:rsidRPr="00140BF5" w:rsidRDefault="00020494" w:rsidP="0011084D">
      <w:pPr>
        <w:spacing w:before="60" w:after="60" w:line="480" w:lineRule="auto"/>
        <w:jc w:val="both"/>
        <w:rPr>
          <w:lang w:val="en-GB"/>
        </w:rPr>
      </w:pPr>
      <w:r w:rsidRPr="00140BF5">
        <w:rPr>
          <w:lang w:val="en-GB"/>
        </w:rPr>
        <w:t>Finally, t</w:t>
      </w:r>
      <w:r w:rsidR="00B1684A" w:rsidRPr="00140BF5">
        <w:rPr>
          <w:lang w:val="en-GB"/>
        </w:rPr>
        <w:t xml:space="preserve">he general public discourse </w:t>
      </w:r>
      <w:r w:rsidR="00A751B2" w:rsidRPr="00140BF5">
        <w:rPr>
          <w:lang w:val="en-GB"/>
        </w:rPr>
        <w:t xml:space="preserve">and media attention </w:t>
      </w:r>
      <w:r w:rsidR="00C65F62" w:rsidRPr="00140BF5">
        <w:rPr>
          <w:lang w:val="en-GB"/>
        </w:rPr>
        <w:t>also</w:t>
      </w:r>
      <w:r w:rsidR="00A751B2" w:rsidRPr="00140BF5">
        <w:rPr>
          <w:lang w:val="en-GB"/>
        </w:rPr>
        <w:t xml:space="preserve"> stimulat</w:t>
      </w:r>
      <w:r w:rsidR="00C65F62" w:rsidRPr="00140BF5">
        <w:rPr>
          <w:lang w:val="en-GB"/>
        </w:rPr>
        <w:t>ed</w:t>
      </w:r>
      <w:r w:rsidR="00A751B2" w:rsidRPr="00140BF5">
        <w:rPr>
          <w:lang w:val="en-GB"/>
        </w:rPr>
        <w:t xml:space="preserve"> support for </w:t>
      </w:r>
      <w:r w:rsidR="00357EE6" w:rsidRPr="00140BF5">
        <w:rPr>
          <w:lang w:val="en-GB"/>
        </w:rPr>
        <w:t xml:space="preserve">labour </w:t>
      </w:r>
      <w:r w:rsidR="00A751B2" w:rsidRPr="00140BF5">
        <w:rPr>
          <w:lang w:val="en-GB"/>
        </w:rPr>
        <w:t>clauses</w:t>
      </w:r>
      <w:r w:rsidR="00267E0C" w:rsidRPr="00140BF5">
        <w:rPr>
          <w:lang w:val="en-GB"/>
        </w:rPr>
        <w:t xml:space="preserve">, </w:t>
      </w:r>
      <w:r w:rsidR="008B0429" w:rsidRPr="00140BF5">
        <w:rPr>
          <w:lang w:val="en-GB"/>
        </w:rPr>
        <w:t>not least for their symbolic</w:t>
      </w:r>
      <w:r w:rsidR="00B0745B" w:rsidRPr="00140BF5">
        <w:rPr>
          <w:lang w:val="en-GB"/>
        </w:rPr>
        <w:t xml:space="preserve"> </w:t>
      </w:r>
      <w:r w:rsidR="008B0429" w:rsidRPr="00140BF5">
        <w:rPr>
          <w:lang w:val="en-GB"/>
        </w:rPr>
        <w:t xml:space="preserve">role </w:t>
      </w:r>
      <w:r w:rsidR="00E520BF" w:rsidRPr="00140BF5">
        <w:rPr>
          <w:lang w:val="en-GB"/>
        </w:rPr>
        <w:t>and signalling effect</w:t>
      </w:r>
      <w:r w:rsidR="00357EE6" w:rsidRPr="00140BF5">
        <w:rPr>
          <w:lang w:val="en-GB"/>
        </w:rPr>
        <w:t xml:space="preserve"> in all three municipalities</w:t>
      </w:r>
      <w:r w:rsidR="00E520BF" w:rsidRPr="00140BF5">
        <w:rPr>
          <w:lang w:val="en-GB"/>
        </w:rPr>
        <w:t>.</w:t>
      </w:r>
      <w:r w:rsidR="00A751B2" w:rsidRPr="00140BF5">
        <w:rPr>
          <w:lang w:val="en-GB"/>
        </w:rPr>
        <w:t xml:space="preserve"> In Copenhagen, </w:t>
      </w:r>
      <w:r w:rsidR="00A751B2" w:rsidRPr="00140BF5" w:rsidDel="00B133F1">
        <w:rPr>
          <w:lang w:val="en-GB"/>
        </w:rPr>
        <w:t xml:space="preserve">media attention to precarious working conditions </w:t>
      </w:r>
      <w:r w:rsidR="00C92852" w:rsidRPr="00140BF5">
        <w:rPr>
          <w:lang w:val="en-GB"/>
        </w:rPr>
        <w:t>facing</w:t>
      </w:r>
      <w:r w:rsidR="00657D81" w:rsidRPr="00140BF5">
        <w:rPr>
          <w:lang w:val="en-GB"/>
        </w:rPr>
        <w:t xml:space="preserve"> foreign employees</w:t>
      </w:r>
      <w:r w:rsidR="00A751B2" w:rsidRPr="00140BF5" w:rsidDel="00B133F1">
        <w:rPr>
          <w:lang w:val="en-GB"/>
        </w:rPr>
        <w:t xml:space="preserve"> in cleaning propelled the is</w:t>
      </w:r>
      <w:r w:rsidR="008B0429" w:rsidRPr="00140BF5">
        <w:rPr>
          <w:lang w:val="en-GB"/>
        </w:rPr>
        <w:t>sue of labour clauses high up</w:t>
      </w:r>
      <w:r w:rsidR="00A751B2" w:rsidRPr="00140BF5" w:rsidDel="00B133F1">
        <w:rPr>
          <w:lang w:val="en-GB"/>
        </w:rPr>
        <w:t xml:space="preserve"> the agenda</w:t>
      </w:r>
      <w:r w:rsidR="00657D81" w:rsidRPr="00140BF5">
        <w:rPr>
          <w:lang w:val="en-GB"/>
        </w:rPr>
        <w:t xml:space="preserve">. </w:t>
      </w:r>
      <w:r w:rsidR="00DE0B3F" w:rsidRPr="00140BF5">
        <w:rPr>
          <w:lang w:val="en-GB"/>
        </w:rPr>
        <w:t xml:space="preserve">In Germany, the </w:t>
      </w:r>
      <w:r w:rsidR="00C65F62" w:rsidRPr="00140BF5">
        <w:rPr>
          <w:lang w:val="en-GB"/>
        </w:rPr>
        <w:t xml:space="preserve">deliberate focus of </w:t>
      </w:r>
      <w:r w:rsidR="00DE0B3F" w:rsidRPr="00140BF5">
        <w:rPr>
          <w:lang w:val="en-GB"/>
        </w:rPr>
        <w:t>left</w:t>
      </w:r>
      <w:r w:rsidR="00C65F62" w:rsidRPr="00140BF5">
        <w:rPr>
          <w:lang w:val="en-GB"/>
        </w:rPr>
        <w:t>-wing</w:t>
      </w:r>
      <w:r w:rsidR="00DE0B3F" w:rsidRPr="00140BF5">
        <w:rPr>
          <w:lang w:val="en-GB"/>
        </w:rPr>
        <w:t xml:space="preserve"> opposition parties </w:t>
      </w:r>
      <w:r w:rsidR="00C65F62" w:rsidRPr="00140BF5">
        <w:rPr>
          <w:lang w:val="en-GB"/>
        </w:rPr>
        <w:lastRenderedPageBreak/>
        <w:t>(</w:t>
      </w:r>
      <w:r w:rsidR="00DE0B3F" w:rsidRPr="00140BF5">
        <w:rPr>
          <w:lang w:val="en-GB"/>
        </w:rPr>
        <w:t>‘Die Linke’</w:t>
      </w:r>
      <w:r w:rsidR="00C65F62" w:rsidRPr="00140BF5">
        <w:rPr>
          <w:lang w:val="en-GB"/>
        </w:rPr>
        <w:t>)</w:t>
      </w:r>
      <w:r w:rsidR="00DE0B3F" w:rsidRPr="00140BF5">
        <w:rPr>
          <w:lang w:val="en-GB"/>
        </w:rPr>
        <w:t xml:space="preserve"> on cases of negative experiences with outsourcing helps explain a general turn towards a ‘socialpoliti</w:t>
      </w:r>
      <w:r w:rsidR="00140BF5">
        <w:rPr>
          <w:lang w:val="en-GB"/>
        </w:rPr>
        <w:t>z</w:t>
      </w:r>
      <w:r w:rsidR="00DE0B3F" w:rsidRPr="00140BF5">
        <w:rPr>
          <w:lang w:val="en-GB"/>
        </w:rPr>
        <w:t>ation’ of procurement policies (Sack</w:t>
      </w:r>
      <w:r w:rsidR="00FA02CD" w:rsidRPr="00140BF5">
        <w:rPr>
          <w:lang w:val="en-GB"/>
        </w:rPr>
        <w:t xml:space="preserve"> and </w:t>
      </w:r>
      <w:r w:rsidR="00DE0B3F" w:rsidRPr="00140BF5">
        <w:rPr>
          <w:lang w:val="en-GB"/>
        </w:rPr>
        <w:t>Sarter</w:t>
      </w:r>
      <w:r w:rsidR="003E568C" w:rsidRPr="00140BF5">
        <w:rPr>
          <w:lang w:val="en-GB"/>
        </w:rPr>
        <w:t>,</w:t>
      </w:r>
      <w:r w:rsidR="00DE0B3F" w:rsidRPr="00140BF5">
        <w:rPr>
          <w:lang w:val="en-GB"/>
        </w:rPr>
        <w:t xml:space="preserve"> 2016). </w:t>
      </w:r>
      <w:r w:rsidR="00807DCD" w:rsidRPr="00140BF5">
        <w:rPr>
          <w:lang w:val="en-GB"/>
        </w:rPr>
        <w:t xml:space="preserve">Similarly, </w:t>
      </w:r>
      <w:r w:rsidR="00625401" w:rsidRPr="00140BF5">
        <w:rPr>
          <w:lang w:val="en-GB"/>
        </w:rPr>
        <w:t>in the UK</w:t>
      </w:r>
      <w:r w:rsidR="00EE5835" w:rsidRPr="00140BF5">
        <w:rPr>
          <w:lang w:val="en-GB"/>
        </w:rPr>
        <w:t>,</w:t>
      </w:r>
      <w:r w:rsidR="00625401" w:rsidRPr="00140BF5">
        <w:rPr>
          <w:lang w:val="en-GB"/>
        </w:rPr>
        <w:t xml:space="preserve"> </w:t>
      </w:r>
      <w:r w:rsidR="00807DCD" w:rsidRPr="00140BF5">
        <w:rPr>
          <w:lang w:val="en-GB"/>
        </w:rPr>
        <w:t xml:space="preserve">high profile </w:t>
      </w:r>
      <w:r w:rsidR="00B144C9" w:rsidRPr="00140BF5">
        <w:rPr>
          <w:lang w:val="en-GB"/>
        </w:rPr>
        <w:t xml:space="preserve">media </w:t>
      </w:r>
      <w:r w:rsidR="00EE5835" w:rsidRPr="00140BF5">
        <w:rPr>
          <w:lang w:val="en-GB"/>
        </w:rPr>
        <w:t>attention to</w:t>
      </w:r>
      <w:r w:rsidR="00807DCD" w:rsidRPr="00140BF5">
        <w:rPr>
          <w:lang w:val="en-GB"/>
        </w:rPr>
        <w:t xml:space="preserve"> living wage</w:t>
      </w:r>
      <w:r w:rsidR="00EE5835" w:rsidRPr="00140BF5">
        <w:rPr>
          <w:lang w:val="en-GB"/>
        </w:rPr>
        <w:t xml:space="preserve"> campaigns and problems of unpaid </w:t>
      </w:r>
      <w:r w:rsidR="00300F1E" w:rsidRPr="00140BF5">
        <w:rPr>
          <w:lang w:val="en-GB"/>
        </w:rPr>
        <w:t>travel time</w:t>
      </w:r>
      <w:r w:rsidR="009C6119" w:rsidRPr="00140BF5">
        <w:rPr>
          <w:lang w:val="en-GB"/>
        </w:rPr>
        <w:t xml:space="preserve"> and</w:t>
      </w:r>
      <w:r w:rsidR="00807DCD" w:rsidRPr="00140BF5">
        <w:rPr>
          <w:lang w:val="en-GB"/>
        </w:rPr>
        <w:t xml:space="preserve"> zero hours contracts among subcontracted cleaning and care workers</w:t>
      </w:r>
      <w:r w:rsidR="00DA7E45" w:rsidRPr="00140BF5">
        <w:rPr>
          <w:lang w:val="en-GB"/>
        </w:rPr>
        <w:t xml:space="preserve"> </w:t>
      </w:r>
      <w:r w:rsidR="00400ED8" w:rsidRPr="00140BF5">
        <w:rPr>
          <w:lang w:val="en-GB"/>
        </w:rPr>
        <w:t>have firmly placed</w:t>
      </w:r>
      <w:r w:rsidR="00EE5835" w:rsidRPr="00140BF5">
        <w:rPr>
          <w:lang w:val="en-GB"/>
        </w:rPr>
        <w:t xml:space="preserve"> labour clauses </w:t>
      </w:r>
      <w:r w:rsidR="00295600" w:rsidRPr="00140BF5">
        <w:rPr>
          <w:lang w:val="en-GB"/>
        </w:rPr>
        <w:t>on</w:t>
      </w:r>
      <w:r w:rsidR="00EE5835" w:rsidRPr="00140BF5">
        <w:rPr>
          <w:lang w:val="en-GB"/>
        </w:rPr>
        <w:t xml:space="preserve"> local authority agendas </w:t>
      </w:r>
      <w:r w:rsidR="00DA7E45" w:rsidRPr="00140BF5">
        <w:rPr>
          <w:lang w:val="en-GB"/>
        </w:rPr>
        <w:t>(</w:t>
      </w:r>
      <w:r w:rsidR="005B52DF" w:rsidRPr="00140BF5">
        <w:rPr>
          <w:lang w:val="en-GB"/>
        </w:rPr>
        <w:t>Koukiadaki</w:t>
      </w:r>
      <w:r w:rsidR="003E568C" w:rsidRPr="00140BF5">
        <w:rPr>
          <w:lang w:val="en-GB"/>
        </w:rPr>
        <w:t>,</w:t>
      </w:r>
      <w:r w:rsidR="005B52DF" w:rsidRPr="00140BF5">
        <w:rPr>
          <w:lang w:val="en-GB"/>
        </w:rPr>
        <w:t xml:space="preserve"> 2014</w:t>
      </w:r>
      <w:r w:rsidR="00DA7E45" w:rsidRPr="00140BF5">
        <w:rPr>
          <w:lang w:val="en-GB"/>
        </w:rPr>
        <w:t>)</w:t>
      </w:r>
      <w:r w:rsidR="00FA02CD" w:rsidRPr="00140BF5">
        <w:rPr>
          <w:lang w:val="en-GB"/>
        </w:rPr>
        <w:t>.</w:t>
      </w:r>
    </w:p>
    <w:p w14:paraId="116044FF" w14:textId="77777777" w:rsidR="00020494" w:rsidRPr="00140BF5" w:rsidRDefault="00020494" w:rsidP="0011084D">
      <w:pPr>
        <w:spacing w:before="60" w:after="60" w:line="480" w:lineRule="auto"/>
        <w:jc w:val="both"/>
        <w:rPr>
          <w:i/>
          <w:lang w:val="en-GB"/>
        </w:rPr>
      </w:pPr>
    </w:p>
    <w:p w14:paraId="35439FE9" w14:textId="77777777" w:rsidR="008B0429" w:rsidRPr="00140BF5" w:rsidRDefault="008B0429" w:rsidP="0011084D">
      <w:pPr>
        <w:spacing w:before="60" w:after="60" w:line="480" w:lineRule="auto"/>
        <w:jc w:val="both"/>
        <w:rPr>
          <w:i/>
          <w:lang w:val="en-GB"/>
        </w:rPr>
      </w:pPr>
      <w:r w:rsidRPr="00140BF5">
        <w:rPr>
          <w:i/>
          <w:lang w:val="en-GB"/>
        </w:rPr>
        <w:t>Negotiating the scope and coverage of labour clauses</w:t>
      </w:r>
      <w:r w:rsidR="007B2B5F" w:rsidRPr="00140BF5">
        <w:rPr>
          <w:i/>
          <w:lang w:val="en-GB"/>
        </w:rPr>
        <w:t xml:space="preserve"> </w:t>
      </w:r>
    </w:p>
    <w:p w14:paraId="7E5A8D1A" w14:textId="0969DB4B" w:rsidR="004A5D88" w:rsidRPr="00140BF5" w:rsidRDefault="00B144C9" w:rsidP="0011084D">
      <w:pPr>
        <w:spacing w:before="60" w:after="60" w:line="480" w:lineRule="auto"/>
        <w:jc w:val="both"/>
        <w:rPr>
          <w:lang w:val="en-GB"/>
        </w:rPr>
      </w:pPr>
      <w:r w:rsidRPr="00140BF5">
        <w:rPr>
          <w:lang w:val="en-GB"/>
        </w:rPr>
        <w:t xml:space="preserve">The </w:t>
      </w:r>
      <w:r w:rsidR="0089260E" w:rsidRPr="00140BF5">
        <w:rPr>
          <w:lang w:val="en-GB"/>
        </w:rPr>
        <w:t xml:space="preserve">fact that supportive political coalitions emerged to </w:t>
      </w:r>
      <w:r w:rsidRPr="00140BF5">
        <w:rPr>
          <w:lang w:val="en-GB"/>
        </w:rPr>
        <w:t xml:space="preserve">adopt labour clauses did not prevent conflicts </w:t>
      </w:r>
      <w:r w:rsidR="00675066" w:rsidRPr="00140BF5">
        <w:rPr>
          <w:lang w:val="en-GB"/>
        </w:rPr>
        <w:t xml:space="preserve">from </w:t>
      </w:r>
      <w:r w:rsidRPr="00140BF5">
        <w:rPr>
          <w:lang w:val="en-GB"/>
        </w:rPr>
        <w:t>emerging in the</w:t>
      </w:r>
      <w:r w:rsidR="0091174A" w:rsidRPr="00140BF5">
        <w:rPr>
          <w:lang w:val="en-GB"/>
        </w:rPr>
        <w:t>ir</w:t>
      </w:r>
      <w:r w:rsidRPr="00140BF5">
        <w:rPr>
          <w:lang w:val="en-GB"/>
        </w:rPr>
        <w:t xml:space="preserve"> design. </w:t>
      </w:r>
      <w:r w:rsidR="006A704E" w:rsidRPr="00140BF5">
        <w:rPr>
          <w:lang w:val="en-GB"/>
        </w:rPr>
        <w:t>T</w:t>
      </w:r>
      <w:r w:rsidR="004A5D88" w:rsidRPr="00140BF5">
        <w:rPr>
          <w:lang w:val="en-GB"/>
        </w:rPr>
        <w:t xml:space="preserve">here </w:t>
      </w:r>
      <w:r w:rsidR="006A3ED9" w:rsidRPr="00140BF5">
        <w:rPr>
          <w:lang w:val="en-GB"/>
        </w:rPr>
        <w:t>we</w:t>
      </w:r>
      <w:r w:rsidR="006A704E" w:rsidRPr="00140BF5">
        <w:rPr>
          <w:lang w:val="en-GB"/>
        </w:rPr>
        <w:t xml:space="preserve">re substantial </w:t>
      </w:r>
      <w:r w:rsidR="004A5D88" w:rsidRPr="00140BF5">
        <w:rPr>
          <w:lang w:val="en-GB"/>
        </w:rPr>
        <w:t xml:space="preserve">variations </w:t>
      </w:r>
      <w:r w:rsidR="006A3ED9" w:rsidRPr="00140BF5">
        <w:rPr>
          <w:lang w:val="en-GB"/>
        </w:rPr>
        <w:t>among the three case studies</w:t>
      </w:r>
      <w:r w:rsidR="00253A8A" w:rsidRPr="00140BF5">
        <w:rPr>
          <w:lang w:val="en-GB"/>
        </w:rPr>
        <w:t xml:space="preserve"> (table </w:t>
      </w:r>
      <w:r w:rsidR="00BA717D" w:rsidRPr="00140BF5">
        <w:rPr>
          <w:lang w:val="en-GB"/>
        </w:rPr>
        <w:t>1</w:t>
      </w:r>
      <w:r w:rsidR="00253A8A" w:rsidRPr="00140BF5">
        <w:rPr>
          <w:lang w:val="en-GB"/>
        </w:rPr>
        <w:t>)</w:t>
      </w:r>
      <w:r w:rsidR="00D70DF0" w:rsidRPr="00140BF5">
        <w:rPr>
          <w:lang w:val="en-GB"/>
        </w:rPr>
        <w:t xml:space="preserve">, </w:t>
      </w:r>
      <w:r w:rsidR="006A704E" w:rsidRPr="00140BF5">
        <w:rPr>
          <w:lang w:val="en-GB"/>
        </w:rPr>
        <w:t>reflect</w:t>
      </w:r>
      <w:r w:rsidR="00D70DF0" w:rsidRPr="00140BF5">
        <w:rPr>
          <w:lang w:val="en-GB"/>
        </w:rPr>
        <w:t>ing</w:t>
      </w:r>
      <w:r w:rsidR="004A5D88" w:rsidRPr="00140BF5">
        <w:rPr>
          <w:lang w:val="en-GB"/>
        </w:rPr>
        <w:t xml:space="preserve"> the difficulties in balancing the vested interests of employers and unions, but also the downward pressure on municipal budgets which made compromises inevitable. </w:t>
      </w:r>
    </w:p>
    <w:p w14:paraId="72E40804" w14:textId="77777777" w:rsidR="001731EF" w:rsidRPr="00140BF5" w:rsidRDefault="001731EF" w:rsidP="0011084D">
      <w:pPr>
        <w:spacing w:after="0" w:line="480" w:lineRule="auto"/>
        <w:rPr>
          <w:lang w:val="en-GB"/>
        </w:rPr>
      </w:pPr>
      <w:r w:rsidRPr="00140BF5">
        <w:rPr>
          <w:lang w:val="en-GB"/>
        </w:rPr>
        <w:t>[TABLE 1 here]</w:t>
      </w:r>
    </w:p>
    <w:p w14:paraId="31147F1C" w14:textId="41F5D895" w:rsidR="00C47CFD" w:rsidRPr="00140BF5" w:rsidRDefault="008B0429" w:rsidP="0011084D">
      <w:pPr>
        <w:spacing w:before="240" w:after="60" w:line="480" w:lineRule="auto"/>
        <w:jc w:val="both"/>
        <w:rPr>
          <w:lang w:val="en-GB"/>
        </w:rPr>
      </w:pPr>
      <w:r w:rsidRPr="00140BF5">
        <w:rPr>
          <w:lang w:val="en-GB"/>
        </w:rPr>
        <w:t>T</w:t>
      </w:r>
      <w:r w:rsidR="004A5D88" w:rsidRPr="00140BF5">
        <w:rPr>
          <w:lang w:val="en-GB"/>
        </w:rPr>
        <w:t xml:space="preserve">he labour clauses in Copenhagen </w:t>
      </w:r>
      <w:r w:rsidR="00D70DF0" w:rsidRPr="00140BF5">
        <w:rPr>
          <w:lang w:val="en-GB"/>
        </w:rPr>
        <w:t>we</w:t>
      </w:r>
      <w:r w:rsidR="004A5D88" w:rsidRPr="00140BF5">
        <w:rPr>
          <w:lang w:val="en-GB"/>
        </w:rPr>
        <w:t>re the most comprehensive</w:t>
      </w:r>
      <w:r w:rsidR="00C92852" w:rsidRPr="00140BF5">
        <w:rPr>
          <w:lang w:val="en-GB"/>
        </w:rPr>
        <w:t xml:space="preserve"> as t</w:t>
      </w:r>
      <w:r w:rsidR="004A5D88" w:rsidRPr="00140BF5">
        <w:rPr>
          <w:lang w:val="en-GB"/>
        </w:rPr>
        <w:t>hey extend</w:t>
      </w:r>
      <w:r w:rsidR="00CC593C" w:rsidRPr="00140BF5">
        <w:rPr>
          <w:lang w:val="en-GB"/>
        </w:rPr>
        <w:t>ed</w:t>
      </w:r>
      <w:r w:rsidR="004A5D88" w:rsidRPr="00140BF5">
        <w:rPr>
          <w:lang w:val="en-GB"/>
        </w:rPr>
        <w:t xml:space="preserve"> </w:t>
      </w:r>
      <w:r w:rsidR="00C92852" w:rsidRPr="00140BF5">
        <w:rPr>
          <w:lang w:val="en-GB"/>
        </w:rPr>
        <w:t xml:space="preserve">existing collectively agreed </w:t>
      </w:r>
      <w:r w:rsidR="004A5D88" w:rsidRPr="00140BF5">
        <w:rPr>
          <w:lang w:val="en-GB"/>
        </w:rPr>
        <w:t>wage</w:t>
      </w:r>
      <w:r w:rsidR="00106E42" w:rsidRPr="00140BF5">
        <w:rPr>
          <w:lang w:val="en-GB"/>
        </w:rPr>
        <w:t>s</w:t>
      </w:r>
      <w:r w:rsidR="004A5D88" w:rsidRPr="00140BF5">
        <w:rPr>
          <w:lang w:val="en-GB"/>
        </w:rPr>
        <w:t xml:space="preserve"> and working conditions </w:t>
      </w:r>
      <w:r w:rsidR="00C92852" w:rsidRPr="00140BF5">
        <w:rPr>
          <w:lang w:val="en-GB"/>
        </w:rPr>
        <w:t>to subcontracted workers. Furthermore, the addition of labour clauses to</w:t>
      </w:r>
      <w:r w:rsidR="00467E59" w:rsidRPr="00140BF5">
        <w:rPr>
          <w:lang w:val="en-GB"/>
        </w:rPr>
        <w:t xml:space="preserve"> contracts</w:t>
      </w:r>
      <w:r w:rsidR="00C92852" w:rsidRPr="00140BF5">
        <w:rPr>
          <w:lang w:val="en-GB"/>
        </w:rPr>
        <w:t xml:space="preserve"> gave them</w:t>
      </w:r>
      <w:r w:rsidR="00467E59" w:rsidRPr="00140BF5">
        <w:rPr>
          <w:lang w:val="en-GB"/>
        </w:rPr>
        <w:t xml:space="preserve"> a legally binding status</w:t>
      </w:r>
      <w:r w:rsidR="006F2CE7" w:rsidRPr="00140BF5">
        <w:rPr>
          <w:lang w:val="en-GB"/>
        </w:rPr>
        <w:t xml:space="preserve"> (whether or not employers formally signed the most representative collective agreement)</w:t>
      </w:r>
      <w:r w:rsidR="00467E59" w:rsidRPr="00140BF5">
        <w:rPr>
          <w:lang w:val="en-GB"/>
        </w:rPr>
        <w:t xml:space="preserve">. </w:t>
      </w:r>
      <w:r w:rsidR="004A5D88" w:rsidRPr="00140BF5">
        <w:rPr>
          <w:lang w:val="en-GB"/>
        </w:rPr>
        <w:t xml:space="preserve"> </w:t>
      </w:r>
      <w:r w:rsidR="006F2CE7" w:rsidRPr="00140BF5">
        <w:rPr>
          <w:lang w:val="en-GB"/>
        </w:rPr>
        <w:t>Furthermore, t</w:t>
      </w:r>
      <w:r w:rsidR="00C47CFD" w:rsidRPr="00140BF5">
        <w:rPr>
          <w:lang w:val="en-GB"/>
        </w:rPr>
        <w:t>he decision</w:t>
      </w:r>
      <w:r w:rsidR="006F2CE7" w:rsidRPr="00140BF5">
        <w:rPr>
          <w:lang w:val="en-GB"/>
        </w:rPr>
        <w:t xml:space="preserve"> of Copenhagen council</w:t>
      </w:r>
      <w:r w:rsidR="00C47CFD" w:rsidRPr="00140BF5">
        <w:rPr>
          <w:lang w:val="en-GB"/>
        </w:rPr>
        <w:t xml:space="preserve"> to strengthen the </w:t>
      </w:r>
      <w:r w:rsidR="006F2CE7" w:rsidRPr="00140BF5">
        <w:rPr>
          <w:lang w:val="en-GB"/>
        </w:rPr>
        <w:t>rules</w:t>
      </w:r>
      <w:r w:rsidR="00C47CFD" w:rsidRPr="00140BF5">
        <w:rPr>
          <w:lang w:val="en-GB"/>
        </w:rPr>
        <w:t xml:space="preserve"> around chain liability to cover </w:t>
      </w:r>
      <w:r w:rsidR="006F2CE7" w:rsidRPr="00140BF5">
        <w:rPr>
          <w:lang w:val="en-GB"/>
        </w:rPr>
        <w:t>successive</w:t>
      </w:r>
      <w:r w:rsidR="00170685" w:rsidRPr="00140BF5">
        <w:rPr>
          <w:lang w:val="en-GB"/>
        </w:rPr>
        <w:t xml:space="preserve"> tiers of</w:t>
      </w:r>
      <w:r w:rsidR="00C47CFD" w:rsidRPr="00140BF5">
        <w:rPr>
          <w:lang w:val="en-GB"/>
        </w:rPr>
        <w:t xml:space="preserve"> subcontractors</w:t>
      </w:r>
      <w:r w:rsidR="00FA60BB" w:rsidRPr="00140BF5">
        <w:rPr>
          <w:lang w:val="en-GB"/>
        </w:rPr>
        <w:t xml:space="preserve"> in all forms of outsourced work</w:t>
      </w:r>
      <w:r w:rsidR="00C47CFD" w:rsidRPr="00140BF5">
        <w:rPr>
          <w:lang w:val="en-GB"/>
        </w:rPr>
        <w:t xml:space="preserve"> was welcomed by the unions, but opposed by the employers and the liberal parties </w:t>
      </w:r>
      <w:r w:rsidR="00F41BB6" w:rsidRPr="00140BF5">
        <w:rPr>
          <w:lang w:val="en-GB"/>
        </w:rPr>
        <w:t>who argued this could</w:t>
      </w:r>
      <w:r w:rsidR="00C47CFD" w:rsidRPr="00140BF5">
        <w:rPr>
          <w:lang w:val="en-GB"/>
        </w:rPr>
        <w:t xml:space="preserve"> potential</w:t>
      </w:r>
      <w:r w:rsidR="006F2CE7" w:rsidRPr="00140BF5">
        <w:rPr>
          <w:lang w:val="en-GB"/>
        </w:rPr>
        <w:t>ly</w:t>
      </w:r>
      <w:r w:rsidR="00C47CFD" w:rsidRPr="00140BF5">
        <w:rPr>
          <w:lang w:val="en-GB"/>
        </w:rPr>
        <w:t xml:space="preserve"> violat</w:t>
      </w:r>
      <w:r w:rsidR="00F41BB6" w:rsidRPr="00140BF5">
        <w:rPr>
          <w:lang w:val="en-GB"/>
        </w:rPr>
        <w:t xml:space="preserve">e </w:t>
      </w:r>
      <w:r w:rsidR="00C47CFD" w:rsidRPr="00140BF5">
        <w:rPr>
          <w:lang w:val="en-GB"/>
        </w:rPr>
        <w:t>EU</w:t>
      </w:r>
      <w:r w:rsidR="00170685" w:rsidRPr="00140BF5">
        <w:rPr>
          <w:lang w:val="en-GB"/>
        </w:rPr>
        <w:t xml:space="preserve"> </w:t>
      </w:r>
      <w:r w:rsidR="00F41BB6" w:rsidRPr="00140BF5">
        <w:rPr>
          <w:lang w:val="en-GB"/>
        </w:rPr>
        <w:t>legislation</w:t>
      </w:r>
      <w:r w:rsidR="00C47CFD" w:rsidRPr="00140BF5">
        <w:rPr>
          <w:lang w:val="en-GB"/>
        </w:rPr>
        <w:t xml:space="preserve">. </w:t>
      </w:r>
      <w:r w:rsidR="004A2654" w:rsidRPr="00140BF5">
        <w:rPr>
          <w:lang w:val="en-GB"/>
        </w:rPr>
        <w:t>In a different region</w:t>
      </w:r>
      <w:r w:rsidR="00F41BB6" w:rsidRPr="00140BF5">
        <w:rPr>
          <w:lang w:val="en-GB"/>
        </w:rPr>
        <w:t>al authority</w:t>
      </w:r>
      <w:r w:rsidR="004A2654" w:rsidRPr="00140BF5">
        <w:rPr>
          <w:lang w:val="en-GB"/>
        </w:rPr>
        <w:t>, t</w:t>
      </w:r>
      <w:r w:rsidR="00C47CFD" w:rsidRPr="00140BF5">
        <w:rPr>
          <w:lang w:val="en-GB"/>
        </w:rPr>
        <w:t xml:space="preserve">he Danish </w:t>
      </w:r>
      <w:r w:rsidR="004A2654" w:rsidRPr="00140BF5">
        <w:rPr>
          <w:lang w:val="en-GB"/>
        </w:rPr>
        <w:t xml:space="preserve">construction </w:t>
      </w:r>
      <w:r w:rsidR="00C47CFD" w:rsidRPr="00140BF5">
        <w:rPr>
          <w:lang w:val="en-GB"/>
        </w:rPr>
        <w:t>employers</w:t>
      </w:r>
      <w:r w:rsidR="004A2654" w:rsidRPr="00140BF5">
        <w:rPr>
          <w:lang w:val="en-GB"/>
        </w:rPr>
        <w:t>’</w:t>
      </w:r>
      <w:r w:rsidR="00892D4C" w:rsidRPr="00140BF5">
        <w:rPr>
          <w:lang w:val="en-GB"/>
        </w:rPr>
        <w:t xml:space="preserve"> association</w:t>
      </w:r>
      <w:r w:rsidR="00C47CFD" w:rsidRPr="00140BF5">
        <w:rPr>
          <w:lang w:val="en-GB"/>
        </w:rPr>
        <w:t xml:space="preserve"> tested the legality of chain liability by bringing a case before the public procurement complaint board</w:t>
      </w:r>
      <w:r w:rsidR="00FD59F4" w:rsidRPr="00140BF5">
        <w:rPr>
          <w:lang w:val="en-GB"/>
        </w:rPr>
        <w:t xml:space="preserve">, but lost the </w:t>
      </w:r>
      <w:r w:rsidR="00873D86" w:rsidRPr="00140BF5">
        <w:rPr>
          <w:lang w:val="en-GB"/>
        </w:rPr>
        <w:t>case</w:t>
      </w:r>
      <w:r w:rsidR="0089260E" w:rsidRPr="00140BF5">
        <w:rPr>
          <w:lang w:val="en-GB"/>
        </w:rPr>
        <w:t xml:space="preserve">. </w:t>
      </w:r>
      <w:r w:rsidR="00873D86" w:rsidRPr="00140BF5">
        <w:rPr>
          <w:lang w:val="en-GB"/>
        </w:rPr>
        <w:t xml:space="preserve">By contrast, </w:t>
      </w:r>
      <w:r w:rsidR="006F2CE7" w:rsidRPr="00140BF5">
        <w:rPr>
          <w:lang w:val="en-GB"/>
        </w:rPr>
        <w:t xml:space="preserve">Danish employers </w:t>
      </w:r>
      <w:r w:rsidR="0089260E" w:rsidRPr="00140BF5">
        <w:rPr>
          <w:lang w:val="en-GB"/>
        </w:rPr>
        <w:t xml:space="preserve">were successful in blocking </w:t>
      </w:r>
      <w:r w:rsidR="006F2CE7" w:rsidRPr="00140BF5">
        <w:rPr>
          <w:lang w:val="en-GB"/>
        </w:rPr>
        <w:t xml:space="preserve">the proposal of low-skill workers’ unions to </w:t>
      </w:r>
      <w:r w:rsidR="00DF4C61" w:rsidRPr="00140BF5">
        <w:rPr>
          <w:lang w:val="en-GB"/>
        </w:rPr>
        <w:t>exclude firms not covered by collective agreements from public tenders</w:t>
      </w:r>
      <w:r w:rsidR="006F2CE7" w:rsidRPr="00140BF5">
        <w:rPr>
          <w:lang w:val="en-GB"/>
        </w:rPr>
        <w:t xml:space="preserve">. </w:t>
      </w:r>
    </w:p>
    <w:p w14:paraId="7A5D202C" w14:textId="4CDDEC7D" w:rsidR="00FA02CD" w:rsidRPr="00140BF5" w:rsidRDefault="00106E42" w:rsidP="00267E0C">
      <w:pPr>
        <w:spacing w:before="240" w:after="60" w:line="480" w:lineRule="auto"/>
        <w:jc w:val="both"/>
        <w:rPr>
          <w:lang w:val="en-GB"/>
        </w:rPr>
      </w:pPr>
      <w:r w:rsidRPr="00140BF5">
        <w:rPr>
          <w:lang w:val="en-GB"/>
        </w:rPr>
        <w:t xml:space="preserve">In Bremen, labour clauses effectively </w:t>
      </w:r>
      <w:r w:rsidR="00DF4C61" w:rsidRPr="00140BF5">
        <w:rPr>
          <w:lang w:val="en-GB"/>
        </w:rPr>
        <w:t xml:space="preserve">reinforce minimum wages set by collective agreement in </w:t>
      </w:r>
      <w:r w:rsidRPr="00140BF5">
        <w:rPr>
          <w:lang w:val="en-GB"/>
        </w:rPr>
        <w:t xml:space="preserve">industries </w:t>
      </w:r>
      <w:r w:rsidR="00DF4C61" w:rsidRPr="00140BF5">
        <w:rPr>
          <w:lang w:val="en-GB"/>
        </w:rPr>
        <w:t xml:space="preserve">such as </w:t>
      </w:r>
      <w:r w:rsidRPr="00140BF5">
        <w:rPr>
          <w:lang w:val="en-GB"/>
        </w:rPr>
        <w:t>construction and cleaning.</w:t>
      </w:r>
      <w:r w:rsidR="00FA02CD" w:rsidRPr="00140BF5">
        <w:rPr>
          <w:lang w:val="en-GB"/>
        </w:rPr>
        <w:t xml:space="preserve"> </w:t>
      </w:r>
      <w:r w:rsidR="00B144C9" w:rsidRPr="00140BF5">
        <w:rPr>
          <w:lang w:val="en-GB"/>
        </w:rPr>
        <w:t>In that sense they may seem ‘</w:t>
      </w:r>
      <w:r w:rsidR="00564BB9" w:rsidRPr="00140BF5">
        <w:rPr>
          <w:lang w:val="en-GB"/>
        </w:rPr>
        <w:t>unnecessary</w:t>
      </w:r>
      <w:r w:rsidR="00B144C9" w:rsidRPr="00140BF5">
        <w:rPr>
          <w:lang w:val="en-GB"/>
        </w:rPr>
        <w:t>’ (Holley et al.</w:t>
      </w:r>
      <w:r w:rsidR="006B4B15" w:rsidRPr="00140BF5">
        <w:rPr>
          <w:lang w:val="en-GB"/>
        </w:rPr>
        <w:t>,</w:t>
      </w:r>
      <w:r w:rsidR="00B144C9" w:rsidRPr="00140BF5">
        <w:rPr>
          <w:lang w:val="en-GB"/>
        </w:rPr>
        <w:t xml:space="preserve"> </w:t>
      </w:r>
      <w:r w:rsidR="00B144C9" w:rsidRPr="00140BF5">
        <w:rPr>
          <w:lang w:val="en-GB"/>
        </w:rPr>
        <w:lastRenderedPageBreak/>
        <w:t xml:space="preserve">2015), but </w:t>
      </w:r>
      <w:r w:rsidR="00DF4C61" w:rsidRPr="00140BF5">
        <w:rPr>
          <w:lang w:val="en-GB"/>
        </w:rPr>
        <w:t>our</w:t>
      </w:r>
      <w:r w:rsidR="00B07D12" w:rsidRPr="00140BF5">
        <w:rPr>
          <w:lang w:val="en-GB"/>
        </w:rPr>
        <w:t xml:space="preserve"> data demonstrate </w:t>
      </w:r>
      <w:r w:rsidR="00564BB9" w:rsidRPr="00140BF5">
        <w:rPr>
          <w:lang w:val="en-GB"/>
        </w:rPr>
        <w:t>th</w:t>
      </w:r>
      <w:r w:rsidR="00DF4C61" w:rsidRPr="00140BF5">
        <w:rPr>
          <w:lang w:val="en-GB"/>
        </w:rPr>
        <w:t>at</w:t>
      </w:r>
      <w:r w:rsidR="00564BB9" w:rsidRPr="00140BF5">
        <w:rPr>
          <w:lang w:val="en-GB"/>
        </w:rPr>
        <w:t xml:space="preserve"> pay clauses </w:t>
      </w:r>
      <w:r w:rsidR="00DF4C61" w:rsidRPr="00140BF5">
        <w:rPr>
          <w:lang w:val="en-GB"/>
        </w:rPr>
        <w:t>have an important signalling effect</w:t>
      </w:r>
      <w:r w:rsidR="006E5AA6" w:rsidRPr="00140BF5">
        <w:rPr>
          <w:lang w:val="en-GB"/>
        </w:rPr>
        <w:t xml:space="preserve"> in respect of the legitimacy of collectively agreed wages</w:t>
      </w:r>
      <w:r w:rsidR="00DF4C61" w:rsidRPr="00140BF5">
        <w:rPr>
          <w:lang w:val="en-GB"/>
        </w:rPr>
        <w:t xml:space="preserve">, and also </w:t>
      </w:r>
      <w:r w:rsidR="00B07D12" w:rsidRPr="00140BF5">
        <w:rPr>
          <w:lang w:val="en-GB"/>
        </w:rPr>
        <w:t>establish</w:t>
      </w:r>
      <w:r w:rsidR="00564BB9" w:rsidRPr="00140BF5">
        <w:rPr>
          <w:lang w:val="en-GB"/>
        </w:rPr>
        <w:t xml:space="preserve"> an </w:t>
      </w:r>
      <w:r w:rsidR="00DF4C61" w:rsidRPr="00140BF5">
        <w:rPr>
          <w:lang w:val="en-GB"/>
        </w:rPr>
        <w:t>‘</w:t>
      </w:r>
      <w:r w:rsidR="00564BB9" w:rsidRPr="00140BF5">
        <w:rPr>
          <w:lang w:val="en-GB"/>
        </w:rPr>
        <w:t>anchor</w:t>
      </w:r>
      <w:r w:rsidR="00DF4C61" w:rsidRPr="00140BF5">
        <w:rPr>
          <w:lang w:val="en-GB"/>
        </w:rPr>
        <w:t>’</w:t>
      </w:r>
      <w:r w:rsidR="00564BB9" w:rsidRPr="00140BF5">
        <w:rPr>
          <w:lang w:val="en-GB"/>
        </w:rPr>
        <w:t xml:space="preserve"> for monitoring and enforcement.</w:t>
      </w:r>
      <w:r w:rsidR="00B144C9" w:rsidRPr="00140BF5">
        <w:rPr>
          <w:lang w:val="en-GB"/>
        </w:rPr>
        <w:t xml:space="preserve"> </w:t>
      </w:r>
      <w:r w:rsidR="00B07D12" w:rsidRPr="00140BF5">
        <w:rPr>
          <w:lang w:val="en-GB"/>
        </w:rPr>
        <w:t xml:space="preserve">However, the </w:t>
      </w:r>
      <w:r w:rsidR="00DF4C61" w:rsidRPr="00140BF5">
        <w:rPr>
          <w:lang w:val="en-GB"/>
        </w:rPr>
        <w:t xml:space="preserve">labour </w:t>
      </w:r>
      <w:r w:rsidR="00B07D12" w:rsidRPr="00140BF5">
        <w:rPr>
          <w:lang w:val="en-GB"/>
        </w:rPr>
        <w:t xml:space="preserve">clauses </w:t>
      </w:r>
      <w:r w:rsidR="00DF4C61" w:rsidRPr="00140BF5">
        <w:rPr>
          <w:lang w:val="en-GB"/>
        </w:rPr>
        <w:t xml:space="preserve">in Bremen </w:t>
      </w:r>
      <w:r w:rsidR="00B07D12" w:rsidRPr="00140BF5">
        <w:rPr>
          <w:lang w:val="en-GB"/>
        </w:rPr>
        <w:t>were</w:t>
      </w:r>
      <w:r w:rsidRPr="00140BF5">
        <w:rPr>
          <w:lang w:val="en-GB"/>
        </w:rPr>
        <w:t xml:space="preserve"> less comprehensive than in Copenhagen as they stipulate</w:t>
      </w:r>
      <w:r w:rsidR="00B07D12" w:rsidRPr="00140BF5">
        <w:rPr>
          <w:lang w:val="en-GB"/>
        </w:rPr>
        <w:t>d</w:t>
      </w:r>
      <w:r w:rsidRPr="00140BF5">
        <w:rPr>
          <w:lang w:val="en-GB"/>
        </w:rPr>
        <w:t xml:space="preserve"> compliance with </w:t>
      </w:r>
      <w:r w:rsidR="00B07D12" w:rsidRPr="00140BF5">
        <w:rPr>
          <w:lang w:val="en-GB"/>
        </w:rPr>
        <w:t xml:space="preserve">the </w:t>
      </w:r>
      <w:r w:rsidR="00D44DB4" w:rsidRPr="00140BF5">
        <w:rPr>
          <w:lang w:val="en-GB"/>
        </w:rPr>
        <w:t xml:space="preserve">lowest </w:t>
      </w:r>
      <w:r w:rsidR="00DF4C61" w:rsidRPr="00140BF5">
        <w:rPr>
          <w:lang w:val="en-GB"/>
        </w:rPr>
        <w:t xml:space="preserve">(skilled and unskilled) </w:t>
      </w:r>
      <w:r w:rsidR="00D44DB4" w:rsidRPr="00140BF5">
        <w:rPr>
          <w:lang w:val="en-GB"/>
        </w:rPr>
        <w:t>pay grade</w:t>
      </w:r>
      <w:r w:rsidR="00DF4C61" w:rsidRPr="00140BF5">
        <w:rPr>
          <w:lang w:val="en-GB"/>
        </w:rPr>
        <w:t>s</w:t>
      </w:r>
      <w:r w:rsidR="00D44DB4" w:rsidRPr="00140BF5">
        <w:rPr>
          <w:lang w:val="en-GB"/>
        </w:rPr>
        <w:t xml:space="preserve"> only </w:t>
      </w:r>
      <w:r w:rsidRPr="00140BF5">
        <w:rPr>
          <w:lang w:val="en-GB"/>
        </w:rPr>
        <w:t>and exclude</w:t>
      </w:r>
      <w:r w:rsidR="00B07D12" w:rsidRPr="00140BF5">
        <w:rPr>
          <w:lang w:val="en-GB"/>
        </w:rPr>
        <w:t>d</w:t>
      </w:r>
      <w:r w:rsidRPr="00140BF5">
        <w:rPr>
          <w:lang w:val="en-GB"/>
        </w:rPr>
        <w:t xml:space="preserve"> other </w:t>
      </w:r>
      <w:r w:rsidR="00D44DB4" w:rsidRPr="00140BF5">
        <w:rPr>
          <w:lang w:val="en-GB"/>
        </w:rPr>
        <w:t>working conditions</w:t>
      </w:r>
      <w:r w:rsidRPr="00140BF5">
        <w:rPr>
          <w:lang w:val="en-GB"/>
        </w:rPr>
        <w:t xml:space="preserve">. </w:t>
      </w:r>
      <w:r w:rsidR="008D31E5" w:rsidRPr="00140BF5">
        <w:rPr>
          <w:lang w:val="en-GB"/>
        </w:rPr>
        <w:t>In addition</w:t>
      </w:r>
      <w:r w:rsidR="00020494" w:rsidRPr="00140BF5">
        <w:rPr>
          <w:lang w:val="en-GB"/>
        </w:rPr>
        <w:t>, a</w:t>
      </w:r>
      <w:r w:rsidRPr="00140BF5">
        <w:rPr>
          <w:lang w:val="en-GB"/>
        </w:rPr>
        <w:t xml:space="preserve"> </w:t>
      </w:r>
      <w:r w:rsidR="002136FA" w:rsidRPr="00140BF5">
        <w:rPr>
          <w:lang w:val="en-GB"/>
        </w:rPr>
        <w:t xml:space="preserve">local </w:t>
      </w:r>
      <w:r w:rsidRPr="00140BF5">
        <w:rPr>
          <w:lang w:val="en-GB"/>
        </w:rPr>
        <w:t xml:space="preserve">minimum wage was introduced </w:t>
      </w:r>
      <w:r w:rsidR="00CE1338" w:rsidRPr="00140BF5">
        <w:rPr>
          <w:lang w:val="en-GB"/>
        </w:rPr>
        <w:t>in 20</w:t>
      </w:r>
      <w:r w:rsidR="00B747CF" w:rsidRPr="00140BF5">
        <w:rPr>
          <w:lang w:val="en-GB"/>
        </w:rPr>
        <w:t>09</w:t>
      </w:r>
      <w:r w:rsidR="00CE1338" w:rsidRPr="00140BF5">
        <w:rPr>
          <w:lang w:val="en-GB"/>
        </w:rPr>
        <w:t xml:space="preserve"> </w:t>
      </w:r>
      <w:r w:rsidRPr="00140BF5">
        <w:rPr>
          <w:lang w:val="en-GB"/>
        </w:rPr>
        <w:t xml:space="preserve">for all other industries in order to </w:t>
      </w:r>
      <w:r w:rsidRPr="00140BF5">
        <w:rPr>
          <w:i/>
          <w:lang w:val="en-GB"/>
        </w:rPr>
        <w:t>compensate</w:t>
      </w:r>
      <w:r w:rsidRPr="00140BF5">
        <w:rPr>
          <w:lang w:val="en-GB"/>
        </w:rPr>
        <w:t xml:space="preserve"> for the absence of a national minimum wage or industry specific minimum wage</w:t>
      </w:r>
      <w:r w:rsidR="00CE1338" w:rsidRPr="00140BF5">
        <w:rPr>
          <w:lang w:val="en-GB"/>
        </w:rPr>
        <w:t>s</w:t>
      </w:r>
      <w:r w:rsidR="00020494" w:rsidRPr="00140BF5">
        <w:rPr>
          <w:lang w:val="en-GB"/>
        </w:rPr>
        <w:t>. A</w:t>
      </w:r>
      <w:r w:rsidRPr="00140BF5">
        <w:rPr>
          <w:lang w:val="en-GB"/>
        </w:rPr>
        <w:t>t €8</w:t>
      </w:r>
      <w:r w:rsidR="003555E3" w:rsidRPr="00140BF5">
        <w:rPr>
          <w:lang w:val="en-GB"/>
        </w:rPr>
        <w:t>.</w:t>
      </w:r>
      <w:r w:rsidRPr="00140BF5">
        <w:rPr>
          <w:lang w:val="en-GB"/>
        </w:rPr>
        <w:t>80 per hour</w:t>
      </w:r>
      <w:r w:rsidR="00FA60BB" w:rsidRPr="00140BF5">
        <w:rPr>
          <w:lang w:val="en-GB"/>
        </w:rPr>
        <w:t>,</w:t>
      </w:r>
      <w:r w:rsidRPr="00140BF5">
        <w:rPr>
          <w:lang w:val="en-GB"/>
        </w:rPr>
        <w:t xml:space="preserve"> this was only slightly above the national minimum wage introduced in 2015 and </w:t>
      </w:r>
      <w:r w:rsidR="004A2654" w:rsidRPr="00140BF5">
        <w:rPr>
          <w:lang w:val="en-GB"/>
        </w:rPr>
        <w:t>so</w:t>
      </w:r>
      <w:r w:rsidRPr="00140BF5">
        <w:rPr>
          <w:lang w:val="en-GB"/>
        </w:rPr>
        <w:t xml:space="preserve"> was abandoned</w:t>
      </w:r>
      <w:r w:rsidR="00E874DB" w:rsidRPr="00140BF5">
        <w:rPr>
          <w:lang w:val="en-GB"/>
        </w:rPr>
        <w:t xml:space="preserve"> in 2016</w:t>
      </w:r>
      <w:r w:rsidRPr="00140BF5">
        <w:rPr>
          <w:lang w:val="en-GB"/>
        </w:rPr>
        <w:t xml:space="preserve">. </w:t>
      </w:r>
      <w:r w:rsidR="00CE1338" w:rsidRPr="00140BF5">
        <w:rPr>
          <w:lang w:val="en-GB"/>
        </w:rPr>
        <w:t xml:space="preserve">At this point </w:t>
      </w:r>
      <w:r w:rsidRPr="00140BF5">
        <w:rPr>
          <w:lang w:val="en-GB"/>
        </w:rPr>
        <w:t xml:space="preserve">Bremen reverted to the </w:t>
      </w:r>
      <w:r w:rsidR="00CE1338" w:rsidRPr="00140BF5">
        <w:rPr>
          <w:lang w:val="en-GB"/>
        </w:rPr>
        <w:t xml:space="preserve">minimum rates agreed in the </w:t>
      </w:r>
      <w:r w:rsidRPr="00140BF5">
        <w:rPr>
          <w:lang w:val="en-GB"/>
        </w:rPr>
        <w:t xml:space="preserve">‘most </w:t>
      </w:r>
      <w:r w:rsidR="0012153F" w:rsidRPr="00140BF5">
        <w:rPr>
          <w:lang w:val="en-GB"/>
        </w:rPr>
        <w:t xml:space="preserve">representative’ </w:t>
      </w:r>
      <w:r w:rsidRPr="00140BF5">
        <w:rPr>
          <w:lang w:val="en-GB"/>
        </w:rPr>
        <w:t>collective agreement in the construction sector</w:t>
      </w:r>
      <w:r w:rsidR="00CE1338" w:rsidRPr="00140BF5">
        <w:rPr>
          <w:lang w:val="en-GB"/>
        </w:rPr>
        <w:t xml:space="preserve"> </w:t>
      </w:r>
      <w:r w:rsidR="00020494" w:rsidRPr="00140BF5">
        <w:rPr>
          <w:lang w:val="en-GB"/>
        </w:rPr>
        <w:t xml:space="preserve">but </w:t>
      </w:r>
      <w:r w:rsidR="00CE1338" w:rsidRPr="00140BF5">
        <w:rPr>
          <w:lang w:val="en-GB"/>
        </w:rPr>
        <w:t>only for</w:t>
      </w:r>
      <w:r w:rsidR="00020494" w:rsidRPr="00140BF5">
        <w:rPr>
          <w:lang w:val="en-GB"/>
        </w:rPr>
        <w:t xml:space="preserve"> tenders below </w:t>
      </w:r>
      <w:r w:rsidR="00585CD1" w:rsidRPr="00140BF5">
        <w:rPr>
          <w:lang w:val="en-GB"/>
        </w:rPr>
        <w:t xml:space="preserve">the EU thresholds for works </w:t>
      </w:r>
      <w:r w:rsidR="00147E3F">
        <w:rPr>
          <w:lang w:val="en-GB"/>
        </w:rPr>
        <w:t>(€</w:t>
      </w:r>
      <w:r w:rsidR="00585CD1" w:rsidRPr="00140BF5">
        <w:rPr>
          <w:lang w:val="en-GB"/>
        </w:rPr>
        <w:t>5.225</w:t>
      </w:r>
      <w:r w:rsidR="00147E3F">
        <w:rPr>
          <w:lang w:val="en-GB"/>
        </w:rPr>
        <w:t>m</w:t>
      </w:r>
      <w:r w:rsidR="00020494" w:rsidRPr="00140BF5">
        <w:rPr>
          <w:lang w:val="en-GB"/>
        </w:rPr>
        <w:t>)</w:t>
      </w:r>
      <w:r w:rsidRPr="00140BF5">
        <w:rPr>
          <w:lang w:val="en-GB"/>
        </w:rPr>
        <w:t xml:space="preserve">. </w:t>
      </w:r>
      <w:r w:rsidR="00020494" w:rsidRPr="00140BF5">
        <w:rPr>
          <w:lang w:val="en-GB"/>
        </w:rPr>
        <w:t>Interestingly, t</w:t>
      </w:r>
      <w:r w:rsidRPr="00140BF5">
        <w:rPr>
          <w:lang w:val="en-GB"/>
        </w:rPr>
        <w:t xml:space="preserve">he </w:t>
      </w:r>
      <w:r w:rsidR="004A5D88" w:rsidRPr="00140BF5">
        <w:rPr>
          <w:lang w:val="en-GB"/>
        </w:rPr>
        <w:t xml:space="preserve">decision to return to pre-Rüffert pay clauses </w:t>
      </w:r>
      <w:r w:rsidR="004A2654" w:rsidRPr="00140BF5">
        <w:rPr>
          <w:lang w:val="en-GB"/>
        </w:rPr>
        <w:t xml:space="preserve">for </w:t>
      </w:r>
      <w:r w:rsidR="004A5D88" w:rsidRPr="00140BF5">
        <w:rPr>
          <w:lang w:val="en-GB"/>
        </w:rPr>
        <w:t xml:space="preserve">construction </w:t>
      </w:r>
      <w:r w:rsidR="004A2654" w:rsidRPr="00140BF5">
        <w:rPr>
          <w:lang w:val="en-GB"/>
        </w:rPr>
        <w:t xml:space="preserve">services </w:t>
      </w:r>
      <w:r w:rsidR="004A5D88" w:rsidRPr="00140BF5">
        <w:rPr>
          <w:lang w:val="en-GB"/>
        </w:rPr>
        <w:t xml:space="preserve">was mainly initiated on the request of local employers covered by the </w:t>
      </w:r>
      <w:r w:rsidR="004B6863" w:rsidRPr="00140BF5">
        <w:rPr>
          <w:lang w:val="en-GB"/>
        </w:rPr>
        <w:t>construction</w:t>
      </w:r>
      <w:r w:rsidR="004A5D88" w:rsidRPr="00140BF5">
        <w:rPr>
          <w:lang w:val="en-GB"/>
        </w:rPr>
        <w:t xml:space="preserve"> collective agreement</w:t>
      </w:r>
      <w:r w:rsidR="008D31E5" w:rsidRPr="00140BF5">
        <w:rPr>
          <w:lang w:val="en-GB"/>
        </w:rPr>
        <w:t>. T</w:t>
      </w:r>
      <w:r w:rsidR="004A5D88" w:rsidRPr="00140BF5">
        <w:rPr>
          <w:lang w:val="en-GB"/>
        </w:rPr>
        <w:t>hey argued t</w:t>
      </w:r>
      <w:r w:rsidR="00140BF5">
        <w:rPr>
          <w:lang w:val="en-GB"/>
        </w:rPr>
        <w:t>hat they would be dis-incentivis</w:t>
      </w:r>
      <w:r w:rsidR="004A5D88" w:rsidRPr="00140BF5">
        <w:rPr>
          <w:lang w:val="en-GB"/>
        </w:rPr>
        <w:t xml:space="preserve">ed to commit themselves to collectively agreed </w:t>
      </w:r>
      <w:r w:rsidR="004B6863" w:rsidRPr="00140BF5">
        <w:rPr>
          <w:lang w:val="en-GB"/>
        </w:rPr>
        <w:t xml:space="preserve">wages if </w:t>
      </w:r>
      <w:r w:rsidR="004A5D88" w:rsidRPr="00140BF5">
        <w:rPr>
          <w:lang w:val="en-GB"/>
        </w:rPr>
        <w:t xml:space="preserve">their competitors </w:t>
      </w:r>
      <w:r w:rsidR="004B6863" w:rsidRPr="00140BF5">
        <w:rPr>
          <w:lang w:val="en-GB"/>
        </w:rPr>
        <w:t>were only bound</w:t>
      </w:r>
      <w:r w:rsidR="0012153F" w:rsidRPr="00140BF5">
        <w:rPr>
          <w:lang w:val="en-GB"/>
        </w:rPr>
        <w:t xml:space="preserve"> </w:t>
      </w:r>
      <w:r w:rsidR="004B6863" w:rsidRPr="00140BF5">
        <w:rPr>
          <w:lang w:val="en-GB"/>
        </w:rPr>
        <w:t xml:space="preserve">by </w:t>
      </w:r>
      <w:r w:rsidR="004A5D88" w:rsidRPr="00140BF5">
        <w:rPr>
          <w:lang w:val="en-GB"/>
        </w:rPr>
        <w:t xml:space="preserve">an industry specific minimum wage. </w:t>
      </w:r>
      <w:r w:rsidR="00A164E8" w:rsidRPr="00140BF5">
        <w:rPr>
          <w:lang w:val="en-GB"/>
        </w:rPr>
        <w:t xml:space="preserve">Thus, </w:t>
      </w:r>
      <w:r w:rsidR="0089260E" w:rsidRPr="00140BF5">
        <w:rPr>
          <w:lang w:val="en-GB"/>
        </w:rPr>
        <w:t>from 2016 onwards l</w:t>
      </w:r>
      <w:r w:rsidR="004B6863" w:rsidRPr="00140BF5">
        <w:rPr>
          <w:lang w:val="en-GB"/>
        </w:rPr>
        <w:t>abour clauses</w:t>
      </w:r>
      <w:r w:rsidR="00A164E8" w:rsidRPr="00140BF5">
        <w:rPr>
          <w:lang w:val="en-GB"/>
        </w:rPr>
        <w:t xml:space="preserve"> </w:t>
      </w:r>
      <w:r w:rsidR="004B6863" w:rsidRPr="00140BF5">
        <w:rPr>
          <w:lang w:val="en-GB"/>
        </w:rPr>
        <w:t xml:space="preserve">in </w:t>
      </w:r>
      <w:r w:rsidR="00A164E8" w:rsidRPr="00140BF5">
        <w:rPr>
          <w:lang w:val="en-GB"/>
        </w:rPr>
        <w:t xml:space="preserve">construction were made even more ‘complementary’ as they more fully transposed existing collectively agreed </w:t>
      </w:r>
      <w:r w:rsidR="004B6863" w:rsidRPr="00140BF5">
        <w:rPr>
          <w:lang w:val="en-GB"/>
        </w:rPr>
        <w:t xml:space="preserve">wage </w:t>
      </w:r>
      <w:r w:rsidR="00A164E8" w:rsidRPr="00140BF5">
        <w:rPr>
          <w:lang w:val="en-GB"/>
        </w:rPr>
        <w:t>standards</w:t>
      </w:r>
      <w:r w:rsidR="00A02500" w:rsidRPr="00140BF5">
        <w:rPr>
          <w:lang w:val="en-GB"/>
        </w:rPr>
        <w:t xml:space="preserve">  </w:t>
      </w:r>
      <w:r w:rsidR="00A164E8" w:rsidRPr="00140BF5">
        <w:rPr>
          <w:lang w:val="en-GB"/>
        </w:rPr>
        <w:t xml:space="preserve">into </w:t>
      </w:r>
      <w:r w:rsidR="004B6863" w:rsidRPr="00140BF5">
        <w:rPr>
          <w:lang w:val="en-GB"/>
        </w:rPr>
        <w:t>contracts</w:t>
      </w:r>
      <w:r w:rsidR="00E320A5" w:rsidRPr="00140BF5">
        <w:rPr>
          <w:lang w:val="en-GB"/>
        </w:rPr>
        <w:t>.</w:t>
      </w:r>
      <w:r w:rsidR="00A164E8" w:rsidRPr="00140BF5">
        <w:rPr>
          <w:lang w:val="en-GB"/>
        </w:rPr>
        <w:t xml:space="preserve"> </w:t>
      </w:r>
      <w:r w:rsidR="004B6863" w:rsidRPr="00140BF5">
        <w:rPr>
          <w:lang w:val="en-GB"/>
        </w:rPr>
        <w:t>However, the success in the construction sector (</w:t>
      </w:r>
      <w:r w:rsidR="008B0429" w:rsidRPr="00140BF5">
        <w:rPr>
          <w:lang w:val="en-GB"/>
        </w:rPr>
        <w:t>which historically</w:t>
      </w:r>
      <w:r w:rsidR="00253A8A" w:rsidRPr="00140BF5">
        <w:rPr>
          <w:lang w:val="en-GB"/>
        </w:rPr>
        <w:t xml:space="preserve"> </w:t>
      </w:r>
      <w:r w:rsidR="004B6863" w:rsidRPr="00140BF5">
        <w:rPr>
          <w:lang w:val="en-GB"/>
        </w:rPr>
        <w:t>was</w:t>
      </w:r>
      <w:r w:rsidR="007338CE" w:rsidRPr="00140BF5">
        <w:rPr>
          <w:lang w:val="en-GB"/>
        </w:rPr>
        <w:t xml:space="preserve"> </w:t>
      </w:r>
      <w:r w:rsidR="00253A8A" w:rsidRPr="00140BF5">
        <w:rPr>
          <w:lang w:val="en-GB"/>
        </w:rPr>
        <w:t>well</w:t>
      </w:r>
      <w:r w:rsidR="00FD07B4" w:rsidRPr="00140BF5">
        <w:rPr>
          <w:lang w:val="en-GB"/>
        </w:rPr>
        <w:t>-</w:t>
      </w:r>
      <w:r w:rsidR="00253A8A" w:rsidRPr="00140BF5">
        <w:rPr>
          <w:lang w:val="en-GB"/>
        </w:rPr>
        <w:t>organised</w:t>
      </w:r>
      <w:r w:rsidR="0012153F" w:rsidRPr="00140BF5">
        <w:rPr>
          <w:lang w:val="en-GB"/>
        </w:rPr>
        <w:t xml:space="preserve"> and male-dominated</w:t>
      </w:r>
      <w:r w:rsidR="00253A8A" w:rsidRPr="00140BF5">
        <w:rPr>
          <w:lang w:val="en-GB"/>
        </w:rPr>
        <w:t xml:space="preserve">), </w:t>
      </w:r>
      <w:r w:rsidR="004B6863" w:rsidRPr="00140BF5">
        <w:rPr>
          <w:lang w:val="en-GB"/>
        </w:rPr>
        <w:t>did not spill-over into</w:t>
      </w:r>
      <w:r w:rsidR="00253A8A" w:rsidRPr="00140BF5">
        <w:rPr>
          <w:lang w:val="en-GB"/>
        </w:rPr>
        <w:t xml:space="preserve"> </w:t>
      </w:r>
      <w:r w:rsidR="0012153F" w:rsidRPr="00140BF5">
        <w:rPr>
          <w:lang w:val="en-GB"/>
        </w:rPr>
        <w:t xml:space="preserve">female-dominated </w:t>
      </w:r>
      <w:r w:rsidR="00253A8A" w:rsidRPr="00140BF5">
        <w:rPr>
          <w:lang w:val="en-GB"/>
        </w:rPr>
        <w:t>industries such as school catering and social services</w:t>
      </w:r>
      <w:r w:rsidR="00FD07B4" w:rsidRPr="00140BF5">
        <w:rPr>
          <w:lang w:val="en-GB"/>
        </w:rPr>
        <w:t>,</w:t>
      </w:r>
      <w:r w:rsidR="00253A8A" w:rsidRPr="00140BF5">
        <w:rPr>
          <w:lang w:val="en-GB"/>
        </w:rPr>
        <w:t xml:space="preserve"> where both employers and unions are less powerful.</w:t>
      </w:r>
      <w:r w:rsidR="00023E37" w:rsidRPr="00140BF5">
        <w:rPr>
          <w:lang w:val="en-GB"/>
        </w:rPr>
        <w:t xml:space="preserve"> </w:t>
      </w:r>
      <w:r w:rsidR="002136FA" w:rsidRPr="00140BF5">
        <w:rPr>
          <w:lang w:val="en-GB"/>
        </w:rPr>
        <w:t>Claims voiced by the trade union of the catering sector (NGG) and the ‘</w:t>
      </w:r>
      <w:r w:rsidR="004B6863" w:rsidRPr="00140BF5">
        <w:rPr>
          <w:lang w:val="en-GB"/>
        </w:rPr>
        <w:t>l</w:t>
      </w:r>
      <w:r w:rsidR="002136FA" w:rsidRPr="00140BF5">
        <w:rPr>
          <w:lang w:val="en-GB"/>
        </w:rPr>
        <w:t xml:space="preserve">eft’ opposition party to </w:t>
      </w:r>
      <w:r w:rsidR="00585CD1" w:rsidRPr="00140BF5">
        <w:rPr>
          <w:lang w:val="en-GB"/>
        </w:rPr>
        <w:t>maintain the procurement specific local minimum</w:t>
      </w:r>
      <w:r w:rsidR="002136FA" w:rsidRPr="00140BF5">
        <w:rPr>
          <w:lang w:val="en-GB"/>
        </w:rPr>
        <w:t xml:space="preserve"> wage </w:t>
      </w:r>
      <w:r w:rsidR="00585CD1" w:rsidRPr="00140BF5">
        <w:rPr>
          <w:lang w:val="en-GB"/>
        </w:rPr>
        <w:t>and lift it to a level corresponding to</w:t>
      </w:r>
      <w:r w:rsidR="004B6863" w:rsidRPr="00140BF5">
        <w:rPr>
          <w:lang w:val="en-GB"/>
        </w:rPr>
        <w:t xml:space="preserve"> the</w:t>
      </w:r>
      <w:r w:rsidR="002136FA" w:rsidRPr="00140BF5">
        <w:rPr>
          <w:lang w:val="en-GB"/>
        </w:rPr>
        <w:t xml:space="preserve"> lowest level of the public sector collective agreement were</w:t>
      </w:r>
      <w:r w:rsidR="004B6863" w:rsidRPr="00140BF5">
        <w:rPr>
          <w:lang w:val="en-GB"/>
        </w:rPr>
        <w:t xml:space="preserve"> un</w:t>
      </w:r>
      <w:r w:rsidR="002136FA" w:rsidRPr="00140BF5">
        <w:rPr>
          <w:lang w:val="en-GB"/>
        </w:rPr>
        <w:t xml:space="preserve">successful.  </w:t>
      </w:r>
      <w:r w:rsidR="00023E37" w:rsidRPr="00140BF5">
        <w:rPr>
          <w:lang w:val="en-GB"/>
        </w:rPr>
        <w:t xml:space="preserve">Furthermore, </w:t>
      </w:r>
      <w:r w:rsidR="00564BB9" w:rsidRPr="00140BF5">
        <w:rPr>
          <w:lang w:val="en-GB"/>
        </w:rPr>
        <w:t xml:space="preserve">unlike in the Leeds case, </w:t>
      </w:r>
      <w:r w:rsidR="00023E37" w:rsidRPr="00140BF5">
        <w:rPr>
          <w:lang w:val="en-GB"/>
        </w:rPr>
        <w:t>in Bremen</w:t>
      </w:r>
      <w:r w:rsidR="008D31E5" w:rsidRPr="00140BF5">
        <w:rPr>
          <w:lang w:val="en-GB"/>
        </w:rPr>
        <w:t>,</w:t>
      </w:r>
      <w:r w:rsidR="00023E37" w:rsidRPr="00140BF5">
        <w:rPr>
          <w:lang w:val="en-GB"/>
        </w:rPr>
        <w:t xml:space="preserve"> the</w:t>
      </w:r>
      <w:r w:rsidR="00A5357A" w:rsidRPr="00140BF5">
        <w:rPr>
          <w:lang w:val="en-GB"/>
        </w:rPr>
        <w:t xml:space="preserve"> policy initiative did</w:t>
      </w:r>
      <w:r w:rsidR="00FA60BB" w:rsidRPr="00140BF5">
        <w:rPr>
          <w:lang w:val="en-GB"/>
        </w:rPr>
        <w:t xml:space="preserve"> not</w:t>
      </w:r>
      <w:r w:rsidR="00A5357A" w:rsidRPr="00140BF5">
        <w:rPr>
          <w:lang w:val="en-GB"/>
        </w:rPr>
        <w:t xml:space="preserve"> </w:t>
      </w:r>
      <w:r w:rsidR="004B6863" w:rsidRPr="00140BF5">
        <w:rPr>
          <w:lang w:val="en-GB"/>
        </w:rPr>
        <w:t>explicitly</w:t>
      </w:r>
      <w:r w:rsidR="00F54A91" w:rsidRPr="00140BF5">
        <w:rPr>
          <w:lang w:val="en-GB"/>
        </w:rPr>
        <w:t xml:space="preserve"> increase the budget </w:t>
      </w:r>
      <w:r w:rsidR="004B6863" w:rsidRPr="00140BF5">
        <w:rPr>
          <w:lang w:val="en-GB"/>
        </w:rPr>
        <w:t>for</w:t>
      </w:r>
      <w:r w:rsidR="00F54A91" w:rsidRPr="00140BF5">
        <w:rPr>
          <w:lang w:val="en-GB"/>
        </w:rPr>
        <w:t xml:space="preserve"> public contracts</w:t>
      </w:r>
      <w:r w:rsidR="004B6863" w:rsidRPr="00140BF5">
        <w:rPr>
          <w:lang w:val="en-GB"/>
        </w:rPr>
        <w:t xml:space="preserve"> which</w:t>
      </w:r>
      <w:r w:rsidR="00F54A91" w:rsidRPr="00140BF5">
        <w:rPr>
          <w:lang w:val="en-GB"/>
        </w:rPr>
        <w:t xml:space="preserve"> meant that in practice</w:t>
      </w:r>
      <w:r w:rsidR="004B6863" w:rsidRPr="00140BF5">
        <w:rPr>
          <w:lang w:val="en-GB"/>
        </w:rPr>
        <w:t>,</w:t>
      </w:r>
      <w:r w:rsidR="00F54A91" w:rsidRPr="00140BF5">
        <w:rPr>
          <w:lang w:val="en-GB"/>
        </w:rPr>
        <w:t xml:space="preserve"> </w:t>
      </w:r>
      <w:r w:rsidR="002207DA" w:rsidRPr="00140BF5">
        <w:rPr>
          <w:lang w:val="en-GB"/>
        </w:rPr>
        <w:t xml:space="preserve">commissioners </w:t>
      </w:r>
      <w:r w:rsidR="00F54A91" w:rsidRPr="00140BF5">
        <w:rPr>
          <w:lang w:val="en-GB"/>
        </w:rPr>
        <w:t>w</w:t>
      </w:r>
      <w:r w:rsidR="004B6863" w:rsidRPr="00140BF5">
        <w:rPr>
          <w:lang w:val="en-GB"/>
        </w:rPr>
        <w:t>ere</w:t>
      </w:r>
      <w:r w:rsidR="00F54A91" w:rsidRPr="00140BF5">
        <w:rPr>
          <w:lang w:val="en-GB"/>
        </w:rPr>
        <w:t xml:space="preserve"> still </w:t>
      </w:r>
      <w:r w:rsidR="004B6863" w:rsidRPr="00140BF5">
        <w:rPr>
          <w:lang w:val="en-GB"/>
        </w:rPr>
        <w:t>incentivised</w:t>
      </w:r>
      <w:r w:rsidR="002207DA" w:rsidRPr="00140BF5">
        <w:rPr>
          <w:lang w:val="en-GB"/>
        </w:rPr>
        <w:t xml:space="preserve"> </w:t>
      </w:r>
      <w:r w:rsidR="00F54A91" w:rsidRPr="00140BF5">
        <w:rPr>
          <w:lang w:val="en-GB"/>
        </w:rPr>
        <w:t xml:space="preserve">to choose the contract with the lowest </w:t>
      </w:r>
      <w:r w:rsidR="005E51AA" w:rsidRPr="00140BF5">
        <w:rPr>
          <w:lang w:val="en-GB"/>
        </w:rPr>
        <w:t>price</w:t>
      </w:r>
      <w:r w:rsidR="00F54A91" w:rsidRPr="00140BF5">
        <w:rPr>
          <w:lang w:val="en-GB"/>
        </w:rPr>
        <w:t xml:space="preserve"> </w:t>
      </w:r>
      <w:r w:rsidR="00413E88" w:rsidRPr="00140BF5">
        <w:rPr>
          <w:lang w:val="en-GB"/>
        </w:rPr>
        <w:t>(</w:t>
      </w:r>
      <w:r w:rsidR="00F54A91" w:rsidRPr="00140BF5">
        <w:rPr>
          <w:lang w:val="en-GB"/>
        </w:rPr>
        <w:t xml:space="preserve">and </w:t>
      </w:r>
      <w:r w:rsidR="00413E88" w:rsidRPr="00140BF5">
        <w:rPr>
          <w:lang w:val="en-GB"/>
        </w:rPr>
        <w:t>implicitly accept that outsourced workers would receive low wages).</w:t>
      </w:r>
      <w:r w:rsidR="00F54A91" w:rsidRPr="00140BF5">
        <w:rPr>
          <w:lang w:val="en-GB"/>
        </w:rPr>
        <w:t xml:space="preserve">  </w:t>
      </w:r>
    </w:p>
    <w:p w14:paraId="61A8315E" w14:textId="00C5B990" w:rsidR="00B6331D" w:rsidRPr="00140BF5" w:rsidRDefault="00B6331D" w:rsidP="0011084D">
      <w:pPr>
        <w:spacing w:before="60" w:after="60" w:line="480" w:lineRule="auto"/>
        <w:jc w:val="both"/>
        <w:rPr>
          <w:lang w:val="en-GB"/>
        </w:rPr>
      </w:pPr>
      <w:r w:rsidRPr="00140BF5">
        <w:rPr>
          <w:lang w:val="en-GB"/>
        </w:rPr>
        <w:t>The use of labour clauses in</w:t>
      </w:r>
      <w:r w:rsidR="00413E88" w:rsidRPr="00140BF5">
        <w:rPr>
          <w:lang w:val="en-GB"/>
        </w:rPr>
        <w:t xml:space="preserve"> contracts for care services in</w:t>
      </w:r>
      <w:r w:rsidRPr="00140BF5">
        <w:rPr>
          <w:lang w:val="en-GB"/>
        </w:rPr>
        <w:t xml:space="preserve"> Leeds</w:t>
      </w:r>
      <w:r w:rsidR="00413E88" w:rsidRPr="00140BF5">
        <w:rPr>
          <w:lang w:val="en-GB"/>
        </w:rPr>
        <w:t xml:space="preserve"> </w:t>
      </w:r>
      <w:r w:rsidRPr="00140BF5">
        <w:rPr>
          <w:lang w:val="en-GB"/>
        </w:rPr>
        <w:t>was ambitious</w:t>
      </w:r>
      <w:r w:rsidR="004C5C85" w:rsidRPr="00140BF5">
        <w:rPr>
          <w:lang w:val="en-GB"/>
        </w:rPr>
        <w:t xml:space="preserve"> by UK standards</w:t>
      </w:r>
      <w:r w:rsidRPr="00140BF5">
        <w:rPr>
          <w:lang w:val="en-GB"/>
        </w:rPr>
        <w:t xml:space="preserve">: setting increased basic hourly </w:t>
      </w:r>
      <w:r w:rsidR="00413E88" w:rsidRPr="00140BF5">
        <w:rPr>
          <w:lang w:val="en-GB"/>
        </w:rPr>
        <w:t xml:space="preserve">wages </w:t>
      </w:r>
      <w:r w:rsidRPr="00140BF5">
        <w:rPr>
          <w:lang w:val="en-GB"/>
        </w:rPr>
        <w:t xml:space="preserve">; guaranteeing payment for travel time between clients (which under the </w:t>
      </w:r>
      <w:r w:rsidRPr="00140BF5">
        <w:rPr>
          <w:lang w:val="en-GB"/>
        </w:rPr>
        <w:lastRenderedPageBreak/>
        <w:t>old contract was unpaid ‘slack time’); and replacing contingent zero-hours contracts with guaranteed hours contracts (full</w:t>
      </w:r>
      <w:r w:rsidR="005B50B9" w:rsidRPr="00140BF5">
        <w:rPr>
          <w:lang w:val="en-GB"/>
        </w:rPr>
        <w:t>-</w:t>
      </w:r>
      <w:r w:rsidRPr="00140BF5">
        <w:rPr>
          <w:lang w:val="en-GB"/>
        </w:rPr>
        <w:t xml:space="preserve"> and part-time). </w:t>
      </w:r>
      <w:r w:rsidR="00D23688" w:rsidRPr="00140BF5">
        <w:rPr>
          <w:lang w:val="en-GB"/>
        </w:rPr>
        <w:t xml:space="preserve">Although a national collective agreement covers directly employed care workers in UK local government, labour clauses clearly played a strong </w:t>
      </w:r>
      <w:r w:rsidR="00D23688" w:rsidRPr="00140BF5">
        <w:rPr>
          <w:i/>
          <w:lang w:val="en-GB"/>
        </w:rPr>
        <w:t>compensatory</w:t>
      </w:r>
      <w:r w:rsidR="00D23688" w:rsidRPr="00140BF5">
        <w:rPr>
          <w:lang w:val="en-GB"/>
        </w:rPr>
        <w:t xml:space="preserve"> role for subcontracted workers many of whom work in private sector firms that do not recogni</w:t>
      </w:r>
      <w:r w:rsidR="00140BF5">
        <w:rPr>
          <w:lang w:val="en-GB"/>
        </w:rPr>
        <w:t>s</w:t>
      </w:r>
      <w:r w:rsidR="00D23688" w:rsidRPr="00140BF5">
        <w:rPr>
          <w:lang w:val="en-GB"/>
        </w:rPr>
        <w:t>e a trade union. At the same time, low wages in private sector care work are not just a function of gaps in collective bargaining or employer avoidance strategies: they are fundamentally driven by downward pressure on unit costs in public contracts (Bessa et al.</w:t>
      </w:r>
      <w:r w:rsidR="00FD59F4" w:rsidRPr="00140BF5">
        <w:rPr>
          <w:lang w:val="en-GB"/>
        </w:rPr>
        <w:t>,</w:t>
      </w:r>
      <w:r w:rsidR="00140BF5">
        <w:rPr>
          <w:lang w:val="en-GB"/>
        </w:rPr>
        <w:t xml:space="preserve"> 2013). Leeds council recognis</w:t>
      </w:r>
      <w:r w:rsidR="00D23688" w:rsidRPr="00140BF5">
        <w:rPr>
          <w:lang w:val="en-GB"/>
        </w:rPr>
        <w:t xml:space="preserve">ed that to tackle low wages and precarious work,  resources had to be increased to  </w:t>
      </w:r>
      <w:r w:rsidRPr="00140BF5">
        <w:rPr>
          <w:lang w:val="en-GB"/>
        </w:rPr>
        <w:t xml:space="preserve">cover the cost of higher hourly rates and travel time, and </w:t>
      </w:r>
      <w:r w:rsidR="00BE7D05" w:rsidRPr="00140BF5">
        <w:rPr>
          <w:lang w:val="en-GB"/>
        </w:rPr>
        <w:t xml:space="preserve">the </w:t>
      </w:r>
      <w:r w:rsidRPr="00140BF5">
        <w:rPr>
          <w:lang w:val="en-GB"/>
        </w:rPr>
        <w:t xml:space="preserve">number of providers </w:t>
      </w:r>
      <w:r w:rsidR="00BE7D05" w:rsidRPr="00140BF5">
        <w:rPr>
          <w:lang w:val="en-GB"/>
        </w:rPr>
        <w:t>had to be reduced (</w:t>
      </w:r>
      <w:r w:rsidRPr="00140BF5">
        <w:rPr>
          <w:lang w:val="en-GB"/>
        </w:rPr>
        <w:t>from nearly fifty to just four</w:t>
      </w:r>
      <w:r w:rsidR="00BE7D05" w:rsidRPr="00140BF5">
        <w:rPr>
          <w:lang w:val="en-GB"/>
        </w:rPr>
        <w:t xml:space="preserve">) in order to </w:t>
      </w:r>
      <w:r w:rsidRPr="00140BF5">
        <w:rPr>
          <w:lang w:val="en-GB"/>
        </w:rPr>
        <w:t xml:space="preserve">stabilise contract volumes and allow providers to offer guaranteed hours contracts to workers). </w:t>
      </w:r>
      <w:r w:rsidR="00563F75" w:rsidRPr="00140BF5">
        <w:rPr>
          <w:lang w:val="en-GB"/>
        </w:rPr>
        <w:t>While</w:t>
      </w:r>
      <w:r w:rsidR="006A704E" w:rsidRPr="00140BF5">
        <w:rPr>
          <w:lang w:val="en-GB"/>
        </w:rPr>
        <w:t xml:space="preserve"> some of the larger national </w:t>
      </w:r>
      <w:r w:rsidR="00413E88" w:rsidRPr="00140BF5">
        <w:rPr>
          <w:lang w:val="en-GB"/>
        </w:rPr>
        <w:t>private sector care ‘</w:t>
      </w:r>
      <w:r w:rsidR="006A704E" w:rsidRPr="00140BF5">
        <w:rPr>
          <w:lang w:val="en-GB"/>
        </w:rPr>
        <w:t>chains</w:t>
      </w:r>
      <w:r w:rsidR="00413E88" w:rsidRPr="00140BF5">
        <w:rPr>
          <w:lang w:val="en-GB"/>
        </w:rPr>
        <w:t xml:space="preserve">’ who lost the contract </w:t>
      </w:r>
      <w:r w:rsidR="006A704E" w:rsidRPr="00140BF5">
        <w:rPr>
          <w:lang w:val="en-GB"/>
        </w:rPr>
        <w:t xml:space="preserve">tried to </w:t>
      </w:r>
      <w:r w:rsidR="00413E88" w:rsidRPr="00140BF5">
        <w:rPr>
          <w:lang w:val="en-GB"/>
        </w:rPr>
        <w:t>‘</w:t>
      </w:r>
      <w:r w:rsidR="006A704E" w:rsidRPr="00140BF5">
        <w:rPr>
          <w:lang w:val="en-GB"/>
        </w:rPr>
        <w:t>bully</w:t>
      </w:r>
      <w:r w:rsidR="00413E88" w:rsidRPr="00140BF5">
        <w:rPr>
          <w:lang w:val="en-GB"/>
        </w:rPr>
        <w:t>’</w:t>
      </w:r>
      <w:r w:rsidR="006A704E" w:rsidRPr="00140BF5">
        <w:rPr>
          <w:lang w:val="en-GB"/>
        </w:rPr>
        <w:t xml:space="preserve"> the council </w:t>
      </w:r>
      <w:r w:rsidR="00413E88" w:rsidRPr="00140BF5">
        <w:rPr>
          <w:lang w:val="en-GB"/>
        </w:rPr>
        <w:t>by lodging appeals</w:t>
      </w:r>
      <w:r w:rsidR="006A704E" w:rsidRPr="00140BF5">
        <w:rPr>
          <w:lang w:val="en-GB"/>
        </w:rPr>
        <w:t>, the</w:t>
      </w:r>
      <w:r w:rsidR="00413E88" w:rsidRPr="00140BF5">
        <w:rPr>
          <w:lang w:val="en-GB"/>
        </w:rPr>
        <w:t>re was strong</w:t>
      </w:r>
      <w:r w:rsidR="00563F75" w:rsidRPr="00140BF5">
        <w:rPr>
          <w:lang w:val="en-GB"/>
        </w:rPr>
        <w:t xml:space="preserve"> support from </w:t>
      </w:r>
      <w:r w:rsidR="006A704E" w:rsidRPr="00140BF5">
        <w:rPr>
          <w:lang w:val="en-GB"/>
        </w:rPr>
        <w:t xml:space="preserve">smaller </w:t>
      </w:r>
      <w:r w:rsidR="00563F75" w:rsidRPr="00140BF5">
        <w:rPr>
          <w:lang w:val="en-GB"/>
        </w:rPr>
        <w:t xml:space="preserve">private </w:t>
      </w:r>
      <w:r w:rsidR="005E51AA" w:rsidRPr="00140BF5">
        <w:rPr>
          <w:lang w:val="en-GB"/>
        </w:rPr>
        <w:t xml:space="preserve">care </w:t>
      </w:r>
      <w:r w:rsidR="00563F75" w:rsidRPr="00140BF5">
        <w:rPr>
          <w:lang w:val="en-GB"/>
        </w:rPr>
        <w:t xml:space="preserve">providers  </w:t>
      </w:r>
      <w:r w:rsidR="00413E88" w:rsidRPr="00140BF5">
        <w:rPr>
          <w:lang w:val="en-GB"/>
        </w:rPr>
        <w:t xml:space="preserve">for </w:t>
      </w:r>
      <w:r w:rsidR="00563F75" w:rsidRPr="00140BF5">
        <w:rPr>
          <w:lang w:val="en-GB"/>
        </w:rPr>
        <w:t xml:space="preserve">public procurement </w:t>
      </w:r>
      <w:r w:rsidR="00413E88" w:rsidRPr="00140BF5">
        <w:rPr>
          <w:lang w:val="en-GB"/>
        </w:rPr>
        <w:t>being used in this way</w:t>
      </w:r>
      <w:r w:rsidR="00563F75" w:rsidRPr="00140BF5">
        <w:rPr>
          <w:lang w:val="en-GB"/>
        </w:rPr>
        <w:t xml:space="preserve"> to ‘level the playing field’. </w:t>
      </w:r>
    </w:p>
    <w:p w14:paraId="0C7AC6E2" w14:textId="77777777" w:rsidR="002207DA" w:rsidRPr="00140BF5" w:rsidRDefault="002207DA" w:rsidP="0011084D">
      <w:pPr>
        <w:spacing w:before="60" w:after="60" w:line="480" w:lineRule="auto"/>
        <w:jc w:val="both"/>
        <w:rPr>
          <w:i/>
          <w:lang w:val="en-GB"/>
        </w:rPr>
      </w:pPr>
    </w:p>
    <w:p w14:paraId="5D2C7682" w14:textId="77777777" w:rsidR="007B2B5F" w:rsidRPr="00140BF5" w:rsidRDefault="00C47CFD" w:rsidP="0011084D">
      <w:pPr>
        <w:spacing w:before="60" w:after="60" w:line="480" w:lineRule="auto"/>
        <w:jc w:val="both"/>
        <w:rPr>
          <w:i/>
          <w:lang w:val="en-GB"/>
        </w:rPr>
      </w:pPr>
      <w:r w:rsidRPr="00140BF5">
        <w:rPr>
          <w:i/>
          <w:lang w:val="en-GB"/>
        </w:rPr>
        <w:t xml:space="preserve">Monitoring and enforcement </w:t>
      </w:r>
    </w:p>
    <w:p w14:paraId="0DCB5217" w14:textId="1AE192BE" w:rsidR="00073EC1" w:rsidRPr="00140BF5" w:rsidRDefault="007B2B5F" w:rsidP="0011084D">
      <w:pPr>
        <w:spacing w:before="60" w:after="60" w:line="480" w:lineRule="auto"/>
        <w:jc w:val="both"/>
        <w:rPr>
          <w:lang w:val="en-GB"/>
        </w:rPr>
      </w:pPr>
      <w:r w:rsidRPr="00140BF5">
        <w:rPr>
          <w:lang w:val="en-GB"/>
        </w:rPr>
        <w:t>Developing</w:t>
      </w:r>
      <w:r w:rsidR="00307371" w:rsidRPr="00140BF5">
        <w:rPr>
          <w:lang w:val="en-GB"/>
        </w:rPr>
        <w:t xml:space="preserve"> ad</w:t>
      </w:r>
      <w:r w:rsidRPr="00140BF5">
        <w:rPr>
          <w:lang w:val="en-GB"/>
        </w:rPr>
        <w:t xml:space="preserve">equate administrative capacity through sufficient </w:t>
      </w:r>
      <w:r w:rsidR="00307371" w:rsidRPr="00140BF5">
        <w:rPr>
          <w:lang w:val="en-GB"/>
        </w:rPr>
        <w:t xml:space="preserve">budgets, trained staff, </w:t>
      </w:r>
      <w:r w:rsidRPr="00140BF5">
        <w:rPr>
          <w:lang w:val="en-GB"/>
        </w:rPr>
        <w:t xml:space="preserve">and rights of inspection </w:t>
      </w:r>
      <w:r w:rsidR="00307371" w:rsidRPr="00140BF5">
        <w:rPr>
          <w:lang w:val="en-GB"/>
        </w:rPr>
        <w:t>is pivotal when considering the ability of political and administrative decision-makers to monitor procurement in line with their own objectives, as emphasised in studies on public-private partnerships (e.g. Hodge</w:t>
      </w:r>
      <w:r w:rsidR="00C7512B" w:rsidRPr="00140BF5">
        <w:rPr>
          <w:lang w:val="en-GB"/>
        </w:rPr>
        <w:t xml:space="preserve"> and</w:t>
      </w:r>
      <w:r w:rsidR="00307371" w:rsidRPr="00140BF5">
        <w:rPr>
          <w:lang w:val="en-GB"/>
        </w:rPr>
        <w:t xml:space="preserve"> Greve</w:t>
      </w:r>
      <w:r w:rsidR="00585CD1" w:rsidRPr="00140BF5">
        <w:rPr>
          <w:lang w:val="en-GB"/>
        </w:rPr>
        <w:t>,</w:t>
      </w:r>
      <w:r w:rsidR="00307371" w:rsidRPr="00140BF5">
        <w:rPr>
          <w:lang w:val="en-GB"/>
        </w:rPr>
        <w:t xml:space="preserve"> 2005). However, this </w:t>
      </w:r>
      <w:r w:rsidR="00CA6640" w:rsidRPr="00140BF5">
        <w:rPr>
          <w:lang w:val="en-GB"/>
        </w:rPr>
        <w:t xml:space="preserve">is not merely a </w:t>
      </w:r>
      <w:r w:rsidR="007E2948" w:rsidRPr="00140BF5">
        <w:rPr>
          <w:lang w:val="en-GB"/>
        </w:rPr>
        <w:t>‘</w:t>
      </w:r>
      <w:r w:rsidR="00CA6640" w:rsidRPr="00140BF5">
        <w:rPr>
          <w:lang w:val="en-GB"/>
        </w:rPr>
        <w:t>technical</w:t>
      </w:r>
      <w:r w:rsidR="007E2948" w:rsidRPr="00140BF5">
        <w:rPr>
          <w:lang w:val="en-GB"/>
        </w:rPr>
        <w:t>’</w:t>
      </w:r>
      <w:r w:rsidR="00CA6640" w:rsidRPr="00140BF5">
        <w:rPr>
          <w:lang w:val="en-GB"/>
        </w:rPr>
        <w:t xml:space="preserve"> </w:t>
      </w:r>
      <w:r w:rsidR="00307371" w:rsidRPr="00140BF5">
        <w:rPr>
          <w:lang w:val="en-GB"/>
        </w:rPr>
        <w:t xml:space="preserve">question about developing effective tools, but reflects </w:t>
      </w:r>
      <w:r w:rsidR="00BE7D05" w:rsidRPr="00140BF5">
        <w:rPr>
          <w:lang w:val="en-GB"/>
        </w:rPr>
        <w:t xml:space="preserve">various </w:t>
      </w:r>
      <w:r w:rsidR="00307371" w:rsidRPr="00140BF5">
        <w:rPr>
          <w:lang w:val="en-GB"/>
        </w:rPr>
        <w:t>politic</w:t>
      </w:r>
      <w:r w:rsidR="00BE7D05" w:rsidRPr="00140BF5">
        <w:rPr>
          <w:lang w:val="en-GB"/>
        </w:rPr>
        <w:t>al and power struggles within</w:t>
      </w:r>
      <w:r w:rsidR="00054A55" w:rsidRPr="00140BF5">
        <w:rPr>
          <w:lang w:val="en-GB"/>
        </w:rPr>
        <w:t xml:space="preserve"> </w:t>
      </w:r>
      <w:r w:rsidR="00FF5DCF" w:rsidRPr="00140BF5">
        <w:rPr>
          <w:lang w:val="en-GB"/>
        </w:rPr>
        <w:t>different institutional framework</w:t>
      </w:r>
      <w:r w:rsidR="002E7381" w:rsidRPr="00140BF5">
        <w:rPr>
          <w:lang w:val="en-GB"/>
        </w:rPr>
        <w:t>s</w:t>
      </w:r>
      <w:r w:rsidR="00073EC1" w:rsidRPr="00140BF5">
        <w:rPr>
          <w:lang w:val="en-GB"/>
        </w:rPr>
        <w:t xml:space="preserve">. </w:t>
      </w:r>
      <w:r w:rsidR="00BE7D05" w:rsidRPr="00140BF5">
        <w:rPr>
          <w:lang w:val="en-GB"/>
        </w:rPr>
        <w:t xml:space="preserve">Our data highlight significant variation between the three cases in terms of the involvement of social partners in developing monitoring and enforcement systems, as well as </w:t>
      </w:r>
      <w:r w:rsidR="00054A55" w:rsidRPr="00140BF5">
        <w:rPr>
          <w:lang w:val="en-GB"/>
        </w:rPr>
        <w:t xml:space="preserve">the </w:t>
      </w:r>
      <w:r w:rsidR="00585CD1" w:rsidRPr="00140BF5">
        <w:rPr>
          <w:lang w:val="en-GB"/>
        </w:rPr>
        <w:t>resources allocated</w:t>
      </w:r>
      <w:r w:rsidR="00BE7D05" w:rsidRPr="00140BF5">
        <w:rPr>
          <w:lang w:val="en-GB"/>
        </w:rPr>
        <w:t xml:space="preserve"> to </w:t>
      </w:r>
      <w:r w:rsidR="00054A55" w:rsidRPr="00140BF5">
        <w:rPr>
          <w:lang w:val="en-GB"/>
        </w:rPr>
        <w:t xml:space="preserve">monitoring and enforcement, </w:t>
      </w:r>
      <w:r w:rsidR="00970171" w:rsidRPr="00140BF5">
        <w:rPr>
          <w:lang w:val="en-GB"/>
        </w:rPr>
        <w:t>t</w:t>
      </w:r>
      <w:r w:rsidR="00307371" w:rsidRPr="00140BF5">
        <w:rPr>
          <w:lang w:val="en-GB"/>
        </w:rPr>
        <w:t xml:space="preserve">he </w:t>
      </w:r>
      <w:r w:rsidR="00BE7D05" w:rsidRPr="00140BF5">
        <w:rPr>
          <w:lang w:val="en-GB"/>
        </w:rPr>
        <w:t xml:space="preserve">use </w:t>
      </w:r>
      <w:r w:rsidR="00585CD1" w:rsidRPr="00140BF5">
        <w:rPr>
          <w:lang w:val="en-GB"/>
        </w:rPr>
        <w:t xml:space="preserve">of </w:t>
      </w:r>
      <w:r w:rsidR="00307371" w:rsidRPr="00140BF5">
        <w:rPr>
          <w:lang w:val="en-GB"/>
        </w:rPr>
        <w:t>internal or external inspector</w:t>
      </w:r>
      <w:r w:rsidR="00BE7D05" w:rsidRPr="00140BF5">
        <w:rPr>
          <w:lang w:val="en-GB"/>
        </w:rPr>
        <w:t>s</w:t>
      </w:r>
      <w:r w:rsidR="00307371" w:rsidRPr="00140BF5">
        <w:rPr>
          <w:lang w:val="en-GB"/>
        </w:rPr>
        <w:t xml:space="preserve">, the form and frequency of inspections, </w:t>
      </w:r>
      <w:r w:rsidR="00BE7D05" w:rsidRPr="00140BF5">
        <w:rPr>
          <w:lang w:val="en-GB"/>
        </w:rPr>
        <w:t>and penalties for</w:t>
      </w:r>
      <w:r w:rsidR="00307371" w:rsidRPr="00140BF5">
        <w:rPr>
          <w:lang w:val="en-GB"/>
        </w:rPr>
        <w:t xml:space="preserve"> non-compliance</w:t>
      </w:r>
      <w:r w:rsidR="00BE7D05" w:rsidRPr="00140BF5">
        <w:rPr>
          <w:lang w:val="en-GB"/>
        </w:rPr>
        <w:t>.</w:t>
      </w:r>
      <w:r w:rsidR="00C07D68" w:rsidRPr="00140BF5">
        <w:rPr>
          <w:lang w:val="en-GB"/>
        </w:rPr>
        <w:t xml:space="preserve"> </w:t>
      </w:r>
      <w:r w:rsidR="005B50B9" w:rsidRPr="00140BF5">
        <w:rPr>
          <w:lang w:val="en-GB"/>
        </w:rPr>
        <w:t xml:space="preserve"> </w:t>
      </w:r>
    </w:p>
    <w:p w14:paraId="4C18EF4E" w14:textId="1B95D0CE" w:rsidR="000C785D" w:rsidRPr="00140BF5" w:rsidRDefault="007E2948" w:rsidP="0011084D">
      <w:pPr>
        <w:spacing w:before="60" w:after="60" w:line="480" w:lineRule="auto"/>
        <w:jc w:val="both"/>
        <w:rPr>
          <w:lang w:val="en-GB"/>
        </w:rPr>
      </w:pPr>
      <w:r w:rsidRPr="00140BF5">
        <w:rPr>
          <w:i/>
          <w:lang w:val="en-GB"/>
        </w:rPr>
        <w:t xml:space="preserve">Copenhagen </w:t>
      </w:r>
      <w:r w:rsidR="00307371" w:rsidRPr="00140BF5">
        <w:rPr>
          <w:lang w:val="en-GB"/>
        </w:rPr>
        <w:t>ha</w:t>
      </w:r>
      <w:r w:rsidR="00560082" w:rsidRPr="00140BF5">
        <w:rPr>
          <w:lang w:val="en-GB"/>
        </w:rPr>
        <w:t>d</w:t>
      </w:r>
      <w:r w:rsidR="00307371" w:rsidRPr="00140BF5">
        <w:rPr>
          <w:lang w:val="en-GB"/>
        </w:rPr>
        <w:t xml:space="preserve"> a </w:t>
      </w:r>
      <w:r w:rsidR="00BE7D05" w:rsidRPr="00140BF5">
        <w:rPr>
          <w:lang w:val="en-GB"/>
        </w:rPr>
        <w:t xml:space="preserve">substantial dedicated </w:t>
      </w:r>
      <w:r w:rsidR="00307371" w:rsidRPr="00140BF5">
        <w:rPr>
          <w:lang w:val="en-GB"/>
        </w:rPr>
        <w:t xml:space="preserve">budget </w:t>
      </w:r>
      <w:r w:rsidR="00307371" w:rsidRPr="00140BF5">
        <w:rPr>
          <w:szCs w:val="28"/>
          <w:lang w:val="en-GB"/>
        </w:rPr>
        <w:t>for monitoring a</w:t>
      </w:r>
      <w:r w:rsidR="002A1E74" w:rsidRPr="00140BF5">
        <w:rPr>
          <w:szCs w:val="28"/>
          <w:lang w:val="en-GB"/>
        </w:rPr>
        <w:t>nd enforcing the labour clauses</w:t>
      </w:r>
      <w:r w:rsidR="00BE7D05" w:rsidRPr="00140BF5">
        <w:rPr>
          <w:szCs w:val="28"/>
          <w:lang w:val="en-GB"/>
        </w:rPr>
        <w:t>, and was</w:t>
      </w:r>
      <w:r w:rsidR="005B50B9" w:rsidRPr="00140BF5">
        <w:rPr>
          <w:szCs w:val="28"/>
          <w:lang w:val="en-GB"/>
        </w:rPr>
        <w:t xml:space="preserve"> </w:t>
      </w:r>
      <w:r w:rsidR="00BE7D05" w:rsidRPr="00140BF5">
        <w:rPr>
          <w:szCs w:val="28"/>
          <w:lang w:val="en-GB"/>
        </w:rPr>
        <w:t xml:space="preserve">until </w:t>
      </w:r>
      <w:r w:rsidR="005B50B9" w:rsidRPr="00140BF5">
        <w:rPr>
          <w:szCs w:val="28"/>
          <w:lang w:val="en-GB"/>
        </w:rPr>
        <w:t>early 2017</w:t>
      </w:r>
      <w:r w:rsidR="00AC3960" w:rsidRPr="00140BF5">
        <w:rPr>
          <w:szCs w:val="28"/>
          <w:lang w:val="en-GB"/>
        </w:rPr>
        <w:t xml:space="preserve"> </w:t>
      </w:r>
      <w:r w:rsidR="002A1E74" w:rsidRPr="00140BF5">
        <w:rPr>
          <w:szCs w:val="28"/>
          <w:lang w:val="en-GB"/>
        </w:rPr>
        <w:t>the only Danish municipality</w:t>
      </w:r>
      <w:r w:rsidR="00307371" w:rsidRPr="00140BF5">
        <w:rPr>
          <w:szCs w:val="28"/>
          <w:lang w:val="en-GB"/>
        </w:rPr>
        <w:t xml:space="preserve"> </w:t>
      </w:r>
      <w:r w:rsidR="00BE7D05" w:rsidRPr="00140BF5">
        <w:rPr>
          <w:szCs w:val="28"/>
          <w:lang w:val="en-GB"/>
        </w:rPr>
        <w:t>that</w:t>
      </w:r>
      <w:r w:rsidR="003D0F47" w:rsidRPr="00140BF5">
        <w:rPr>
          <w:szCs w:val="28"/>
          <w:lang w:val="en-GB"/>
        </w:rPr>
        <w:t xml:space="preserve"> </w:t>
      </w:r>
      <w:r w:rsidR="00307371" w:rsidRPr="00140BF5">
        <w:rPr>
          <w:szCs w:val="28"/>
          <w:lang w:val="en-GB"/>
        </w:rPr>
        <w:t xml:space="preserve">delegated the monitoring of labour clauses </w:t>
      </w:r>
      <w:r w:rsidR="00307371" w:rsidRPr="00140BF5">
        <w:rPr>
          <w:lang w:val="en-GB"/>
        </w:rPr>
        <w:t xml:space="preserve">to </w:t>
      </w:r>
      <w:r w:rsidR="002A1E74" w:rsidRPr="00140BF5">
        <w:rPr>
          <w:lang w:val="en-GB"/>
        </w:rPr>
        <w:lastRenderedPageBreak/>
        <w:t>an independent auditing company</w:t>
      </w:r>
      <w:r w:rsidR="00BE7D05" w:rsidRPr="00140BF5">
        <w:rPr>
          <w:lang w:val="en-GB"/>
        </w:rPr>
        <w:t>. S</w:t>
      </w:r>
      <w:r w:rsidR="003D0F47" w:rsidRPr="00140BF5">
        <w:rPr>
          <w:lang w:val="en-GB"/>
        </w:rPr>
        <w:t>ubsequently</w:t>
      </w:r>
      <w:r w:rsidR="00CF6936" w:rsidRPr="00140BF5">
        <w:rPr>
          <w:lang w:val="en-GB"/>
        </w:rPr>
        <w:t xml:space="preserve"> </w:t>
      </w:r>
      <w:r w:rsidR="00BE7D05" w:rsidRPr="00140BF5">
        <w:rPr>
          <w:lang w:val="en-GB"/>
        </w:rPr>
        <w:t>the council brough</w:t>
      </w:r>
      <w:r w:rsidR="003D1D9F" w:rsidRPr="00140BF5">
        <w:rPr>
          <w:lang w:val="en-GB"/>
        </w:rPr>
        <w:t>t</w:t>
      </w:r>
      <w:r w:rsidR="00CF6936" w:rsidRPr="00140BF5">
        <w:rPr>
          <w:lang w:val="en-GB"/>
        </w:rPr>
        <w:t xml:space="preserve"> enforcement </w:t>
      </w:r>
      <w:r w:rsidR="003D1D9F" w:rsidRPr="00140BF5">
        <w:rPr>
          <w:lang w:val="en-GB"/>
        </w:rPr>
        <w:t xml:space="preserve">back </w:t>
      </w:r>
      <w:r w:rsidR="00CF6936" w:rsidRPr="00140BF5">
        <w:rPr>
          <w:lang w:val="en-GB"/>
        </w:rPr>
        <w:t xml:space="preserve">in-house, </w:t>
      </w:r>
      <w:r w:rsidR="003D1D9F" w:rsidRPr="00140BF5">
        <w:rPr>
          <w:lang w:val="en-GB"/>
        </w:rPr>
        <w:t xml:space="preserve">in order to strengthen </w:t>
      </w:r>
      <w:r w:rsidR="00694DE0" w:rsidRPr="00140BF5">
        <w:rPr>
          <w:lang w:val="en-GB"/>
        </w:rPr>
        <w:t>relation</w:t>
      </w:r>
      <w:r w:rsidR="003D1D9F" w:rsidRPr="00140BF5">
        <w:rPr>
          <w:lang w:val="en-GB"/>
        </w:rPr>
        <w:t>s</w:t>
      </w:r>
      <w:r w:rsidR="00694DE0" w:rsidRPr="00140BF5">
        <w:rPr>
          <w:lang w:val="en-GB"/>
        </w:rPr>
        <w:t xml:space="preserve"> </w:t>
      </w:r>
      <w:r w:rsidR="00CF6936" w:rsidRPr="00140BF5">
        <w:rPr>
          <w:lang w:val="en-GB"/>
        </w:rPr>
        <w:t xml:space="preserve">between the </w:t>
      </w:r>
      <w:r w:rsidR="00694DE0" w:rsidRPr="00140BF5">
        <w:rPr>
          <w:lang w:val="en-GB"/>
        </w:rPr>
        <w:t xml:space="preserve">procurement unit, </w:t>
      </w:r>
      <w:r w:rsidR="00CF6936" w:rsidRPr="00140BF5">
        <w:rPr>
          <w:lang w:val="en-GB"/>
        </w:rPr>
        <w:t>inspect</w:t>
      </w:r>
      <w:r w:rsidR="003D1D9F" w:rsidRPr="00140BF5">
        <w:rPr>
          <w:lang w:val="en-GB"/>
        </w:rPr>
        <w:t>ors</w:t>
      </w:r>
      <w:r w:rsidR="00CF6936" w:rsidRPr="00140BF5">
        <w:rPr>
          <w:lang w:val="en-GB"/>
        </w:rPr>
        <w:t xml:space="preserve"> and </w:t>
      </w:r>
      <w:r w:rsidR="003D0F47" w:rsidRPr="00140BF5">
        <w:rPr>
          <w:lang w:val="en-GB"/>
        </w:rPr>
        <w:t>sub</w:t>
      </w:r>
      <w:r w:rsidR="00CF6936" w:rsidRPr="00140BF5">
        <w:rPr>
          <w:lang w:val="en-GB"/>
        </w:rPr>
        <w:t>contractors.</w:t>
      </w:r>
      <w:r w:rsidR="007079CE" w:rsidRPr="00140BF5">
        <w:rPr>
          <w:lang w:val="en-GB"/>
        </w:rPr>
        <w:t xml:space="preserve"> Similar as before</w:t>
      </w:r>
      <w:r w:rsidR="00CF6936" w:rsidRPr="00140BF5">
        <w:rPr>
          <w:lang w:val="en-GB"/>
        </w:rPr>
        <w:t xml:space="preserve"> </w:t>
      </w:r>
      <w:r w:rsidR="007079CE" w:rsidRPr="00140BF5">
        <w:rPr>
          <w:lang w:val="en-GB"/>
        </w:rPr>
        <w:t>i</w:t>
      </w:r>
      <w:r w:rsidR="00694DE0" w:rsidRPr="00140BF5">
        <w:rPr>
          <w:lang w:val="en-GB"/>
        </w:rPr>
        <w:t>nspection</w:t>
      </w:r>
      <w:r w:rsidR="009A1867" w:rsidRPr="00140BF5">
        <w:rPr>
          <w:lang w:val="en-GB"/>
        </w:rPr>
        <w:t xml:space="preserve"> </w:t>
      </w:r>
      <w:r w:rsidR="003D1D9F" w:rsidRPr="00140BF5">
        <w:rPr>
          <w:lang w:val="en-GB"/>
        </w:rPr>
        <w:t xml:space="preserve">units consisted of </w:t>
      </w:r>
      <w:r w:rsidR="002A6500" w:rsidRPr="00140BF5">
        <w:rPr>
          <w:lang w:val="en-GB"/>
        </w:rPr>
        <w:t>four to five full</w:t>
      </w:r>
      <w:r w:rsidR="005B50B9" w:rsidRPr="00140BF5">
        <w:rPr>
          <w:lang w:val="en-GB"/>
        </w:rPr>
        <w:t>-</w:t>
      </w:r>
      <w:r w:rsidR="002A6500" w:rsidRPr="00140BF5">
        <w:rPr>
          <w:lang w:val="en-GB"/>
        </w:rPr>
        <w:t>time employees</w:t>
      </w:r>
      <w:r w:rsidR="007079CE" w:rsidRPr="00140BF5">
        <w:rPr>
          <w:lang w:val="en-GB"/>
        </w:rPr>
        <w:t xml:space="preserve">, </w:t>
      </w:r>
      <w:r w:rsidR="003D1D9F" w:rsidRPr="00140BF5">
        <w:rPr>
          <w:lang w:val="en-GB"/>
        </w:rPr>
        <w:t>that</w:t>
      </w:r>
      <w:r w:rsidR="004A1050" w:rsidRPr="00140BF5">
        <w:rPr>
          <w:lang w:val="en-GB"/>
        </w:rPr>
        <w:t xml:space="preserve"> </w:t>
      </w:r>
      <w:r w:rsidR="009A1867" w:rsidRPr="00140BF5">
        <w:rPr>
          <w:lang w:val="en-GB"/>
        </w:rPr>
        <w:t>carried out</w:t>
      </w:r>
      <w:r w:rsidR="004A1050" w:rsidRPr="00140BF5">
        <w:rPr>
          <w:lang w:val="en-GB"/>
        </w:rPr>
        <w:t xml:space="preserve"> on-site inspections </w:t>
      </w:r>
      <w:r w:rsidR="002A6500" w:rsidRPr="00140BF5">
        <w:rPr>
          <w:lang w:val="en-GB"/>
        </w:rPr>
        <w:t xml:space="preserve">and </w:t>
      </w:r>
      <w:r w:rsidR="009A1867" w:rsidRPr="00140BF5">
        <w:rPr>
          <w:lang w:val="en-GB"/>
        </w:rPr>
        <w:t xml:space="preserve">had the </w:t>
      </w:r>
      <w:r w:rsidR="003D1D9F" w:rsidRPr="00140BF5">
        <w:rPr>
          <w:lang w:val="en-GB"/>
        </w:rPr>
        <w:t xml:space="preserve">delegated </w:t>
      </w:r>
      <w:r w:rsidR="009A1867" w:rsidRPr="00140BF5">
        <w:rPr>
          <w:lang w:val="en-GB"/>
        </w:rPr>
        <w:t>authority to</w:t>
      </w:r>
      <w:r w:rsidR="0011218C" w:rsidRPr="00140BF5">
        <w:rPr>
          <w:lang w:val="en-GB"/>
        </w:rPr>
        <w:t xml:space="preserve"> demand </w:t>
      </w:r>
      <w:r w:rsidR="003D1D9F" w:rsidRPr="00140BF5">
        <w:rPr>
          <w:lang w:val="en-GB"/>
        </w:rPr>
        <w:t>relevant documentation</w:t>
      </w:r>
      <w:r w:rsidR="002A6500" w:rsidRPr="00140BF5">
        <w:rPr>
          <w:lang w:val="en-GB"/>
        </w:rPr>
        <w:t xml:space="preserve"> from </w:t>
      </w:r>
      <w:r w:rsidR="009A1867" w:rsidRPr="00140BF5">
        <w:rPr>
          <w:lang w:val="en-GB"/>
        </w:rPr>
        <w:t>subcontractor</w:t>
      </w:r>
      <w:r w:rsidR="002A6500" w:rsidRPr="00140BF5">
        <w:rPr>
          <w:lang w:val="en-GB"/>
        </w:rPr>
        <w:t xml:space="preserve"> companies</w:t>
      </w:r>
      <w:r w:rsidR="003D1D9F" w:rsidRPr="00140BF5">
        <w:rPr>
          <w:lang w:val="en-GB"/>
        </w:rPr>
        <w:t xml:space="preserve"> such as wage slips</w:t>
      </w:r>
      <w:r w:rsidR="00765F31" w:rsidRPr="00140BF5">
        <w:rPr>
          <w:lang w:val="en-GB"/>
        </w:rPr>
        <w:t xml:space="preserve">, employment contracts, over-time payments, accrued pensions and holiday </w:t>
      </w:r>
      <w:r w:rsidR="007730EE" w:rsidRPr="00140BF5">
        <w:rPr>
          <w:lang w:val="en-GB"/>
        </w:rPr>
        <w:t>remuneration</w:t>
      </w:r>
      <w:r w:rsidR="0011218C" w:rsidRPr="00140BF5">
        <w:rPr>
          <w:lang w:val="en-GB"/>
        </w:rPr>
        <w:t>. The inspections</w:t>
      </w:r>
      <w:r w:rsidR="003D1D9F" w:rsidRPr="00140BF5">
        <w:rPr>
          <w:lang w:val="en-GB"/>
        </w:rPr>
        <w:t xml:space="preserve"> covered all subcontracting firms but </w:t>
      </w:r>
      <w:r w:rsidR="002A6500" w:rsidRPr="00140BF5">
        <w:rPr>
          <w:lang w:val="en-GB"/>
        </w:rPr>
        <w:t>target</w:t>
      </w:r>
      <w:r w:rsidR="003D1D9F" w:rsidRPr="00140BF5">
        <w:rPr>
          <w:lang w:val="en-GB"/>
        </w:rPr>
        <w:t>ed</w:t>
      </w:r>
      <w:r w:rsidR="002A6500" w:rsidRPr="00140BF5">
        <w:rPr>
          <w:lang w:val="en-GB"/>
        </w:rPr>
        <w:t xml:space="preserve"> </w:t>
      </w:r>
      <w:r w:rsidR="009A1867" w:rsidRPr="00140BF5">
        <w:rPr>
          <w:lang w:val="en-GB"/>
        </w:rPr>
        <w:t>those companies</w:t>
      </w:r>
      <w:r w:rsidR="002A6500" w:rsidRPr="00140BF5">
        <w:rPr>
          <w:lang w:val="en-GB"/>
        </w:rPr>
        <w:t xml:space="preserve"> considered </w:t>
      </w:r>
      <w:r w:rsidR="009A1867" w:rsidRPr="00140BF5">
        <w:rPr>
          <w:lang w:val="en-GB"/>
        </w:rPr>
        <w:t xml:space="preserve">at </w:t>
      </w:r>
      <w:r w:rsidR="002A6500" w:rsidRPr="00140BF5">
        <w:rPr>
          <w:lang w:val="en-GB"/>
        </w:rPr>
        <w:t>high risk of non-compliance</w:t>
      </w:r>
      <w:r w:rsidR="003D1D9F" w:rsidRPr="00140BF5">
        <w:rPr>
          <w:lang w:val="en-GB"/>
        </w:rPr>
        <w:t xml:space="preserve"> (such as those employing large numbers of migrant</w:t>
      </w:r>
      <w:r w:rsidR="00906A28" w:rsidRPr="00140BF5">
        <w:rPr>
          <w:lang w:val="en-GB"/>
        </w:rPr>
        <w:t xml:space="preserve"> and low-skilled</w:t>
      </w:r>
      <w:r w:rsidR="003D1D9F" w:rsidRPr="00140BF5">
        <w:rPr>
          <w:lang w:val="en-GB"/>
        </w:rPr>
        <w:t xml:space="preserve"> workers)</w:t>
      </w:r>
      <w:r w:rsidR="002A6500" w:rsidRPr="00140BF5">
        <w:rPr>
          <w:lang w:val="en-GB"/>
        </w:rPr>
        <w:t xml:space="preserve">. </w:t>
      </w:r>
      <w:r w:rsidR="00474C58" w:rsidRPr="00140BF5">
        <w:rPr>
          <w:lang w:val="en-GB"/>
        </w:rPr>
        <w:t>This</w:t>
      </w:r>
      <w:r w:rsidR="002A1E74" w:rsidRPr="00140BF5">
        <w:rPr>
          <w:lang w:val="en-GB"/>
        </w:rPr>
        <w:t xml:space="preserve"> </w:t>
      </w:r>
      <w:r w:rsidR="009A1867" w:rsidRPr="00140BF5">
        <w:rPr>
          <w:lang w:val="en-GB"/>
        </w:rPr>
        <w:t>framework</w:t>
      </w:r>
      <w:r w:rsidR="002A1E74" w:rsidRPr="00140BF5">
        <w:rPr>
          <w:lang w:val="en-GB"/>
        </w:rPr>
        <w:t xml:space="preserve"> </w:t>
      </w:r>
      <w:r w:rsidR="009A1867" w:rsidRPr="00140BF5">
        <w:rPr>
          <w:lang w:val="en-GB"/>
        </w:rPr>
        <w:t>of</w:t>
      </w:r>
      <w:r w:rsidR="00265C86" w:rsidRPr="00140BF5">
        <w:rPr>
          <w:lang w:val="en-GB"/>
        </w:rPr>
        <w:t xml:space="preserve"> </w:t>
      </w:r>
      <w:r w:rsidR="00CF6936" w:rsidRPr="00140BF5">
        <w:rPr>
          <w:lang w:val="en-GB"/>
        </w:rPr>
        <w:t xml:space="preserve">extended controls </w:t>
      </w:r>
      <w:r w:rsidR="002A1E74" w:rsidRPr="00140BF5">
        <w:rPr>
          <w:lang w:val="en-GB"/>
        </w:rPr>
        <w:t xml:space="preserve">was </w:t>
      </w:r>
      <w:r w:rsidR="00265C86" w:rsidRPr="00140BF5">
        <w:rPr>
          <w:lang w:val="en-GB"/>
        </w:rPr>
        <w:t xml:space="preserve">initially </w:t>
      </w:r>
      <w:r w:rsidR="002A1E74" w:rsidRPr="00140BF5">
        <w:rPr>
          <w:lang w:val="en-GB"/>
        </w:rPr>
        <w:t xml:space="preserve">questioned by the employers and </w:t>
      </w:r>
      <w:r w:rsidR="003D1D9F" w:rsidRPr="00140BF5">
        <w:rPr>
          <w:lang w:val="en-GB"/>
        </w:rPr>
        <w:t xml:space="preserve">was </w:t>
      </w:r>
      <w:r w:rsidR="002A1E74" w:rsidRPr="00140BF5">
        <w:rPr>
          <w:lang w:val="en-GB"/>
        </w:rPr>
        <w:t xml:space="preserve">opposed by the conservative and liberal parties </w:t>
      </w:r>
      <w:r w:rsidR="003D1D9F" w:rsidRPr="00140BF5">
        <w:rPr>
          <w:lang w:val="en-GB"/>
        </w:rPr>
        <w:t>as unnecessary</w:t>
      </w:r>
      <w:r w:rsidR="002A1E74" w:rsidRPr="00140BF5">
        <w:rPr>
          <w:lang w:val="en-GB"/>
        </w:rPr>
        <w:t xml:space="preserve"> </w:t>
      </w:r>
      <w:r w:rsidR="00564BB9" w:rsidRPr="00140BF5">
        <w:rPr>
          <w:lang w:val="en-GB"/>
        </w:rPr>
        <w:t>‘</w:t>
      </w:r>
      <w:r w:rsidR="002A1E74" w:rsidRPr="00140BF5">
        <w:rPr>
          <w:lang w:val="en-GB"/>
        </w:rPr>
        <w:t>red tape</w:t>
      </w:r>
      <w:r w:rsidR="00564BB9" w:rsidRPr="00140BF5">
        <w:rPr>
          <w:lang w:val="en-GB"/>
        </w:rPr>
        <w:t>’</w:t>
      </w:r>
      <w:r w:rsidR="002A1E74" w:rsidRPr="00140BF5">
        <w:rPr>
          <w:lang w:val="en-GB"/>
        </w:rPr>
        <w:t xml:space="preserve">, but </w:t>
      </w:r>
      <w:r w:rsidR="003D1D9F" w:rsidRPr="00140BF5">
        <w:rPr>
          <w:lang w:val="en-GB"/>
        </w:rPr>
        <w:t xml:space="preserve">was </w:t>
      </w:r>
      <w:r w:rsidR="002A1E74" w:rsidRPr="00140BF5">
        <w:rPr>
          <w:lang w:val="en-GB"/>
        </w:rPr>
        <w:t xml:space="preserve">welcomed by the unions. </w:t>
      </w:r>
      <w:r w:rsidR="002D69AF" w:rsidRPr="00140BF5">
        <w:rPr>
          <w:lang w:val="en-GB"/>
        </w:rPr>
        <w:t xml:space="preserve">Between </w:t>
      </w:r>
      <w:r w:rsidR="00474C58" w:rsidRPr="00140BF5">
        <w:rPr>
          <w:lang w:val="en-GB"/>
        </w:rPr>
        <w:t>a</w:t>
      </w:r>
      <w:r w:rsidR="002D69AF" w:rsidRPr="00140BF5">
        <w:rPr>
          <w:lang w:val="en-GB"/>
        </w:rPr>
        <w:t xml:space="preserve">utumn </w:t>
      </w:r>
      <w:r w:rsidR="00802532" w:rsidRPr="00140BF5">
        <w:rPr>
          <w:lang w:val="en-GB"/>
        </w:rPr>
        <w:t xml:space="preserve">2014 </w:t>
      </w:r>
      <w:r w:rsidR="002D69AF" w:rsidRPr="00140BF5">
        <w:rPr>
          <w:lang w:val="en-GB"/>
        </w:rPr>
        <w:t xml:space="preserve">and </w:t>
      </w:r>
      <w:r w:rsidR="0011218C" w:rsidRPr="00140BF5">
        <w:rPr>
          <w:lang w:val="en-GB"/>
        </w:rPr>
        <w:t>late 2016</w:t>
      </w:r>
      <w:r w:rsidR="00E732D0" w:rsidRPr="00140BF5">
        <w:rPr>
          <w:lang w:val="en-GB"/>
        </w:rPr>
        <w:t>,</w:t>
      </w:r>
      <w:r w:rsidR="00307371" w:rsidRPr="00140BF5">
        <w:rPr>
          <w:lang w:val="en-GB"/>
        </w:rPr>
        <w:t xml:space="preserve"> the </w:t>
      </w:r>
      <w:r w:rsidR="00CF6936" w:rsidRPr="00140BF5">
        <w:rPr>
          <w:lang w:val="en-GB"/>
        </w:rPr>
        <w:t xml:space="preserve">external </w:t>
      </w:r>
      <w:r w:rsidR="00E732D0" w:rsidRPr="00140BF5">
        <w:rPr>
          <w:lang w:val="en-GB"/>
        </w:rPr>
        <w:t xml:space="preserve">auditors </w:t>
      </w:r>
      <w:r w:rsidR="00307371" w:rsidRPr="00140BF5">
        <w:rPr>
          <w:lang w:val="en-GB"/>
        </w:rPr>
        <w:t xml:space="preserve">carried out </w:t>
      </w:r>
      <w:r w:rsidR="0011218C" w:rsidRPr="00140BF5">
        <w:rPr>
          <w:lang w:val="en-GB"/>
        </w:rPr>
        <w:t>2,026</w:t>
      </w:r>
      <w:r w:rsidR="00307371" w:rsidRPr="00140BF5">
        <w:rPr>
          <w:b/>
          <w:lang w:val="en-GB"/>
        </w:rPr>
        <w:t xml:space="preserve"> </w:t>
      </w:r>
      <w:r w:rsidR="00307371" w:rsidRPr="00140BF5">
        <w:rPr>
          <w:lang w:val="en-GB"/>
        </w:rPr>
        <w:t>inspections</w:t>
      </w:r>
      <w:r w:rsidR="005B50B9" w:rsidRPr="00140BF5">
        <w:rPr>
          <w:lang w:val="en-GB"/>
        </w:rPr>
        <w:t>,</w:t>
      </w:r>
      <w:r w:rsidR="00307371" w:rsidRPr="00140BF5">
        <w:rPr>
          <w:lang w:val="en-GB"/>
        </w:rPr>
        <w:t xml:space="preserve"> </w:t>
      </w:r>
      <w:r w:rsidR="00CF6936" w:rsidRPr="00140BF5">
        <w:rPr>
          <w:lang w:val="en-GB"/>
        </w:rPr>
        <w:t>mainly</w:t>
      </w:r>
      <w:r w:rsidR="00307371" w:rsidRPr="00140BF5">
        <w:rPr>
          <w:lang w:val="en-GB"/>
        </w:rPr>
        <w:t xml:space="preserve"> targeting construction</w:t>
      </w:r>
      <w:r w:rsidR="009A1867" w:rsidRPr="00140BF5">
        <w:rPr>
          <w:lang w:val="en-GB"/>
        </w:rPr>
        <w:t xml:space="preserve"> subcontractors</w:t>
      </w:r>
      <w:r w:rsidR="003D1D9F" w:rsidRPr="00140BF5">
        <w:rPr>
          <w:lang w:val="en-GB"/>
        </w:rPr>
        <w:t>, and a</w:t>
      </w:r>
      <w:r w:rsidR="00156ED6" w:rsidRPr="00140BF5">
        <w:rPr>
          <w:lang w:val="en-GB"/>
        </w:rPr>
        <w:t xml:space="preserve">round one in 20 </w:t>
      </w:r>
      <w:r w:rsidR="00307371" w:rsidRPr="00140BF5">
        <w:rPr>
          <w:lang w:val="en-GB"/>
        </w:rPr>
        <w:t xml:space="preserve">inspections </w:t>
      </w:r>
      <w:r w:rsidR="00156ED6" w:rsidRPr="00140BF5">
        <w:rPr>
          <w:lang w:val="en-GB"/>
        </w:rPr>
        <w:t>(</w:t>
      </w:r>
      <w:r w:rsidR="001864DC" w:rsidRPr="00140BF5">
        <w:rPr>
          <w:lang w:val="en-GB"/>
        </w:rPr>
        <w:t>six percent)</w:t>
      </w:r>
      <w:r w:rsidR="00156ED6" w:rsidRPr="00140BF5">
        <w:rPr>
          <w:lang w:val="en-GB"/>
        </w:rPr>
        <w:t xml:space="preserve"> identified</w:t>
      </w:r>
      <w:r w:rsidR="00307371" w:rsidRPr="00140BF5">
        <w:rPr>
          <w:lang w:val="en-GB"/>
        </w:rPr>
        <w:t xml:space="preserve"> </w:t>
      </w:r>
      <w:r w:rsidR="003D1D9F" w:rsidRPr="00140BF5">
        <w:rPr>
          <w:lang w:val="en-GB"/>
        </w:rPr>
        <w:t>minor</w:t>
      </w:r>
      <w:r w:rsidR="00307371" w:rsidRPr="00140BF5">
        <w:rPr>
          <w:lang w:val="en-GB"/>
        </w:rPr>
        <w:t xml:space="preserve"> breaches</w:t>
      </w:r>
      <w:r w:rsidR="00F2114D" w:rsidRPr="00140BF5">
        <w:rPr>
          <w:lang w:val="en-GB"/>
        </w:rPr>
        <w:t>, which reportedly were often due to misunderstandings or misinterpretation than deliberate attempts to bypass the system</w:t>
      </w:r>
      <w:r w:rsidR="006C5BC4" w:rsidRPr="00140BF5">
        <w:rPr>
          <w:lang w:val="en-GB"/>
        </w:rPr>
        <w:t>.</w:t>
      </w:r>
      <w:r w:rsidR="003D1D9F" w:rsidRPr="00140BF5">
        <w:rPr>
          <w:lang w:val="en-GB"/>
        </w:rPr>
        <w:t xml:space="preserve"> </w:t>
      </w:r>
      <w:r w:rsidR="00307371" w:rsidRPr="00140BF5">
        <w:rPr>
          <w:lang w:val="en-GB"/>
        </w:rPr>
        <w:t>In case</w:t>
      </w:r>
      <w:r w:rsidR="00027A7D" w:rsidRPr="00140BF5">
        <w:rPr>
          <w:lang w:val="en-GB"/>
        </w:rPr>
        <w:t>s</w:t>
      </w:r>
      <w:r w:rsidR="00307371" w:rsidRPr="00140BF5">
        <w:rPr>
          <w:lang w:val="en-GB"/>
        </w:rPr>
        <w:t xml:space="preserve"> of suspected non-compliance</w:t>
      </w:r>
      <w:r w:rsidR="005C3AF1" w:rsidRPr="00140BF5">
        <w:rPr>
          <w:lang w:val="en-GB"/>
        </w:rPr>
        <w:t>,</w:t>
      </w:r>
      <w:r w:rsidR="0011218C" w:rsidRPr="00140BF5">
        <w:rPr>
          <w:lang w:val="en-GB"/>
        </w:rPr>
        <w:t xml:space="preserve"> </w:t>
      </w:r>
      <w:r w:rsidR="00307371" w:rsidRPr="00140BF5">
        <w:rPr>
          <w:lang w:val="en-GB"/>
        </w:rPr>
        <w:t>the commissioning authority</w:t>
      </w:r>
      <w:r w:rsidR="00DA7E45" w:rsidRPr="00140BF5">
        <w:rPr>
          <w:lang w:val="en-GB"/>
        </w:rPr>
        <w:t xml:space="preserve"> </w:t>
      </w:r>
      <w:r w:rsidR="003D1D9F" w:rsidRPr="00140BF5">
        <w:rPr>
          <w:lang w:val="en-GB"/>
        </w:rPr>
        <w:t>has the power to</w:t>
      </w:r>
      <w:r w:rsidR="00307371" w:rsidRPr="00140BF5">
        <w:rPr>
          <w:lang w:val="en-GB"/>
        </w:rPr>
        <w:t xml:space="preserve"> impose sanctions</w:t>
      </w:r>
      <w:r w:rsidR="007079CE" w:rsidRPr="00140BF5">
        <w:rPr>
          <w:lang w:val="en-GB"/>
        </w:rPr>
        <w:t>,</w:t>
      </w:r>
      <w:r w:rsidR="00307371" w:rsidRPr="00140BF5">
        <w:rPr>
          <w:lang w:val="en-GB"/>
        </w:rPr>
        <w:t xml:space="preserve"> </w:t>
      </w:r>
      <w:r w:rsidR="003D1D9F" w:rsidRPr="00140BF5">
        <w:rPr>
          <w:lang w:val="en-GB"/>
        </w:rPr>
        <w:t>but m</w:t>
      </w:r>
      <w:r w:rsidR="00307371" w:rsidRPr="00140BF5">
        <w:rPr>
          <w:lang w:val="en-GB"/>
        </w:rPr>
        <w:t xml:space="preserve">ost cases of </w:t>
      </w:r>
      <w:r w:rsidR="0048224C" w:rsidRPr="00140BF5">
        <w:rPr>
          <w:lang w:val="en-GB"/>
        </w:rPr>
        <w:t xml:space="preserve">general </w:t>
      </w:r>
      <w:r w:rsidR="00307371" w:rsidRPr="00140BF5">
        <w:rPr>
          <w:lang w:val="en-GB"/>
        </w:rPr>
        <w:t xml:space="preserve">non-compliance are solved through </w:t>
      </w:r>
      <w:r w:rsidR="0048224C" w:rsidRPr="00140BF5">
        <w:rPr>
          <w:lang w:val="en-GB"/>
        </w:rPr>
        <w:t xml:space="preserve">negotiations between </w:t>
      </w:r>
      <w:r w:rsidR="007730EE" w:rsidRPr="00140BF5">
        <w:rPr>
          <w:lang w:val="en-GB"/>
        </w:rPr>
        <w:t>the</w:t>
      </w:r>
      <w:r w:rsidR="0048224C" w:rsidRPr="00140BF5">
        <w:rPr>
          <w:lang w:val="en-GB"/>
        </w:rPr>
        <w:t xml:space="preserve"> partners </w:t>
      </w:r>
      <w:r w:rsidR="007730EE" w:rsidRPr="00140BF5">
        <w:rPr>
          <w:lang w:val="en-GB"/>
        </w:rPr>
        <w:t>involved</w:t>
      </w:r>
      <w:r w:rsidR="0048224C" w:rsidRPr="00140BF5">
        <w:rPr>
          <w:lang w:val="en-GB"/>
        </w:rPr>
        <w:t xml:space="preserve">, and specific breaches may result in the </w:t>
      </w:r>
      <w:r w:rsidR="00307371" w:rsidRPr="00140BF5">
        <w:rPr>
          <w:lang w:val="en-GB"/>
        </w:rPr>
        <w:t>pay</w:t>
      </w:r>
      <w:r w:rsidR="0048224C" w:rsidRPr="00140BF5">
        <w:rPr>
          <w:lang w:val="en-GB"/>
        </w:rPr>
        <w:t>ment of</w:t>
      </w:r>
      <w:r w:rsidR="00307371" w:rsidRPr="00140BF5">
        <w:rPr>
          <w:lang w:val="en-GB"/>
        </w:rPr>
        <w:t xml:space="preserve"> any outstanding salaries</w:t>
      </w:r>
      <w:r w:rsidR="007730EE" w:rsidRPr="00140BF5">
        <w:rPr>
          <w:lang w:val="en-GB"/>
        </w:rPr>
        <w:t xml:space="preserve"> or remuneration (typically </w:t>
      </w:r>
      <w:r w:rsidR="00F2114D" w:rsidRPr="00140BF5">
        <w:rPr>
          <w:lang w:val="en-GB"/>
        </w:rPr>
        <w:t xml:space="preserve">overtime payments and </w:t>
      </w:r>
      <w:r w:rsidR="007730EE" w:rsidRPr="00140BF5">
        <w:rPr>
          <w:lang w:val="en-GB"/>
        </w:rPr>
        <w:t xml:space="preserve">holiday </w:t>
      </w:r>
      <w:r w:rsidR="00762B6E" w:rsidRPr="00140BF5">
        <w:rPr>
          <w:lang w:val="en-GB"/>
        </w:rPr>
        <w:t>remuneration</w:t>
      </w:r>
      <w:r w:rsidR="007730EE" w:rsidRPr="00140BF5">
        <w:rPr>
          <w:lang w:val="en-GB"/>
        </w:rPr>
        <w:t>)</w:t>
      </w:r>
      <w:r w:rsidR="00307371" w:rsidRPr="00140BF5">
        <w:rPr>
          <w:lang w:val="en-GB"/>
        </w:rPr>
        <w:t xml:space="preserve">. Only in a few instances </w:t>
      </w:r>
      <w:r w:rsidR="0048224C" w:rsidRPr="00140BF5">
        <w:rPr>
          <w:lang w:val="en-GB"/>
        </w:rPr>
        <w:t xml:space="preserve">did the municipality </w:t>
      </w:r>
      <w:r w:rsidR="00474C58" w:rsidRPr="00140BF5">
        <w:rPr>
          <w:lang w:val="en-GB"/>
        </w:rPr>
        <w:t xml:space="preserve">decide </w:t>
      </w:r>
      <w:r w:rsidR="00307371" w:rsidRPr="00140BF5">
        <w:rPr>
          <w:lang w:val="en-GB"/>
        </w:rPr>
        <w:t>to terminate or not renew contract</w:t>
      </w:r>
      <w:r w:rsidR="00474C58" w:rsidRPr="00140BF5">
        <w:rPr>
          <w:lang w:val="en-GB"/>
        </w:rPr>
        <w:t>s</w:t>
      </w:r>
      <w:r w:rsidR="0048224C" w:rsidRPr="00140BF5">
        <w:rPr>
          <w:lang w:val="en-GB"/>
        </w:rPr>
        <w:t>. In this sense, although mon</w:t>
      </w:r>
      <w:r w:rsidR="00DC56A4" w:rsidRPr="00140BF5">
        <w:rPr>
          <w:lang w:val="en-GB"/>
        </w:rPr>
        <w:t>itoring and enforcement was</w:t>
      </w:r>
      <w:r w:rsidR="0048224C" w:rsidRPr="00140BF5">
        <w:rPr>
          <w:lang w:val="en-GB"/>
        </w:rPr>
        <w:t xml:space="preserve"> a key feature of the Copenhagen case, </w:t>
      </w:r>
      <w:r w:rsidR="00762B6E" w:rsidRPr="00140BF5">
        <w:rPr>
          <w:lang w:val="en-GB"/>
        </w:rPr>
        <w:t xml:space="preserve">it can be </w:t>
      </w:r>
      <w:r w:rsidR="0048224C" w:rsidRPr="00140BF5">
        <w:rPr>
          <w:lang w:val="en-GB"/>
        </w:rPr>
        <w:t xml:space="preserve">argued that </w:t>
      </w:r>
      <w:r w:rsidR="00DC56A4" w:rsidRPr="00140BF5">
        <w:rPr>
          <w:lang w:val="en-GB"/>
        </w:rPr>
        <w:t xml:space="preserve">in </w:t>
      </w:r>
      <w:r w:rsidR="006C5BC4" w:rsidRPr="00140BF5">
        <w:rPr>
          <w:lang w:val="en-GB"/>
        </w:rPr>
        <w:t>the</w:t>
      </w:r>
      <w:r w:rsidR="00DC56A4" w:rsidRPr="00140BF5">
        <w:rPr>
          <w:lang w:val="en-GB"/>
        </w:rPr>
        <w:t xml:space="preserve"> Danish context of </w:t>
      </w:r>
      <w:r w:rsidR="007730EE" w:rsidRPr="00140BF5">
        <w:rPr>
          <w:lang w:val="en-GB"/>
        </w:rPr>
        <w:t xml:space="preserve">strong social dialogue and </w:t>
      </w:r>
      <w:r w:rsidR="00DC56A4" w:rsidRPr="00140BF5">
        <w:rPr>
          <w:lang w:val="en-GB"/>
        </w:rPr>
        <w:t xml:space="preserve">voluntarism </w:t>
      </w:r>
      <w:r w:rsidR="0048224C" w:rsidRPr="00140BF5">
        <w:rPr>
          <w:lang w:val="en-GB"/>
        </w:rPr>
        <w:t xml:space="preserve">labour clauses have a largely </w:t>
      </w:r>
      <w:r w:rsidR="0048224C" w:rsidRPr="00140BF5">
        <w:rPr>
          <w:i/>
          <w:lang w:val="en-GB"/>
        </w:rPr>
        <w:t>preventive</w:t>
      </w:r>
      <w:r w:rsidR="0048224C" w:rsidRPr="00140BF5">
        <w:rPr>
          <w:lang w:val="en-GB"/>
        </w:rPr>
        <w:t xml:space="preserve"> rather than a </w:t>
      </w:r>
      <w:r w:rsidR="0048224C" w:rsidRPr="00140BF5">
        <w:rPr>
          <w:i/>
          <w:lang w:val="en-GB"/>
        </w:rPr>
        <w:t>corrective</w:t>
      </w:r>
      <w:r w:rsidR="0048224C" w:rsidRPr="00140BF5">
        <w:rPr>
          <w:lang w:val="en-GB"/>
        </w:rPr>
        <w:t xml:space="preserve"> effect (Bådsgaard and Jørgensen, 2016).</w:t>
      </w:r>
    </w:p>
    <w:p w14:paraId="73A170F4" w14:textId="56B440D3" w:rsidR="00307371" w:rsidRPr="00140BF5" w:rsidRDefault="00807F49" w:rsidP="0011084D">
      <w:pPr>
        <w:spacing w:line="480" w:lineRule="auto"/>
        <w:jc w:val="both"/>
        <w:rPr>
          <w:i/>
          <w:lang w:val="en-GB"/>
        </w:rPr>
      </w:pPr>
      <w:r w:rsidRPr="00140BF5">
        <w:rPr>
          <w:lang w:val="en-GB"/>
        </w:rPr>
        <w:t>The way</w:t>
      </w:r>
      <w:r w:rsidR="00307371" w:rsidRPr="00140BF5">
        <w:rPr>
          <w:lang w:val="en-GB"/>
        </w:rPr>
        <w:t xml:space="preserve"> </w:t>
      </w:r>
      <w:r w:rsidR="00307371" w:rsidRPr="00140BF5">
        <w:rPr>
          <w:i/>
          <w:lang w:val="en-GB"/>
        </w:rPr>
        <w:t xml:space="preserve">Bremen </w:t>
      </w:r>
      <w:r w:rsidR="00307371" w:rsidRPr="00140BF5">
        <w:rPr>
          <w:lang w:val="en-GB"/>
        </w:rPr>
        <w:t>monitor</w:t>
      </w:r>
      <w:r w:rsidRPr="00140BF5">
        <w:rPr>
          <w:lang w:val="en-GB"/>
        </w:rPr>
        <w:t>s</w:t>
      </w:r>
      <w:r w:rsidR="00307371" w:rsidRPr="00140BF5">
        <w:rPr>
          <w:lang w:val="en-GB"/>
        </w:rPr>
        <w:t xml:space="preserve"> labour clauses share</w:t>
      </w:r>
      <w:r w:rsidRPr="00140BF5">
        <w:rPr>
          <w:lang w:val="en-GB"/>
        </w:rPr>
        <w:t>s</w:t>
      </w:r>
      <w:r w:rsidR="00307371" w:rsidRPr="00140BF5">
        <w:rPr>
          <w:lang w:val="en-GB"/>
        </w:rPr>
        <w:t xml:space="preserve"> some similarities, but also important differences to Copenhagen. </w:t>
      </w:r>
      <w:r w:rsidR="00564BB9" w:rsidRPr="00140BF5">
        <w:rPr>
          <w:lang w:val="en-GB"/>
        </w:rPr>
        <w:t>An</w:t>
      </w:r>
      <w:r w:rsidR="00307371" w:rsidRPr="00140BF5">
        <w:rPr>
          <w:lang w:val="en-GB"/>
        </w:rPr>
        <w:t xml:space="preserve"> internal inspectorate within</w:t>
      </w:r>
      <w:r w:rsidR="00073EC1" w:rsidRPr="00140BF5">
        <w:rPr>
          <w:lang w:val="en-GB"/>
        </w:rPr>
        <w:t xml:space="preserve"> </w:t>
      </w:r>
      <w:r w:rsidR="00307371" w:rsidRPr="00140BF5">
        <w:rPr>
          <w:lang w:val="en-GB"/>
        </w:rPr>
        <w:t xml:space="preserve">the </w:t>
      </w:r>
      <w:r w:rsidR="00564BB9" w:rsidRPr="00140BF5">
        <w:rPr>
          <w:lang w:val="en-GB"/>
        </w:rPr>
        <w:t xml:space="preserve">municipality’s </w:t>
      </w:r>
      <w:r w:rsidR="00307371" w:rsidRPr="00140BF5">
        <w:rPr>
          <w:lang w:val="en-GB"/>
        </w:rPr>
        <w:t xml:space="preserve">Department of Economic affairs </w:t>
      </w:r>
      <w:r w:rsidR="003D0CB7" w:rsidRPr="00140BF5">
        <w:rPr>
          <w:lang w:val="en-GB"/>
        </w:rPr>
        <w:t xml:space="preserve">selects firms </w:t>
      </w:r>
      <w:r w:rsidR="0048224C" w:rsidRPr="00140BF5">
        <w:rPr>
          <w:lang w:val="en-GB"/>
        </w:rPr>
        <w:t xml:space="preserve">for inspection </w:t>
      </w:r>
      <w:r w:rsidR="003D0CB7" w:rsidRPr="00140BF5">
        <w:rPr>
          <w:lang w:val="en-GB"/>
        </w:rPr>
        <w:t>and</w:t>
      </w:r>
      <w:r w:rsidR="00307371" w:rsidRPr="00140BF5">
        <w:rPr>
          <w:lang w:val="en-GB"/>
        </w:rPr>
        <w:t xml:space="preserve"> monitor</w:t>
      </w:r>
      <w:r w:rsidR="00564BB9" w:rsidRPr="00140BF5">
        <w:rPr>
          <w:lang w:val="en-GB"/>
        </w:rPr>
        <w:t>s</w:t>
      </w:r>
      <w:r w:rsidR="00307371" w:rsidRPr="00140BF5">
        <w:rPr>
          <w:lang w:val="en-GB"/>
        </w:rPr>
        <w:t xml:space="preserve"> the inspections, whil</w:t>
      </w:r>
      <w:r w:rsidR="001731EF" w:rsidRPr="00140BF5">
        <w:rPr>
          <w:lang w:val="en-GB"/>
        </w:rPr>
        <w:t>e</w:t>
      </w:r>
      <w:r w:rsidR="00307371" w:rsidRPr="00140BF5">
        <w:rPr>
          <w:lang w:val="en-GB"/>
        </w:rPr>
        <w:t xml:space="preserve"> the actual inspections are </w:t>
      </w:r>
      <w:r w:rsidR="007876E4" w:rsidRPr="00140BF5">
        <w:rPr>
          <w:lang w:val="en-GB"/>
        </w:rPr>
        <w:t xml:space="preserve">carried out by </w:t>
      </w:r>
      <w:r w:rsidR="006E5AA6" w:rsidRPr="00140BF5">
        <w:rPr>
          <w:lang w:val="en-GB"/>
        </w:rPr>
        <w:t>other</w:t>
      </w:r>
      <w:r w:rsidR="007876E4" w:rsidRPr="00140BF5">
        <w:rPr>
          <w:lang w:val="en-GB"/>
        </w:rPr>
        <w:t xml:space="preserve"> </w:t>
      </w:r>
      <w:r w:rsidR="00307371" w:rsidRPr="00140BF5">
        <w:rPr>
          <w:lang w:val="en-GB"/>
        </w:rPr>
        <w:t>agencies</w:t>
      </w:r>
      <w:r w:rsidR="007876E4" w:rsidRPr="00140BF5">
        <w:rPr>
          <w:lang w:val="en-GB"/>
        </w:rPr>
        <w:t xml:space="preserve"> (either law firms or a public service company</w:t>
      </w:r>
      <w:r w:rsidR="000C2286" w:rsidRPr="00140BF5">
        <w:rPr>
          <w:lang w:val="en-GB"/>
        </w:rPr>
        <w:t xml:space="preserve"> owned by the local authority</w:t>
      </w:r>
      <w:r w:rsidR="007876E4" w:rsidRPr="00140BF5">
        <w:rPr>
          <w:lang w:val="en-GB"/>
        </w:rPr>
        <w:t>)</w:t>
      </w:r>
      <w:r w:rsidR="00307371" w:rsidRPr="00140BF5">
        <w:rPr>
          <w:lang w:val="en-GB"/>
        </w:rPr>
        <w:t xml:space="preserve">. However, </w:t>
      </w:r>
      <w:r w:rsidR="000C2286" w:rsidRPr="00140BF5">
        <w:rPr>
          <w:lang w:val="en-GB"/>
        </w:rPr>
        <w:t>compared to</w:t>
      </w:r>
      <w:r w:rsidR="00307371" w:rsidRPr="00140BF5">
        <w:rPr>
          <w:lang w:val="en-GB"/>
        </w:rPr>
        <w:t xml:space="preserve"> Copenhagen, Bremen has allocated </w:t>
      </w:r>
      <w:r w:rsidR="000C2286" w:rsidRPr="00140BF5">
        <w:rPr>
          <w:lang w:val="en-GB"/>
        </w:rPr>
        <w:t xml:space="preserve">very few </w:t>
      </w:r>
      <w:r w:rsidR="00307371" w:rsidRPr="00140BF5">
        <w:rPr>
          <w:lang w:val="en-GB"/>
        </w:rPr>
        <w:t xml:space="preserve">specific </w:t>
      </w:r>
      <w:r w:rsidR="006E5AA6" w:rsidRPr="00140BF5">
        <w:rPr>
          <w:lang w:val="en-GB"/>
        </w:rPr>
        <w:t xml:space="preserve">additional </w:t>
      </w:r>
      <w:r w:rsidR="00307371" w:rsidRPr="00140BF5">
        <w:rPr>
          <w:lang w:val="en-GB"/>
        </w:rPr>
        <w:t xml:space="preserve">administrative resources for monitoring the inspections </w:t>
      </w:r>
      <w:r w:rsidR="006E5AA6" w:rsidRPr="00140BF5">
        <w:rPr>
          <w:lang w:val="en-GB"/>
        </w:rPr>
        <w:t xml:space="preserve">which </w:t>
      </w:r>
      <w:r w:rsidR="00307371" w:rsidRPr="00140BF5">
        <w:rPr>
          <w:lang w:val="en-GB"/>
        </w:rPr>
        <w:t xml:space="preserve">are often conducted by </w:t>
      </w:r>
      <w:r w:rsidR="006E5AA6" w:rsidRPr="00140BF5">
        <w:rPr>
          <w:lang w:val="en-GB"/>
        </w:rPr>
        <w:t xml:space="preserve">just one employee </w:t>
      </w:r>
      <w:r w:rsidR="000C2286" w:rsidRPr="00140BF5">
        <w:rPr>
          <w:lang w:val="en-GB"/>
        </w:rPr>
        <w:t xml:space="preserve">of the public service </w:t>
      </w:r>
      <w:r w:rsidR="000C2286" w:rsidRPr="00140BF5">
        <w:rPr>
          <w:lang w:val="en-GB"/>
        </w:rPr>
        <w:lastRenderedPageBreak/>
        <w:t xml:space="preserve">company </w:t>
      </w:r>
      <w:r w:rsidR="00307371" w:rsidRPr="00140BF5">
        <w:rPr>
          <w:lang w:val="en-GB"/>
        </w:rPr>
        <w:t>within</w:t>
      </w:r>
      <w:r w:rsidR="00DA7E45" w:rsidRPr="00140BF5">
        <w:rPr>
          <w:lang w:val="en-GB"/>
        </w:rPr>
        <w:t xml:space="preserve"> a rather restricted time frame</w:t>
      </w:r>
      <w:r w:rsidR="00307371" w:rsidRPr="00140BF5">
        <w:rPr>
          <w:lang w:val="en-GB"/>
        </w:rPr>
        <w:t xml:space="preserve">. </w:t>
      </w:r>
      <w:r w:rsidR="004E07EA" w:rsidRPr="00140BF5">
        <w:rPr>
          <w:lang w:val="en-GB"/>
        </w:rPr>
        <w:t>It seems that</w:t>
      </w:r>
      <w:r w:rsidR="00307371" w:rsidRPr="00140BF5">
        <w:rPr>
          <w:lang w:val="en-GB"/>
        </w:rPr>
        <w:t xml:space="preserve"> the lack of adequate financial and administrative resources for monitoring the labour clauses in Bremen create</w:t>
      </w:r>
      <w:r w:rsidR="004E07EA" w:rsidRPr="00140BF5">
        <w:rPr>
          <w:lang w:val="en-GB"/>
        </w:rPr>
        <w:t>s</w:t>
      </w:r>
      <w:r w:rsidR="00307371" w:rsidRPr="00140BF5">
        <w:rPr>
          <w:lang w:val="en-GB"/>
        </w:rPr>
        <w:t xml:space="preserve"> discrepancies between the objectives of the labour clauses and their enforcement, </w:t>
      </w:r>
      <w:r w:rsidR="004E07EA" w:rsidRPr="00140BF5">
        <w:rPr>
          <w:lang w:val="en-GB"/>
        </w:rPr>
        <w:t>such that</w:t>
      </w:r>
      <w:r w:rsidR="00307371" w:rsidRPr="00140BF5">
        <w:rPr>
          <w:lang w:val="en-GB"/>
        </w:rPr>
        <w:t xml:space="preserve"> the labour clauses risk being merely a policy document of intent rather than an effective tool to combat precarious employment. </w:t>
      </w:r>
      <w:r w:rsidR="006E5AA6" w:rsidRPr="00140BF5">
        <w:rPr>
          <w:lang w:val="en-GB"/>
        </w:rPr>
        <w:t>Between 201</w:t>
      </w:r>
      <w:r w:rsidR="00C15A1B" w:rsidRPr="00140BF5">
        <w:rPr>
          <w:lang w:val="en-GB"/>
        </w:rPr>
        <w:t>3</w:t>
      </w:r>
      <w:r w:rsidR="006E5AA6" w:rsidRPr="00140BF5">
        <w:rPr>
          <w:lang w:val="en-GB"/>
        </w:rPr>
        <w:t xml:space="preserve"> and 201</w:t>
      </w:r>
      <w:r w:rsidR="00C15A1B" w:rsidRPr="00140BF5">
        <w:rPr>
          <w:lang w:val="en-GB"/>
        </w:rPr>
        <w:t>5</w:t>
      </w:r>
      <w:r w:rsidR="006E5AA6" w:rsidRPr="00140BF5">
        <w:rPr>
          <w:lang w:val="en-GB"/>
        </w:rPr>
        <w:t xml:space="preserve"> </w:t>
      </w:r>
      <w:r w:rsidR="00DA218A" w:rsidRPr="00140BF5">
        <w:rPr>
          <w:lang w:val="en-GB"/>
        </w:rPr>
        <w:t>116 inspections were carried out and sanctions imposed in 19 cases</w:t>
      </w:r>
      <w:r w:rsidR="00FC4339" w:rsidRPr="00140BF5">
        <w:rPr>
          <w:lang w:val="en-GB"/>
        </w:rPr>
        <w:t xml:space="preserve">. </w:t>
      </w:r>
      <w:r w:rsidR="00DA218A" w:rsidRPr="00140BF5">
        <w:rPr>
          <w:lang w:val="en-GB"/>
        </w:rPr>
        <w:t xml:space="preserve"> </w:t>
      </w:r>
      <w:r w:rsidR="00307371" w:rsidRPr="00140BF5">
        <w:rPr>
          <w:lang w:val="en-GB"/>
        </w:rPr>
        <w:t xml:space="preserve">In </w:t>
      </w:r>
      <w:r w:rsidR="00FC4339" w:rsidRPr="00140BF5">
        <w:rPr>
          <w:lang w:val="en-GB"/>
        </w:rPr>
        <w:t xml:space="preserve">most cases, sanctions included penalties of less than €10.000, and the companies were excluded from public tenders for a period of between </w:t>
      </w:r>
      <w:r w:rsidR="001864DC" w:rsidRPr="00140BF5">
        <w:rPr>
          <w:lang w:val="en-GB"/>
        </w:rPr>
        <w:t>six</w:t>
      </w:r>
      <w:r w:rsidR="00FC4339" w:rsidRPr="00140BF5">
        <w:rPr>
          <w:lang w:val="en-GB"/>
        </w:rPr>
        <w:t xml:space="preserve"> and 15 months. </w:t>
      </w:r>
      <w:r w:rsidR="006E5AA6" w:rsidRPr="00140BF5">
        <w:rPr>
          <w:lang w:val="en-GB"/>
        </w:rPr>
        <w:t>In contrast to Copenhagen, b</w:t>
      </w:r>
      <w:r w:rsidR="003201DF" w:rsidRPr="00140BF5">
        <w:rPr>
          <w:lang w:val="en-GB"/>
        </w:rPr>
        <w:t>o</w:t>
      </w:r>
      <w:r w:rsidR="00A8700D" w:rsidRPr="00140BF5">
        <w:rPr>
          <w:lang w:val="en-GB"/>
        </w:rPr>
        <w:t xml:space="preserve">th </w:t>
      </w:r>
      <w:r w:rsidR="00C47CFD" w:rsidRPr="00140BF5">
        <w:rPr>
          <w:lang w:val="en-GB"/>
        </w:rPr>
        <w:t>the unions</w:t>
      </w:r>
      <w:r w:rsidR="003208C1" w:rsidRPr="00140BF5">
        <w:rPr>
          <w:lang w:val="en-GB"/>
        </w:rPr>
        <w:t>’</w:t>
      </w:r>
      <w:r w:rsidR="00C47CFD" w:rsidRPr="00140BF5">
        <w:rPr>
          <w:lang w:val="en-GB"/>
        </w:rPr>
        <w:t xml:space="preserve"> </w:t>
      </w:r>
      <w:r w:rsidR="00A8700D" w:rsidRPr="00140BF5">
        <w:rPr>
          <w:lang w:val="en-GB"/>
        </w:rPr>
        <w:t>and employer</w:t>
      </w:r>
      <w:r w:rsidR="006E5AA6" w:rsidRPr="00140BF5">
        <w:rPr>
          <w:lang w:val="en-GB"/>
        </w:rPr>
        <w:t>s’</w:t>
      </w:r>
      <w:r w:rsidR="00A8700D" w:rsidRPr="00140BF5">
        <w:rPr>
          <w:lang w:val="en-GB"/>
        </w:rPr>
        <w:t xml:space="preserve"> representatives </w:t>
      </w:r>
      <w:r w:rsidR="00C47CFD" w:rsidRPr="00140BF5">
        <w:rPr>
          <w:lang w:val="en-GB"/>
        </w:rPr>
        <w:t xml:space="preserve">were sceptical </w:t>
      </w:r>
      <w:r w:rsidR="00564BB9" w:rsidRPr="00140BF5">
        <w:rPr>
          <w:lang w:val="en-GB"/>
        </w:rPr>
        <w:t xml:space="preserve">of </w:t>
      </w:r>
      <w:r w:rsidR="00C15A1B" w:rsidRPr="00140BF5">
        <w:rPr>
          <w:lang w:val="en-GB"/>
        </w:rPr>
        <w:t xml:space="preserve">strong </w:t>
      </w:r>
      <w:r w:rsidR="00564BB9" w:rsidRPr="00140BF5">
        <w:rPr>
          <w:lang w:val="en-GB"/>
        </w:rPr>
        <w:t>prevent</w:t>
      </w:r>
      <w:r w:rsidR="006E5AA6" w:rsidRPr="00140BF5">
        <w:rPr>
          <w:lang w:val="en-GB"/>
        </w:rPr>
        <w:t>at</w:t>
      </w:r>
      <w:r w:rsidR="00564BB9" w:rsidRPr="00140BF5">
        <w:rPr>
          <w:lang w:val="en-GB"/>
        </w:rPr>
        <w:t>ive effects</w:t>
      </w:r>
      <w:r w:rsidR="006E5AA6" w:rsidRPr="00140BF5">
        <w:rPr>
          <w:lang w:val="en-GB"/>
        </w:rPr>
        <w:t xml:space="preserve"> of </w:t>
      </w:r>
      <w:r w:rsidR="00C15A1B" w:rsidRPr="00140BF5">
        <w:rPr>
          <w:lang w:val="en-GB"/>
        </w:rPr>
        <w:t>labour clauses</w:t>
      </w:r>
      <w:r w:rsidR="00564BB9" w:rsidRPr="00140BF5">
        <w:rPr>
          <w:lang w:val="en-GB"/>
        </w:rPr>
        <w:t>,</w:t>
      </w:r>
      <w:r w:rsidR="00C47CFD" w:rsidRPr="00140BF5">
        <w:rPr>
          <w:lang w:val="en-GB"/>
        </w:rPr>
        <w:t xml:space="preserve"> owing to the</w:t>
      </w:r>
      <w:r w:rsidR="005824B7" w:rsidRPr="00140BF5">
        <w:rPr>
          <w:lang w:val="en-GB"/>
        </w:rPr>
        <w:t xml:space="preserve"> </w:t>
      </w:r>
      <w:r w:rsidR="00C47CFD" w:rsidRPr="00140BF5">
        <w:rPr>
          <w:lang w:val="en-GB"/>
        </w:rPr>
        <w:t xml:space="preserve">lack of additional funds allocated to </w:t>
      </w:r>
      <w:r w:rsidR="00073EC1" w:rsidRPr="00140BF5">
        <w:rPr>
          <w:lang w:val="en-GB"/>
        </w:rPr>
        <w:t xml:space="preserve">public </w:t>
      </w:r>
      <w:r w:rsidR="00C47CFD" w:rsidRPr="00140BF5">
        <w:rPr>
          <w:lang w:val="en-GB"/>
        </w:rPr>
        <w:t xml:space="preserve">contracts. The unions also criticised the limited resources allocated for inspections, and called for a shorter time period for private </w:t>
      </w:r>
      <w:r w:rsidR="006E5AA6" w:rsidRPr="00140BF5">
        <w:rPr>
          <w:lang w:val="en-GB"/>
        </w:rPr>
        <w:t xml:space="preserve">sector </w:t>
      </w:r>
      <w:r w:rsidR="003208C1" w:rsidRPr="00140BF5">
        <w:rPr>
          <w:lang w:val="en-GB"/>
        </w:rPr>
        <w:t>sub</w:t>
      </w:r>
      <w:r w:rsidR="00C47CFD" w:rsidRPr="00140BF5">
        <w:rPr>
          <w:lang w:val="en-GB"/>
        </w:rPr>
        <w:t xml:space="preserve">contractors to deliver </w:t>
      </w:r>
      <w:r w:rsidR="003208C1" w:rsidRPr="00140BF5">
        <w:rPr>
          <w:lang w:val="en-GB"/>
        </w:rPr>
        <w:t xml:space="preserve">the </w:t>
      </w:r>
      <w:r w:rsidR="00C47CFD" w:rsidRPr="00140BF5">
        <w:rPr>
          <w:lang w:val="en-GB"/>
        </w:rPr>
        <w:t xml:space="preserve">requested documentation in case of non-compliance to reduce fraud with payslips.  </w:t>
      </w:r>
    </w:p>
    <w:p w14:paraId="137736E1" w14:textId="63B20EA5" w:rsidR="002A1E74" w:rsidRPr="00140BF5" w:rsidRDefault="00307371" w:rsidP="0011084D">
      <w:pPr>
        <w:spacing w:before="60" w:line="480" w:lineRule="auto"/>
        <w:jc w:val="both"/>
        <w:rPr>
          <w:lang w:val="en-GB"/>
        </w:rPr>
      </w:pPr>
      <w:r w:rsidRPr="00140BF5">
        <w:rPr>
          <w:lang w:val="en-GB"/>
        </w:rPr>
        <w:t xml:space="preserve">In </w:t>
      </w:r>
      <w:r w:rsidRPr="00140BF5">
        <w:rPr>
          <w:i/>
          <w:lang w:val="en-GB"/>
        </w:rPr>
        <w:t>Leeds</w:t>
      </w:r>
      <w:r w:rsidRPr="00140BF5">
        <w:rPr>
          <w:lang w:val="en-GB"/>
        </w:rPr>
        <w:t xml:space="preserve">, the local authority has pursued a somewhat different enforcement approach. </w:t>
      </w:r>
      <w:r w:rsidR="00E732D0" w:rsidRPr="00140BF5">
        <w:rPr>
          <w:lang w:val="en-GB"/>
        </w:rPr>
        <w:t>U</w:t>
      </w:r>
      <w:r w:rsidRPr="00140BF5">
        <w:rPr>
          <w:lang w:val="en-GB"/>
        </w:rPr>
        <w:t xml:space="preserve">nlike Copenhagen and Bremen, </w:t>
      </w:r>
      <w:r w:rsidR="002A1E74" w:rsidRPr="00140BF5">
        <w:rPr>
          <w:lang w:val="en-GB"/>
        </w:rPr>
        <w:t xml:space="preserve">the </w:t>
      </w:r>
      <w:r w:rsidR="002D154D" w:rsidRPr="00140BF5">
        <w:rPr>
          <w:lang w:val="en-GB"/>
        </w:rPr>
        <w:t xml:space="preserve">Leeds </w:t>
      </w:r>
      <w:r w:rsidR="002A1E74" w:rsidRPr="00140BF5">
        <w:rPr>
          <w:lang w:val="en-GB"/>
        </w:rPr>
        <w:t>council</w:t>
      </w:r>
      <w:r w:rsidR="00DA7E45" w:rsidRPr="00140BF5">
        <w:rPr>
          <w:lang w:val="en-GB"/>
        </w:rPr>
        <w:t xml:space="preserve"> </w:t>
      </w:r>
      <w:r w:rsidRPr="00140BF5">
        <w:rPr>
          <w:lang w:val="en-GB"/>
        </w:rPr>
        <w:t xml:space="preserve">opted for </w:t>
      </w:r>
      <w:r w:rsidR="002A1E74" w:rsidRPr="00140BF5">
        <w:rPr>
          <w:lang w:val="en-GB"/>
        </w:rPr>
        <w:t>a ‘</w:t>
      </w:r>
      <w:r w:rsidRPr="00140BF5">
        <w:rPr>
          <w:lang w:val="en-GB"/>
        </w:rPr>
        <w:t>price-fixing</w:t>
      </w:r>
      <w:r w:rsidR="002A1E74" w:rsidRPr="00140BF5">
        <w:rPr>
          <w:lang w:val="en-GB"/>
        </w:rPr>
        <w:t>’</w:t>
      </w:r>
      <w:r w:rsidRPr="00140BF5">
        <w:rPr>
          <w:lang w:val="en-GB"/>
        </w:rPr>
        <w:t xml:space="preserve"> </w:t>
      </w:r>
      <w:r w:rsidR="002A1E74" w:rsidRPr="00140BF5">
        <w:rPr>
          <w:lang w:val="en-GB"/>
        </w:rPr>
        <w:t xml:space="preserve">approach to ensure </w:t>
      </w:r>
      <w:r w:rsidR="00781626" w:rsidRPr="00140BF5">
        <w:rPr>
          <w:lang w:val="en-GB"/>
        </w:rPr>
        <w:t xml:space="preserve">that </w:t>
      </w:r>
      <w:r w:rsidR="002A1E74" w:rsidRPr="00140BF5">
        <w:rPr>
          <w:lang w:val="en-GB"/>
        </w:rPr>
        <w:t>contract values reflect</w:t>
      </w:r>
      <w:r w:rsidR="009369F8" w:rsidRPr="00140BF5">
        <w:rPr>
          <w:lang w:val="en-GB"/>
        </w:rPr>
        <w:t>ed</w:t>
      </w:r>
      <w:r w:rsidR="002A1E74" w:rsidRPr="00140BF5">
        <w:rPr>
          <w:lang w:val="en-GB"/>
        </w:rPr>
        <w:t xml:space="preserve"> the true costs of </w:t>
      </w:r>
      <w:r w:rsidR="002207DA" w:rsidRPr="00140BF5">
        <w:rPr>
          <w:lang w:val="en-GB"/>
        </w:rPr>
        <w:t xml:space="preserve">service </w:t>
      </w:r>
      <w:r w:rsidR="002A1E74" w:rsidRPr="00140BF5">
        <w:rPr>
          <w:lang w:val="en-GB"/>
        </w:rPr>
        <w:t>provision</w:t>
      </w:r>
      <w:r w:rsidR="009369F8" w:rsidRPr="00140BF5">
        <w:rPr>
          <w:lang w:val="en-GB"/>
        </w:rPr>
        <w:t xml:space="preserve"> (of which labour costs were the largest component)</w:t>
      </w:r>
      <w:r w:rsidR="005B6C98" w:rsidRPr="00140BF5">
        <w:rPr>
          <w:lang w:val="en-GB"/>
        </w:rPr>
        <w:t>, instead of merely mandating wage</w:t>
      </w:r>
      <w:r w:rsidR="009369F8" w:rsidRPr="00140BF5">
        <w:rPr>
          <w:lang w:val="en-GB"/>
        </w:rPr>
        <w:t xml:space="preserve"> levels to be met out of existing resources allocation</w:t>
      </w:r>
      <w:r w:rsidR="00474C58" w:rsidRPr="00140BF5">
        <w:rPr>
          <w:lang w:val="en-GB"/>
        </w:rPr>
        <w:t>.</w:t>
      </w:r>
      <w:r w:rsidR="005B6C98" w:rsidRPr="00140BF5">
        <w:rPr>
          <w:lang w:val="en-GB"/>
        </w:rPr>
        <w:t xml:space="preserve">  </w:t>
      </w:r>
      <w:r w:rsidRPr="00140BF5">
        <w:rPr>
          <w:lang w:val="en-GB"/>
        </w:rPr>
        <w:t xml:space="preserve">. </w:t>
      </w:r>
      <w:r w:rsidR="002A1E74" w:rsidRPr="00140BF5">
        <w:rPr>
          <w:lang w:val="en-GB"/>
        </w:rPr>
        <w:t xml:space="preserve">The introduction of more resources for the contracts themselves was expected to encourage the market to ‘self-regulate’: providers would have </w:t>
      </w:r>
      <w:r w:rsidR="00B172EA" w:rsidRPr="00140BF5">
        <w:rPr>
          <w:lang w:val="en-GB"/>
        </w:rPr>
        <w:t>fewer incentives to</w:t>
      </w:r>
      <w:r w:rsidR="002A1E74" w:rsidRPr="00140BF5">
        <w:rPr>
          <w:lang w:val="en-GB"/>
        </w:rPr>
        <w:t xml:space="preserve"> evade the rules and undercut on labour costs. </w:t>
      </w:r>
      <w:r w:rsidR="00DA546E" w:rsidRPr="00140BF5">
        <w:rPr>
          <w:lang w:val="en-GB"/>
        </w:rPr>
        <w:t>The problem</w:t>
      </w:r>
      <w:r w:rsidR="002061E3" w:rsidRPr="00140BF5">
        <w:rPr>
          <w:lang w:val="en-GB"/>
        </w:rPr>
        <w:t>, however,</w:t>
      </w:r>
      <w:r w:rsidR="00DA546E" w:rsidRPr="00140BF5">
        <w:rPr>
          <w:lang w:val="en-GB"/>
        </w:rPr>
        <w:t xml:space="preserve"> is that by reducing the number of providers from fifty to four the </w:t>
      </w:r>
      <w:r w:rsidR="002061E3" w:rsidRPr="00140BF5">
        <w:rPr>
          <w:lang w:val="en-GB"/>
        </w:rPr>
        <w:t>municipality</w:t>
      </w:r>
      <w:r w:rsidR="00DA546E" w:rsidRPr="00140BF5">
        <w:rPr>
          <w:lang w:val="en-GB"/>
        </w:rPr>
        <w:t xml:space="preserve"> </w:t>
      </w:r>
      <w:r w:rsidR="00B172EA" w:rsidRPr="00140BF5">
        <w:rPr>
          <w:lang w:val="en-GB"/>
        </w:rPr>
        <w:t>now</w:t>
      </w:r>
      <w:r w:rsidR="00DA546E" w:rsidRPr="00140BF5">
        <w:rPr>
          <w:lang w:val="en-GB"/>
        </w:rPr>
        <w:t xml:space="preserve"> ha</w:t>
      </w:r>
      <w:r w:rsidR="00B172EA" w:rsidRPr="00140BF5">
        <w:rPr>
          <w:lang w:val="en-GB"/>
        </w:rPr>
        <w:t>s</w:t>
      </w:r>
      <w:r w:rsidR="00DA546E" w:rsidRPr="00140BF5">
        <w:rPr>
          <w:lang w:val="en-GB"/>
        </w:rPr>
        <w:t xml:space="preserve"> </w:t>
      </w:r>
      <w:r w:rsidR="00B172EA" w:rsidRPr="00140BF5">
        <w:rPr>
          <w:lang w:val="en-GB"/>
        </w:rPr>
        <w:t xml:space="preserve">fewer </w:t>
      </w:r>
      <w:r w:rsidR="00DA546E" w:rsidRPr="00140BF5">
        <w:rPr>
          <w:lang w:val="en-GB"/>
        </w:rPr>
        <w:t xml:space="preserve">options </w:t>
      </w:r>
      <w:r w:rsidR="00B172EA" w:rsidRPr="00140BF5">
        <w:rPr>
          <w:lang w:val="en-GB"/>
        </w:rPr>
        <w:t>for alternative provision in the event that there was evidence of</w:t>
      </w:r>
      <w:r w:rsidR="00DA546E" w:rsidRPr="00140BF5">
        <w:rPr>
          <w:lang w:val="en-GB"/>
        </w:rPr>
        <w:t xml:space="preserve"> substandard provision. </w:t>
      </w:r>
      <w:r w:rsidRPr="00140BF5">
        <w:rPr>
          <w:lang w:val="en-GB"/>
        </w:rPr>
        <w:t>Leeds</w:t>
      </w:r>
      <w:r w:rsidR="00DA7E45" w:rsidRPr="00140BF5">
        <w:rPr>
          <w:lang w:val="en-GB"/>
        </w:rPr>
        <w:t xml:space="preserve"> </w:t>
      </w:r>
      <w:r w:rsidR="002061E3" w:rsidRPr="00140BF5">
        <w:rPr>
          <w:lang w:val="en-GB"/>
        </w:rPr>
        <w:t xml:space="preserve">retained </w:t>
      </w:r>
      <w:r w:rsidRPr="00140BF5">
        <w:rPr>
          <w:lang w:val="en-GB"/>
        </w:rPr>
        <w:t>the monitoring and enforcement of the labour clauses in</w:t>
      </w:r>
      <w:r w:rsidR="00564BB9" w:rsidRPr="00140BF5">
        <w:rPr>
          <w:lang w:val="en-GB"/>
        </w:rPr>
        <w:t>-</w:t>
      </w:r>
      <w:r w:rsidRPr="00140BF5">
        <w:rPr>
          <w:lang w:val="en-GB"/>
        </w:rPr>
        <w:t>house</w:t>
      </w:r>
      <w:r w:rsidR="00564BB9" w:rsidRPr="00140BF5">
        <w:rPr>
          <w:lang w:val="en-GB"/>
        </w:rPr>
        <w:t>, but</w:t>
      </w:r>
      <w:r w:rsidRPr="00140BF5">
        <w:rPr>
          <w:lang w:val="en-GB"/>
        </w:rPr>
        <w:t xml:space="preserve"> unlike Bremen and Copenha</w:t>
      </w:r>
      <w:r w:rsidR="002A1E74" w:rsidRPr="00140BF5">
        <w:rPr>
          <w:lang w:val="en-GB"/>
        </w:rPr>
        <w:t>gen</w:t>
      </w:r>
      <w:r w:rsidRPr="00140BF5">
        <w:rPr>
          <w:lang w:val="en-GB"/>
        </w:rPr>
        <w:t xml:space="preserve"> ha</w:t>
      </w:r>
      <w:r w:rsidR="002061E3" w:rsidRPr="00140BF5">
        <w:rPr>
          <w:lang w:val="en-GB"/>
        </w:rPr>
        <w:t>d</w:t>
      </w:r>
      <w:r w:rsidRPr="00140BF5">
        <w:rPr>
          <w:lang w:val="en-GB"/>
        </w:rPr>
        <w:t xml:space="preserve"> no specific budget or administrative resources to inspect </w:t>
      </w:r>
      <w:r w:rsidR="002061E3" w:rsidRPr="00140BF5">
        <w:rPr>
          <w:lang w:val="en-GB"/>
        </w:rPr>
        <w:t>sub</w:t>
      </w:r>
      <w:r w:rsidRPr="00140BF5">
        <w:rPr>
          <w:lang w:val="en-GB"/>
        </w:rPr>
        <w:t>contractors</w:t>
      </w:r>
      <w:r w:rsidR="002A1E74" w:rsidRPr="00140BF5">
        <w:rPr>
          <w:lang w:val="en-GB"/>
        </w:rPr>
        <w:t xml:space="preserve">’ wages and working conditions. </w:t>
      </w:r>
      <w:r w:rsidR="004C5C85" w:rsidRPr="00140BF5">
        <w:rPr>
          <w:lang w:val="en-GB"/>
        </w:rPr>
        <w:t>A</w:t>
      </w:r>
      <w:r w:rsidR="00DA7E45" w:rsidRPr="00140BF5">
        <w:rPr>
          <w:lang w:val="en-GB"/>
        </w:rPr>
        <w:t xml:space="preserve">lthough </w:t>
      </w:r>
      <w:r w:rsidR="00B6606A" w:rsidRPr="00140BF5">
        <w:rPr>
          <w:lang w:val="en-GB"/>
        </w:rPr>
        <w:t>procurement managers</w:t>
      </w:r>
      <w:r w:rsidRPr="00140BF5">
        <w:rPr>
          <w:lang w:val="en-GB"/>
        </w:rPr>
        <w:t xml:space="preserve"> </w:t>
      </w:r>
      <w:r w:rsidR="00DA7E45" w:rsidRPr="00140BF5">
        <w:rPr>
          <w:lang w:val="en-GB"/>
        </w:rPr>
        <w:t xml:space="preserve">were keen to promote compliance with the higher standards, this was handled through </w:t>
      </w:r>
      <w:r w:rsidR="00B172EA" w:rsidRPr="00140BF5">
        <w:rPr>
          <w:lang w:val="en-GB"/>
        </w:rPr>
        <w:t xml:space="preserve">‘soft’ regulation in the form of </w:t>
      </w:r>
      <w:r w:rsidR="004C5C85" w:rsidRPr="00140BF5">
        <w:rPr>
          <w:lang w:val="en-GB"/>
        </w:rPr>
        <w:t xml:space="preserve">regular </w:t>
      </w:r>
      <w:r w:rsidR="00DA7E45" w:rsidRPr="00140BF5">
        <w:rPr>
          <w:lang w:val="en-GB"/>
        </w:rPr>
        <w:t>meetings with providers rather than</w:t>
      </w:r>
      <w:r w:rsidR="00B172EA" w:rsidRPr="00140BF5">
        <w:rPr>
          <w:lang w:val="en-GB"/>
        </w:rPr>
        <w:t xml:space="preserve"> ‘hard’ regulation through</w:t>
      </w:r>
      <w:r w:rsidR="00DA7E45" w:rsidRPr="00140BF5">
        <w:rPr>
          <w:lang w:val="en-GB"/>
        </w:rPr>
        <w:t xml:space="preserve"> inspection and audit. </w:t>
      </w:r>
      <w:r w:rsidRPr="00140BF5">
        <w:rPr>
          <w:lang w:val="en-GB"/>
        </w:rPr>
        <w:t xml:space="preserve"> </w:t>
      </w:r>
      <w:r w:rsidR="00807F49" w:rsidRPr="00140BF5">
        <w:rPr>
          <w:lang w:val="en-GB"/>
        </w:rPr>
        <w:t xml:space="preserve">Furthermore, although the local union official was hopeful that the </w:t>
      </w:r>
      <w:r w:rsidR="002061E3" w:rsidRPr="00140BF5">
        <w:rPr>
          <w:lang w:val="en-GB"/>
        </w:rPr>
        <w:t>labour clause</w:t>
      </w:r>
      <w:r w:rsidR="00D27A22" w:rsidRPr="00140BF5">
        <w:rPr>
          <w:lang w:val="en-GB"/>
        </w:rPr>
        <w:t>s</w:t>
      </w:r>
      <w:r w:rsidR="002061E3" w:rsidRPr="00140BF5">
        <w:rPr>
          <w:lang w:val="en-GB"/>
        </w:rPr>
        <w:t xml:space="preserve"> </w:t>
      </w:r>
      <w:r w:rsidR="00807F49" w:rsidRPr="00140BF5">
        <w:rPr>
          <w:lang w:val="en-GB"/>
        </w:rPr>
        <w:t>would facilitate</w:t>
      </w:r>
      <w:r w:rsidR="004C5C85" w:rsidRPr="00140BF5">
        <w:rPr>
          <w:lang w:val="en-GB"/>
        </w:rPr>
        <w:t xml:space="preserve"> the</w:t>
      </w:r>
      <w:r w:rsidR="00807F49" w:rsidRPr="00140BF5">
        <w:rPr>
          <w:lang w:val="en-GB"/>
        </w:rPr>
        <w:t xml:space="preserve"> </w:t>
      </w:r>
      <w:r w:rsidR="00B6606A" w:rsidRPr="00140BF5">
        <w:rPr>
          <w:lang w:val="en-GB"/>
        </w:rPr>
        <w:lastRenderedPageBreak/>
        <w:t xml:space="preserve">collective </w:t>
      </w:r>
      <w:r w:rsidR="00215C83" w:rsidRPr="00140BF5">
        <w:rPr>
          <w:lang w:val="en-GB"/>
        </w:rPr>
        <w:t>organisation</w:t>
      </w:r>
      <w:r w:rsidR="002061E3" w:rsidRPr="00140BF5">
        <w:rPr>
          <w:lang w:val="en-GB"/>
        </w:rPr>
        <w:t xml:space="preserve"> of subcontracted workers,</w:t>
      </w:r>
      <w:r w:rsidR="00807F49" w:rsidRPr="00140BF5">
        <w:rPr>
          <w:lang w:val="en-GB"/>
        </w:rPr>
        <w:t xml:space="preserve"> </w:t>
      </w:r>
      <w:r w:rsidR="004C5C85" w:rsidRPr="00140BF5">
        <w:rPr>
          <w:lang w:val="en-GB"/>
        </w:rPr>
        <w:t>a</w:t>
      </w:r>
      <w:r w:rsidR="00807F49" w:rsidRPr="00140BF5">
        <w:rPr>
          <w:lang w:val="en-GB"/>
        </w:rPr>
        <w:t xml:space="preserve"> lack of </w:t>
      </w:r>
      <w:r w:rsidR="004C5C85" w:rsidRPr="00140BF5">
        <w:rPr>
          <w:lang w:val="en-GB"/>
        </w:rPr>
        <w:t xml:space="preserve">progress on </w:t>
      </w:r>
      <w:r w:rsidR="00807F49" w:rsidRPr="00140BF5">
        <w:rPr>
          <w:lang w:val="en-GB"/>
        </w:rPr>
        <w:t>formal union recognition</w:t>
      </w:r>
      <w:r w:rsidR="00215C83" w:rsidRPr="00140BF5">
        <w:rPr>
          <w:lang w:val="en-GB"/>
        </w:rPr>
        <w:t xml:space="preserve"> with private </w:t>
      </w:r>
      <w:r w:rsidR="00B6606A" w:rsidRPr="00140BF5">
        <w:rPr>
          <w:lang w:val="en-GB"/>
        </w:rPr>
        <w:t xml:space="preserve">subcontractors </w:t>
      </w:r>
      <w:r w:rsidR="00807F49" w:rsidRPr="00140BF5">
        <w:rPr>
          <w:lang w:val="en-GB"/>
        </w:rPr>
        <w:t>meant that labour clauses had not translated into voluntarist mechanisms of wage setting</w:t>
      </w:r>
      <w:r w:rsidR="00B172EA" w:rsidRPr="00140BF5">
        <w:rPr>
          <w:lang w:val="en-GB"/>
        </w:rPr>
        <w:t xml:space="preserve"> which went beyond just the Leeds care contract.</w:t>
      </w:r>
      <w:r w:rsidR="003F0105" w:rsidRPr="00140BF5">
        <w:rPr>
          <w:lang w:val="en-GB"/>
        </w:rPr>
        <w:t xml:space="preserve"> </w:t>
      </w:r>
    </w:p>
    <w:p w14:paraId="5F81217D" w14:textId="77777777" w:rsidR="00F73F79" w:rsidRPr="00140BF5" w:rsidRDefault="00F73F79" w:rsidP="0011084D">
      <w:pPr>
        <w:spacing w:before="60" w:after="60" w:line="480" w:lineRule="auto"/>
        <w:jc w:val="both"/>
        <w:rPr>
          <w:lang w:val="en-GB"/>
        </w:rPr>
      </w:pPr>
    </w:p>
    <w:p w14:paraId="77EEAABF" w14:textId="77777777" w:rsidR="006F1119" w:rsidRPr="00140BF5" w:rsidRDefault="002D0202" w:rsidP="0011084D">
      <w:pPr>
        <w:spacing w:before="60" w:after="60" w:line="480" w:lineRule="auto"/>
        <w:jc w:val="both"/>
        <w:rPr>
          <w:b/>
          <w:lang w:val="en-GB"/>
        </w:rPr>
      </w:pPr>
      <w:r w:rsidRPr="00140BF5">
        <w:rPr>
          <w:b/>
          <w:lang w:val="en-GB"/>
        </w:rPr>
        <w:t xml:space="preserve">Discussion </w:t>
      </w:r>
      <w:r w:rsidR="00467E59" w:rsidRPr="00140BF5">
        <w:rPr>
          <w:b/>
          <w:lang w:val="en-GB"/>
        </w:rPr>
        <w:t>and</w:t>
      </w:r>
      <w:r w:rsidRPr="00140BF5">
        <w:rPr>
          <w:b/>
          <w:lang w:val="en-GB"/>
        </w:rPr>
        <w:t xml:space="preserve"> </w:t>
      </w:r>
      <w:r w:rsidR="00F05237" w:rsidRPr="00140BF5">
        <w:rPr>
          <w:b/>
          <w:lang w:val="en-GB"/>
        </w:rPr>
        <w:t>Conclusion</w:t>
      </w:r>
    </w:p>
    <w:p w14:paraId="1A1968A3" w14:textId="24B926C1" w:rsidR="006F1119" w:rsidRPr="00140BF5" w:rsidRDefault="006F1119" w:rsidP="0011084D">
      <w:pPr>
        <w:spacing w:before="60" w:after="60" w:line="480" w:lineRule="auto"/>
        <w:jc w:val="both"/>
        <w:rPr>
          <w:lang w:val="en-GB"/>
        </w:rPr>
      </w:pPr>
      <w:r w:rsidRPr="00140BF5">
        <w:rPr>
          <w:lang w:val="en-GB"/>
        </w:rPr>
        <w:t xml:space="preserve">The spread of precarious work in public sector </w:t>
      </w:r>
      <w:r w:rsidR="00E20971" w:rsidRPr="00140BF5">
        <w:rPr>
          <w:lang w:val="en-GB"/>
        </w:rPr>
        <w:t>supply chain</w:t>
      </w:r>
      <w:r w:rsidR="00FF43E1" w:rsidRPr="00140BF5">
        <w:rPr>
          <w:lang w:val="en-GB"/>
        </w:rPr>
        <w:t>s</w:t>
      </w:r>
      <w:r w:rsidR="00E20971" w:rsidRPr="00140BF5">
        <w:rPr>
          <w:lang w:val="en-GB"/>
        </w:rPr>
        <w:t xml:space="preserve"> </w:t>
      </w:r>
      <w:r w:rsidRPr="00140BF5">
        <w:rPr>
          <w:lang w:val="en-GB"/>
        </w:rPr>
        <w:t xml:space="preserve">has given rise to new policies aimed at establishing and enforcing labour standards </w:t>
      </w:r>
      <w:r w:rsidR="00E20971" w:rsidRPr="00140BF5">
        <w:rPr>
          <w:lang w:val="en-GB"/>
        </w:rPr>
        <w:t>for the subcontracted workforce</w:t>
      </w:r>
      <w:r w:rsidRPr="00140BF5">
        <w:rPr>
          <w:lang w:val="en-GB"/>
        </w:rPr>
        <w:t xml:space="preserve">, including the most vulnerable groups such as migrant workers and women in low-paid service jobs. </w:t>
      </w:r>
      <w:r w:rsidR="00FF43E1" w:rsidRPr="00140BF5">
        <w:rPr>
          <w:lang w:val="en-GB"/>
        </w:rPr>
        <w:t>Three</w:t>
      </w:r>
      <w:r w:rsidR="006F355A" w:rsidRPr="00140BF5">
        <w:rPr>
          <w:lang w:val="en-GB"/>
        </w:rPr>
        <w:t xml:space="preserve"> key findings</w:t>
      </w:r>
      <w:r w:rsidR="004C7666" w:rsidRPr="00140BF5">
        <w:rPr>
          <w:lang w:val="en-GB"/>
        </w:rPr>
        <w:t xml:space="preserve"> </w:t>
      </w:r>
      <w:r w:rsidR="00766210" w:rsidRPr="00140BF5">
        <w:rPr>
          <w:lang w:val="en-GB"/>
        </w:rPr>
        <w:t>are</w:t>
      </w:r>
      <w:r w:rsidR="004C7666" w:rsidRPr="00140BF5">
        <w:rPr>
          <w:lang w:val="en-GB"/>
        </w:rPr>
        <w:t xml:space="preserve"> highlighted in </w:t>
      </w:r>
      <w:r w:rsidR="00CA51B3" w:rsidRPr="00140BF5">
        <w:rPr>
          <w:lang w:val="en-GB"/>
        </w:rPr>
        <w:t xml:space="preserve">the </w:t>
      </w:r>
      <w:r w:rsidR="004C7666" w:rsidRPr="00140BF5">
        <w:rPr>
          <w:lang w:val="en-GB"/>
        </w:rPr>
        <w:t xml:space="preserve">discussion of our </w:t>
      </w:r>
      <w:r w:rsidR="00CA51B3" w:rsidRPr="00140BF5">
        <w:rPr>
          <w:lang w:val="en-GB"/>
        </w:rPr>
        <w:t>findings</w:t>
      </w:r>
      <w:r w:rsidR="00FF43E1" w:rsidRPr="00140BF5">
        <w:rPr>
          <w:lang w:val="en-GB"/>
        </w:rPr>
        <w:t>.</w:t>
      </w:r>
    </w:p>
    <w:p w14:paraId="5BCFE372" w14:textId="26D9FBA1" w:rsidR="002136FA" w:rsidRPr="00140BF5" w:rsidRDefault="001C1029" w:rsidP="006356FD">
      <w:pPr>
        <w:spacing w:before="60" w:after="60" w:line="480" w:lineRule="auto"/>
        <w:jc w:val="both"/>
        <w:rPr>
          <w:lang w:val="en-GB"/>
        </w:rPr>
      </w:pPr>
      <w:r w:rsidRPr="00140BF5">
        <w:rPr>
          <w:szCs w:val="28"/>
          <w:lang w:val="en-GB"/>
        </w:rPr>
        <w:t xml:space="preserve">Firstly, the findings from all three cases underline the importance of pragmatic alliances of progressive politicians, unions, and employers at local level </w:t>
      </w:r>
      <w:r w:rsidR="004B5178" w:rsidRPr="00140BF5">
        <w:rPr>
          <w:lang w:val="en-GB"/>
        </w:rPr>
        <w:t>to challenge the hegemony of economic goals enshrined in EU procurement law and national austerity policies</w:t>
      </w:r>
      <w:r w:rsidR="006F1119" w:rsidRPr="00140BF5">
        <w:rPr>
          <w:lang w:val="en-GB"/>
        </w:rPr>
        <w:t xml:space="preserve">. The formation of these coalitions is somewhat unexpected, given the different obstacles </w:t>
      </w:r>
      <w:r w:rsidR="009C3F7F" w:rsidRPr="00140BF5">
        <w:rPr>
          <w:lang w:val="en-GB"/>
        </w:rPr>
        <w:t xml:space="preserve">at the macro-level </w:t>
      </w:r>
      <w:r w:rsidR="006F1119" w:rsidRPr="00140BF5">
        <w:rPr>
          <w:lang w:val="en-GB"/>
        </w:rPr>
        <w:t xml:space="preserve">to market embedding (procurement) policies identified </w:t>
      </w:r>
      <w:r w:rsidR="00702264" w:rsidRPr="00140BF5">
        <w:rPr>
          <w:lang w:val="en-GB"/>
        </w:rPr>
        <w:t>i</w:t>
      </w:r>
      <w:r w:rsidR="006F1119" w:rsidRPr="00140BF5">
        <w:rPr>
          <w:lang w:val="en-GB"/>
        </w:rPr>
        <w:t>n the literature</w:t>
      </w:r>
      <w:r w:rsidR="004C7666" w:rsidRPr="00140BF5">
        <w:rPr>
          <w:lang w:val="en-GB"/>
        </w:rPr>
        <w:t xml:space="preserve"> (restrictive European law; </w:t>
      </w:r>
      <w:r w:rsidR="006C7D8E" w:rsidRPr="00140BF5">
        <w:rPr>
          <w:lang w:val="en-GB"/>
        </w:rPr>
        <w:t>increasing</w:t>
      </w:r>
      <w:r w:rsidR="004C7666" w:rsidRPr="00140BF5">
        <w:rPr>
          <w:lang w:val="en-GB"/>
        </w:rPr>
        <w:t xml:space="preserve"> influence of employers in the context of marketi</w:t>
      </w:r>
      <w:r w:rsidR="00140BF5">
        <w:rPr>
          <w:lang w:val="en-GB"/>
        </w:rPr>
        <w:t>s</w:t>
      </w:r>
      <w:r w:rsidR="004C7666" w:rsidRPr="00140BF5">
        <w:rPr>
          <w:lang w:val="en-GB"/>
        </w:rPr>
        <w:t>ation, national austerity goals and tight public budgets)</w:t>
      </w:r>
      <w:r w:rsidR="006F355A" w:rsidRPr="00140BF5">
        <w:rPr>
          <w:lang w:val="en-GB"/>
        </w:rPr>
        <w:t xml:space="preserve">. </w:t>
      </w:r>
      <w:r w:rsidR="00702264" w:rsidRPr="00140BF5">
        <w:rPr>
          <w:lang w:val="en-GB"/>
        </w:rPr>
        <w:t>O</w:t>
      </w:r>
      <w:r w:rsidR="006F1119" w:rsidRPr="00140BF5">
        <w:rPr>
          <w:lang w:val="en-GB"/>
        </w:rPr>
        <w:t xml:space="preserve">ur analysis </w:t>
      </w:r>
      <w:r w:rsidR="006D669A" w:rsidRPr="00140BF5">
        <w:rPr>
          <w:lang w:val="en-GB"/>
        </w:rPr>
        <w:t xml:space="preserve">suggests </w:t>
      </w:r>
      <w:r w:rsidR="00702264" w:rsidRPr="00140BF5">
        <w:rPr>
          <w:lang w:val="en-GB"/>
        </w:rPr>
        <w:t xml:space="preserve">that </w:t>
      </w:r>
      <w:r w:rsidR="006F1119" w:rsidRPr="00140BF5">
        <w:rPr>
          <w:lang w:val="en-GB"/>
        </w:rPr>
        <w:t xml:space="preserve">changes in the </w:t>
      </w:r>
      <w:r w:rsidR="00640B4B" w:rsidRPr="00140BF5">
        <w:rPr>
          <w:lang w:val="en-GB"/>
        </w:rPr>
        <w:t xml:space="preserve">labour market (the </w:t>
      </w:r>
      <w:r w:rsidR="006F1119" w:rsidRPr="00140BF5">
        <w:rPr>
          <w:lang w:val="en-GB"/>
        </w:rPr>
        <w:t xml:space="preserve">rise in </w:t>
      </w:r>
      <w:r w:rsidR="00DA546E" w:rsidRPr="00140BF5">
        <w:rPr>
          <w:lang w:val="en-GB"/>
        </w:rPr>
        <w:t>low</w:t>
      </w:r>
      <w:r w:rsidR="00640B4B" w:rsidRPr="00140BF5">
        <w:rPr>
          <w:lang w:val="en-GB"/>
        </w:rPr>
        <w:t>-</w:t>
      </w:r>
      <w:r w:rsidR="00DA546E" w:rsidRPr="00140BF5">
        <w:rPr>
          <w:lang w:val="en-GB"/>
        </w:rPr>
        <w:t xml:space="preserve">wage competition and </w:t>
      </w:r>
      <w:r w:rsidR="006F1119" w:rsidRPr="00140BF5">
        <w:rPr>
          <w:lang w:val="en-GB"/>
        </w:rPr>
        <w:t>precariousness in public</w:t>
      </w:r>
      <w:r w:rsidR="00DA546E" w:rsidRPr="00140BF5">
        <w:rPr>
          <w:lang w:val="en-GB"/>
        </w:rPr>
        <w:t xml:space="preserve"> supply chains</w:t>
      </w:r>
      <w:r w:rsidR="00640B4B" w:rsidRPr="00140BF5">
        <w:rPr>
          <w:lang w:val="en-GB"/>
        </w:rPr>
        <w:t>) and gaps in systems of regulation</w:t>
      </w:r>
      <w:r w:rsidR="006F1119" w:rsidRPr="00140BF5">
        <w:rPr>
          <w:lang w:val="en-GB"/>
        </w:rPr>
        <w:t xml:space="preserve"> </w:t>
      </w:r>
      <w:r w:rsidR="00640B4B" w:rsidRPr="00140BF5">
        <w:rPr>
          <w:lang w:val="en-GB"/>
        </w:rPr>
        <w:t xml:space="preserve">may have been a </w:t>
      </w:r>
      <w:r w:rsidR="00702264" w:rsidRPr="00140BF5">
        <w:rPr>
          <w:rFonts w:cs="AdvP5D8B"/>
          <w:color w:val="000000"/>
          <w:lang w:val="en-GB"/>
        </w:rPr>
        <w:t>necessary</w:t>
      </w:r>
      <w:r w:rsidR="00CA51B3" w:rsidRPr="00140BF5">
        <w:rPr>
          <w:rFonts w:cs="AdvP5D8B"/>
          <w:color w:val="000000"/>
          <w:lang w:val="en-GB"/>
        </w:rPr>
        <w:t>,</w:t>
      </w:r>
      <w:r w:rsidR="00702264" w:rsidRPr="00140BF5">
        <w:rPr>
          <w:rFonts w:cs="AdvP5D8B"/>
          <w:color w:val="000000"/>
          <w:lang w:val="en-GB"/>
        </w:rPr>
        <w:t xml:space="preserve"> </w:t>
      </w:r>
      <w:r w:rsidR="00640B4B" w:rsidRPr="00140BF5">
        <w:rPr>
          <w:rFonts w:cs="AdvP5D8B"/>
          <w:color w:val="000000"/>
          <w:lang w:val="en-GB"/>
        </w:rPr>
        <w:t xml:space="preserve">but not sufficient </w:t>
      </w:r>
      <w:r w:rsidR="00702264" w:rsidRPr="00140BF5">
        <w:rPr>
          <w:rFonts w:cs="AdvP5D8B"/>
          <w:color w:val="000000"/>
          <w:lang w:val="en-GB"/>
        </w:rPr>
        <w:t>condition for socially responsible procurement to emerge</w:t>
      </w:r>
      <w:r w:rsidR="00640B4B" w:rsidRPr="00140BF5">
        <w:rPr>
          <w:rFonts w:cs="AdvP5D8B"/>
          <w:color w:val="000000"/>
          <w:lang w:val="en-GB"/>
        </w:rPr>
        <w:t xml:space="preserve">. </w:t>
      </w:r>
      <w:r w:rsidR="00E57E4F" w:rsidRPr="00140BF5">
        <w:rPr>
          <w:rFonts w:cs="AdvP5D8B"/>
          <w:color w:val="000000"/>
          <w:lang w:val="en-GB"/>
        </w:rPr>
        <w:t xml:space="preserve">Rather, </w:t>
      </w:r>
      <w:r w:rsidR="008A4E0C" w:rsidRPr="00140BF5">
        <w:rPr>
          <w:lang w:val="en-GB"/>
        </w:rPr>
        <w:t xml:space="preserve">genuine efforts to combat precariousness </w:t>
      </w:r>
      <w:r w:rsidR="00E57E4F" w:rsidRPr="00140BF5">
        <w:rPr>
          <w:lang w:val="en-GB"/>
        </w:rPr>
        <w:t xml:space="preserve">seem to </w:t>
      </w:r>
      <w:r w:rsidR="008A4E0C" w:rsidRPr="00140BF5">
        <w:rPr>
          <w:lang w:val="en-GB"/>
        </w:rPr>
        <w:t>hinge</w:t>
      </w:r>
      <w:r w:rsidR="00E57E4F" w:rsidRPr="00140BF5">
        <w:rPr>
          <w:lang w:val="en-GB"/>
        </w:rPr>
        <w:t xml:space="preserve"> substantially</w:t>
      </w:r>
      <w:r w:rsidR="008A4E0C" w:rsidRPr="00140BF5">
        <w:rPr>
          <w:lang w:val="en-GB"/>
        </w:rPr>
        <w:t xml:space="preserve"> on the political dynamics at local level</w:t>
      </w:r>
      <w:r w:rsidR="00766210" w:rsidRPr="00140BF5">
        <w:rPr>
          <w:lang w:val="en-GB"/>
        </w:rPr>
        <w:t xml:space="preserve">. The successful introduction </w:t>
      </w:r>
      <w:r w:rsidR="004B5178" w:rsidRPr="00140BF5">
        <w:rPr>
          <w:lang w:val="en-GB"/>
        </w:rPr>
        <w:t>of labour cla</w:t>
      </w:r>
      <w:r w:rsidR="00766210" w:rsidRPr="00140BF5">
        <w:rPr>
          <w:lang w:val="en-GB"/>
        </w:rPr>
        <w:t>u</w:t>
      </w:r>
      <w:r w:rsidR="004B5178" w:rsidRPr="00140BF5">
        <w:rPr>
          <w:lang w:val="en-GB"/>
        </w:rPr>
        <w:t>s</w:t>
      </w:r>
      <w:r w:rsidR="00766210" w:rsidRPr="00140BF5">
        <w:rPr>
          <w:lang w:val="en-GB"/>
        </w:rPr>
        <w:t>es</w:t>
      </w:r>
      <w:r w:rsidR="006F1119" w:rsidRPr="00140BF5">
        <w:rPr>
          <w:lang w:val="en-GB"/>
        </w:rPr>
        <w:t xml:space="preserve"> required</w:t>
      </w:r>
      <w:r w:rsidR="00766210" w:rsidRPr="00140BF5">
        <w:rPr>
          <w:lang w:val="en-GB"/>
        </w:rPr>
        <w:t xml:space="preserve"> </w:t>
      </w:r>
      <w:r w:rsidR="006F1119" w:rsidRPr="00140BF5">
        <w:rPr>
          <w:lang w:val="en-GB"/>
        </w:rPr>
        <w:t xml:space="preserve">substantial mobilisation efforts from the trade unions </w:t>
      </w:r>
      <w:r w:rsidR="00071C3B" w:rsidRPr="00140BF5">
        <w:rPr>
          <w:lang w:val="en-GB"/>
        </w:rPr>
        <w:t>to lobby</w:t>
      </w:r>
      <w:r w:rsidR="006F1119" w:rsidRPr="00140BF5">
        <w:rPr>
          <w:lang w:val="en-GB"/>
        </w:rPr>
        <w:t xml:space="preserve"> </w:t>
      </w:r>
      <w:r w:rsidR="00EC10D1" w:rsidRPr="00140BF5">
        <w:rPr>
          <w:lang w:val="en-GB"/>
        </w:rPr>
        <w:t>‘</w:t>
      </w:r>
      <w:r w:rsidR="00071C3B" w:rsidRPr="00140BF5">
        <w:rPr>
          <w:lang w:val="en-GB"/>
        </w:rPr>
        <w:t xml:space="preserve">left </w:t>
      </w:r>
      <w:r w:rsidR="00EC10D1" w:rsidRPr="00140BF5">
        <w:rPr>
          <w:lang w:val="en-GB"/>
        </w:rPr>
        <w:t>w</w:t>
      </w:r>
      <w:r w:rsidR="00071C3B" w:rsidRPr="00140BF5">
        <w:rPr>
          <w:lang w:val="en-GB"/>
        </w:rPr>
        <w:t>ing</w:t>
      </w:r>
      <w:r w:rsidR="00EC10D1" w:rsidRPr="00140BF5">
        <w:rPr>
          <w:lang w:val="en-GB"/>
        </w:rPr>
        <w:t>’ political</w:t>
      </w:r>
      <w:r w:rsidR="00071C3B" w:rsidRPr="00140BF5">
        <w:rPr>
          <w:lang w:val="en-GB"/>
        </w:rPr>
        <w:t xml:space="preserve"> parties</w:t>
      </w:r>
      <w:r w:rsidR="00766210" w:rsidRPr="00140BF5">
        <w:rPr>
          <w:lang w:val="en-GB"/>
        </w:rPr>
        <w:t xml:space="preserve"> and to dispel any residual concerns </w:t>
      </w:r>
      <w:r w:rsidR="001A0700" w:rsidRPr="00140BF5">
        <w:rPr>
          <w:lang w:val="en-GB"/>
        </w:rPr>
        <w:t>(</w:t>
      </w:r>
      <w:r w:rsidR="00E57E4F" w:rsidRPr="00140BF5">
        <w:rPr>
          <w:lang w:val="en-GB"/>
        </w:rPr>
        <w:t>among both politicians and partly also the trade union camp</w:t>
      </w:r>
      <w:r w:rsidR="001A0700" w:rsidRPr="00140BF5">
        <w:rPr>
          <w:lang w:val="en-GB"/>
        </w:rPr>
        <w:t xml:space="preserve"> itself)</w:t>
      </w:r>
      <w:r w:rsidR="00E57E4F" w:rsidRPr="00140BF5">
        <w:rPr>
          <w:lang w:val="en-GB"/>
        </w:rPr>
        <w:t xml:space="preserve"> </w:t>
      </w:r>
      <w:r w:rsidR="00766210" w:rsidRPr="00140BF5">
        <w:rPr>
          <w:lang w:val="en-GB"/>
        </w:rPr>
        <w:t>about the threat of labour clauses to voluntarist systems of wage setting</w:t>
      </w:r>
      <w:r w:rsidRPr="00140BF5">
        <w:rPr>
          <w:lang w:val="en-GB"/>
        </w:rPr>
        <w:t>,</w:t>
      </w:r>
      <w:r w:rsidR="00071C3B" w:rsidRPr="00140BF5">
        <w:rPr>
          <w:lang w:val="en-GB"/>
        </w:rPr>
        <w:t xml:space="preserve"> </w:t>
      </w:r>
      <w:r w:rsidR="00766210" w:rsidRPr="00140BF5">
        <w:rPr>
          <w:lang w:val="en-GB"/>
        </w:rPr>
        <w:t xml:space="preserve">supported by </w:t>
      </w:r>
      <w:r w:rsidR="006F1119" w:rsidRPr="00140BF5">
        <w:rPr>
          <w:lang w:val="en-GB"/>
        </w:rPr>
        <w:t>a favourable public discourse and media attention</w:t>
      </w:r>
      <w:r w:rsidR="004B5178" w:rsidRPr="00140BF5">
        <w:rPr>
          <w:lang w:val="en-GB"/>
        </w:rPr>
        <w:t>.</w:t>
      </w:r>
      <w:r w:rsidR="00B84A82" w:rsidRPr="00140BF5">
        <w:rPr>
          <w:lang w:val="en-GB"/>
        </w:rPr>
        <w:t xml:space="preserve"> </w:t>
      </w:r>
      <w:r w:rsidR="00E57E4F" w:rsidRPr="00140BF5">
        <w:rPr>
          <w:lang w:val="en-GB"/>
        </w:rPr>
        <w:t>U</w:t>
      </w:r>
      <w:r w:rsidR="004B5178" w:rsidRPr="00140BF5">
        <w:rPr>
          <w:lang w:val="en-GB"/>
        </w:rPr>
        <w:t xml:space="preserve">nlike the ‘cross-class coalitions’ identified by Palier and Thelen (2010), which contribute to a further dualisation in employment standards, the  coalitions in this study actively reached out to those on the margins, in particular low-paid women and migrant workers. In this way, labour clauses have the potential to serve </w:t>
      </w:r>
      <w:r w:rsidR="004B5178" w:rsidRPr="00140BF5">
        <w:rPr>
          <w:lang w:val="en-GB"/>
        </w:rPr>
        <w:lastRenderedPageBreak/>
        <w:t>the interests of both those at the core and at the margins of the labour market</w:t>
      </w:r>
      <w:r w:rsidR="00585CD1" w:rsidRPr="00140BF5">
        <w:rPr>
          <w:lang w:val="en-GB"/>
        </w:rPr>
        <w:t>.</w:t>
      </w:r>
      <w:r w:rsidRPr="00140BF5">
        <w:rPr>
          <w:lang w:val="en-GB"/>
        </w:rPr>
        <w:t xml:space="preserve"> This ‘voluntarist’ explanation </w:t>
      </w:r>
      <w:r w:rsidR="002136FA" w:rsidRPr="00140BF5">
        <w:rPr>
          <w:lang w:val="en-GB"/>
        </w:rPr>
        <w:t>of labour clauses</w:t>
      </w:r>
      <w:r w:rsidR="002A1110" w:rsidRPr="00140BF5">
        <w:rPr>
          <w:lang w:val="en-GB"/>
        </w:rPr>
        <w:t>, which</w:t>
      </w:r>
      <w:r w:rsidR="00640B4B" w:rsidRPr="00140BF5">
        <w:rPr>
          <w:lang w:val="en-GB"/>
        </w:rPr>
        <w:t xml:space="preserve"> established</w:t>
      </w:r>
      <w:r w:rsidRPr="00140BF5">
        <w:rPr>
          <w:lang w:val="en-GB"/>
        </w:rPr>
        <w:t xml:space="preserve"> higher standard</w:t>
      </w:r>
      <w:r w:rsidR="00640B4B" w:rsidRPr="00140BF5">
        <w:rPr>
          <w:lang w:val="en-GB"/>
        </w:rPr>
        <w:t>s</w:t>
      </w:r>
      <w:r w:rsidRPr="00140BF5">
        <w:rPr>
          <w:lang w:val="en-GB"/>
        </w:rPr>
        <w:t xml:space="preserve"> </w:t>
      </w:r>
      <w:r w:rsidR="006E5AF8" w:rsidRPr="00140BF5">
        <w:rPr>
          <w:lang w:val="en-GB"/>
        </w:rPr>
        <w:t>for precarious workers</w:t>
      </w:r>
      <w:r w:rsidR="002A1110" w:rsidRPr="00140BF5">
        <w:rPr>
          <w:lang w:val="en-GB"/>
        </w:rPr>
        <w:t>,</w:t>
      </w:r>
      <w:r w:rsidR="002136FA" w:rsidRPr="00140BF5">
        <w:rPr>
          <w:lang w:val="en-GB"/>
        </w:rPr>
        <w:t xml:space="preserve"> demonstrates the scope for political impact at the local level. </w:t>
      </w:r>
    </w:p>
    <w:p w14:paraId="51556906" w14:textId="3DD3E865" w:rsidR="006F1119" w:rsidRPr="00140BF5" w:rsidRDefault="006F355A" w:rsidP="0011084D">
      <w:pPr>
        <w:spacing w:before="60" w:after="60" w:line="480" w:lineRule="auto"/>
        <w:jc w:val="both"/>
        <w:rPr>
          <w:lang w:val="en-GB"/>
        </w:rPr>
      </w:pPr>
      <w:r w:rsidRPr="00140BF5">
        <w:rPr>
          <w:lang w:val="en-GB"/>
        </w:rPr>
        <w:t>Secondly</w:t>
      </w:r>
      <w:r w:rsidR="00F3413B" w:rsidRPr="00140BF5">
        <w:rPr>
          <w:lang w:val="en-GB"/>
        </w:rPr>
        <w:t xml:space="preserve">, </w:t>
      </w:r>
      <w:r w:rsidRPr="00140BF5">
        <w:rPr>
          <w:lang w:val="en-GB"/>
        </w:rPr>
        <w:t xml:space="preserve">the </w:t>
      </w:r>
      <w:r w:rsidR="002A1110" w:rsidRPr="00140BF5">
        <w:rPr>
          <w:lang w:val="en-GB"/>
        </w:rPr>
        <w:t>data</w:t>
      </w:r>
      <w:r w:rsidRPr="00140BF5">
        <w:rPr>
          <w:lang w:val="en-GB"/>
        </w:rPr>
        <w:t xml:space="preserve"> confirm</w:t>
      </w:r>
      <w:r w:rsidR="00CA51B3" w:rsidRPr="00140BF5">
        <w:rPr>
          <w:lang w:val="en-GB"/>
        </w:rPr>
        <w:t>s</w:t>
      </w:r>
      <w:r w:rsidRPr="00140BF5">
        <w:rPr>
          <w:lang w:val="en-GB"/>
        </w:rPr>
        <w:t xml:space="preserve"> that </w:t>
      </w:r>
      <w:r w:rsidR="008F511A" w:rsidRPr="00140BF5">
        <w:rPr>
          <w:lang w:val="en-GB"/>
        </w:rPr>
        <w:t xml:space="preserve">effectively </w:t>
      </w:r>
      <w:r w:rsidRPr="00140BF5">
        <w:rPr>
          <w:lang w:val="en-GB"/>
        </w:rPr>
        <w:t>regulating public supply chain</w:t>
      </w:r>
      <w:r w:rsidR="008F511A" w:rsidRPr="00140BF5">
        <w:rPr>
          <w:lang w:val="en-GB"/>
        </w:rPr>
        <w:t>s</w:t>
      </w:r>
      <w:r w:rsidRPr="00140BF5">
        <w:rPr>
          <w:lang w:val="en-GB"/>
        </w:rPr>
        <w:t xml:space="preserve"> requires more than</w:t>
      </w:r>
      <w:r w:rsidR="008F511A" w:rsidRPr="00140BF5">
        <w:rPr>
          <w:lang w:val="en-GB"/>
        </w:rPr>
        <w:t xml:space="preserve"> simply</w:t>
      </w:r>
      <w:r w:rsidRPr="00140BF5">
        <w:rPr>
          <w:lang w:val="en-GB"/>
        </w:rPr>
        <w:t xml:space="preserve"> fixing standards on paper</w:t>
      </w:r>
      <w:r w:rsidR="008F511A" w:rsidRPr="00140BF5">
        <w:rPr>
          <w:lang w:val="en-GB"/>
        </w:rPr>
        <w:t>; much depends on the monitoring and enforcement process</w:t>
      </w:r>
      <w:r w:rsidRPr="00140BF5">
        <w:rPr>
          <w:lang w:val="en-GB"/>
        </w:rPr>
        <w:t xml:space="preserve">. </w:t>
      </w:r>
      <w:r w:rsidR="000A6309" w:rsidRPr="00140BF5">
        <w:rPr>
          <w:lang w:val="en-GB"/>
        </w:rPr>
        <w:t xml:space="preserve"> </w:t>
      </w:r>
      <w:r w:rsidR="00A24C50" w:rsidRPr="00140BF5">
        <w:rPr>
          <w:lang w:val="en-GB"/>
        </w:rPr>
        <w:t>What is novel is that a</w:t>
      </w:r>
      <w:r w:rsidR="000A6309" w:rsidRPr="00140BF5">
        <w:rPr>
          <w:lang w:val="en-GB"/>
        </w:rPr>
        <w:t xml:space="preserve">ll three </w:t>
      </w:r>
      <w:r w:rsidR="005E4AE9" w:rsidRPr="00140BF5">
        <w:rPr>
          <w:lang w:val="en-GB"/>
        </w:rPr>
        <w:t>councils in this study</w:t>
      </w:r>
      <w:r w:rsidR="000A6309" w:rsidRPr="00140BF5">
        <w:rPr>
          <w:lang w:val="en-GB"/>
        </w:rPr>
        <w:t xml:space="preserve"> </w:t>
      </w:r>
      <w:r w:rsidR="006E5AF8" w:rsidRPr="00140BF5">
        <w:rPr>
          <w:lang w:val="en-GB"/>
        </w:rPr>
        <w:t xml:space="preserve">have </w:t>
      </w:r>
      <w:r w:rsidR="000A6309" w:rsidRPr="00140BF5">
        <w:rPr>
          <w:lang w:val="en-GB"/>
        </w:rPr>
        <w:t>made specific provisions to try and ens</w:t>
      </w:r>
      <w:r w:rsidR="006E5AF8" w:rsidRPr="00140BF5">
        <w:rPr>
          <w:lang w:val="en-GB"/>
        </w:rPr>
        <w:t>ure that the labour clauses are</w:t>
      </w:r>
      <w:r w:rsidR="000A6309" w:rsidRPr="00140BF5">
        <w:rPr>
          <w:lang w:val="en-GB"/>
        </w:rPr>
        <w:t xml:space="preserve"> observed by subcontracto</w:t>
      </w:r>
      <w:r w:rsidR="005E4AE9" w:rsidRPr="00140BF5">
        <w:rPr>
          <w:lang w:val="en-GB"/>
        </w:rPr>
        <w:t>rs</w:t>
      </w:r>
      <w:r w:rsidR="006E5AF8" w:rsidRPr="00140BF5">
        <w:rPr>
          <w:lang w:val="en-GB"/>
        </w:rPr>
        <w:t xml:space="preserve"> in practice</w:t>
      </w:r>
      <w:r w:rsidR="005E4AE9" w:rsidRPr="00140BF5">
        <w:rPr>
          <w:lang w:val="en-GB"/>
        </w:rPr>
        <w:t xml:space="preserve">, albeit </w:t>
      </w:r>
      <w:r w:rsidR="00A24C50" w:rsidRPr="00140BF5">
        <w:rPr>
          <w:lang w:val="en-GB"/>
        </w:rPr>
        <w:t xml:space="preserve">using different methods and </w:t>
      </w:r>
      <w:r w:rsidR="005E4AE9" w:rsidRPr="00140BF5">
        <w:rPr>
          <w:lang w:val="en-GB"/>
        </w:rPr>
        <w:t xml:space="preserve">with different degrees of success. For example Copenhagen </w:t>
      </w:r>
      <w:r w:rsidR="00F910A4" w:rsidRPr="00140BF5">
        <w:rPr>
          <w:lang w:val="en-GB"/>
        </w:rPr>
        <w:t xml:space="preserve">has </w:t>
      </w:r>
      <w:r w:rsidR="005E4AE9" w:rsidRPr="00140BF5">
        <w:rPr>
          <w:lang w:val="en-GB"/>
        </w:rPr>
        <w:t xml:space="preserve">set aside additional resources for inspection and enforcement and </w:t>
      </w:r>
      <w:r w:rsidR="00F910A4" w:rsidRPr="00140BF5">
        <w:rPr>
          <w:lang w:val="en-GB"/>
        </w:rPr>
        <w:t>uses</w:t>
      </w:r>
      <w:r w:rsidR="005E4AE9" w:rsidRPr="00140BF5">
        <w:rPr>
          <w:lang w:val="en-GB"/>
        </w:rPr>
        <w:t xml:space="preserve"> an external auditor to </w:t>
      </w:r>
      <w:r w:rsidR="00F910A4" w:rsidRPr="00140BF5">
        <w:rPr>
          <w:lang w:val="en-GB"/>
        </w:rPr>
        <w:t>check that the labour clauses a</w:t>
      </w:r>
      <w:r w:rsidR="005E4AE9" w:rsidRPr="00140BF5">
        <w:rPr>
          <w:lang w:val="en-GB"/>
        </w:rPr>
        <w:t>re being observed</w:t>
      </w:r>
      <w:r w:rsidR="00F910A4" w:rsidRPr="00140BF5">
        <w:rPr>
          <w:lang w:val="en-GB"/>
        </w:rPr>
        <w:t xml:space="preserve"> (which in most cases they a</w:t>
      </w:r>
      <w:r w:rsidR="00040CD7" w:rsidRPr="00140BF5">
        <w:rPr>
          <w:lang w:val="en-GB"/>
        </w:rPr>
        <w:t>re)</w:t>
      </w:r>
      <w:r w:rsidR="008672AD" w:rsidRPr="00140BF5">
        <w:rPr>
          <w:lang w:val="en-GB"/>
        </w:rPr>
        <w:t>,</w:t>
      </w:r>
      <w:r w:rsidR="00F910A4" w:rsidRPr="00140BF5">
        <w:rPr>
          <w:lang w:val="en-GB"/>
        </w:rPr>
        <w:t xml:space="preserve"> whereas Bremen relies</w:t>
      </w:r>
      <w:r w:rsidR="005E4AE9" w:rsidRPr="00140BF5">
        <w:rPr>
          <w:lang w:val="en-GB"/>
        </w:rPr>
        <w:t xml:space="preserve"> on a relatively small inspection function </w:t>
      </w:r>
      <w:r w:rsidR="002C17A3" w:rsidRPr="00140BF5">
        <w:rPr>
          <w:lang w:val="en-GB"/>
        </w:rPr>
        <w:t>with no additional r</w:t>
      </w:r>
      <w:r w:rsidR="00040CD7" w:rsidRPr="00140BF5">
        <w:rPr>
          <w:lang w:val="en-GB"/>
        </w:rPr>
        <w:t xml:space="preserve">esources from the local council which </w:t>
      </w:r>
      <w:r w:rsidR="00F910A4" w:rsidRPr="00140BF5">
        <w:rPr>
          <w:lang w:val="en-GB"/>
        </w:rPr>
        <w:t xml:space="preserve">has </w:t>
      </w:r>
      <w:r w:rsidR="00040CD7" w:rsidRPr="00140BF5">
        <w:rPr>
          <w:lang w:val="en-GB"/>
        </w:rPr>
        <w:t>raised concerns among the u</w:t>
      </w:r>
      <w:r w:rsidR="00F910A4" w:rsidRPr="00140BF5">
        <w:rPr>
          <w:lang w:val="en-GB"/>
        </w:rPr>
        <w:t>nions that firms a</w:t>
      </w:r>
      <w:r w:rsidR="00040CD7" w:rsidRPr="00140BF5">
        <w:rPr>
          <w:lang w:val="en-GB"/>
        </w:rPr>
        <w:t>re able to evade labour clauses</w:t>
      </w:r>
      <w:r w:rsidR="00F910A4" w:rsidRPr="00140BF5">
        <w:rPr>
          <w:lang w:val="en-GB"/>
        </w:rPr>
        <w:t xml:space="preserve">. </w:t>
      </w:r>
      <w:r w:rsidR="000B16D4" w:rsidRPr="00140BF5">
        <w:rPr>
          <w:lang w:val="en-GB"/>
        </w:rPr>
        <w:t>In both cases, t</w:t>
      </w:r>
      <w:r w:rsidR="00F910A4" w:rsidRPr="00140BF5">
        <w:rPr>
          <w:lang w:val="en-GB"/>
        </w:rPr>
        <w:t>he delegation of decisions over contract values to commissioners still means that cost considerations are salient when awarding contracts (</w:t>
      </w:r>
      <w:r w:rsidR="009E0705" w:rsidRPr="00140BF5">
        <w:rPr>
          <w:lang w:val="en-GB"/>
        </w:rPr>
        <w:t>particul</w:t>
      </w:r>
      <w:r w:rsidR="00F910A4" w:rsidRPr="00140BF5">
        <w:rPr>
          <w:lang w:val="en-GB"/>
        </w:rPr>
        <w:t>arly w</w:t>
      </w:r>
      <w:r w:rsidR="00027A7D" w:rsidRPr="00140BF5">
        <w:rPr>
          <w:lang w:val="en-GB"/>
        </w:rPr>
        <w:t>h</w:t>
      </w:r>
      <w:r w:rsidR="00F910A4" w:rsidRPr="00140BF5">
        <w:rPr>
          <w:lang w:val="en-GB"/>
        </w:rPr>
        <w:t>ere budget pressures are acute)</w:t>
      </w:r>
      <w:r w:rsidR="00040CD7" w:rsidRPr="00140BF5">
        <w:rPr>
          <w:lang w:val="en-GB"/>
        </w:rPr>
        <w:t>. In contrast, t</w:t>
      </w:r>
      <w:r w:rsidR="006F1119" w:rsidRPr="00140BF5">
        <w:rPr>
          <w:lang w:val="en-GB"/>
        </w:rPr>
        <w:t xml:space="preserve">he conscious decision in Leeds to substantially uplift </w:t>
      </w:r>
      <w:r w:rsidR="007338CE" w:rsidRPr="00140BF5">
        <w:rPr>
          <w:lang w:val="en-GB"/>
        </w:rPr>
        <w:t>the contract values for care services</w:t>
      </w:r>
      <w:r w:rsidR="006F1119" w:rsidRPr="00140BF5">
        <w:rPr>
          <w:lang w:val="en-GB"/>
        </w:rPr>
        <w:t xml:space="preserve"> </w:t>
      </w:r>
      <w:r w:rsidR="00F910A4" w:rsidRPr="00140BF5">
        <w:rPr>
          <w:lang w:val="en-GB"/>
        </w:rPr>
        <w:t>is</w:t>
      </w:r>
      <w:r w:rsidR="009E0705" w:rsidRPr="00140BF5">
        <w:rPr>
          <w:lang w:val="en-GB"/>
        </w:rPr>
        <w:t xml:space="preserve"> designed to</w:t>
      </w:r>
      <w:r w:rsidR="007338CE" w:rsidRPr="00140BF5">
        <w:rPr>
          <w:lang w:val="en-GB"/>
        </w:rPr>
        <w:t xml:space="preserve"> directly</w:t>
      </w:r>
      <w:r w:rsidR="009E0705" w:rsidRPr="00140BF5">
        <w:rPr>
          <w:lang w:val="en-GB"/>
        </w:rPr>
        <w:t xml:space="preserve"> enable subcontractors to meet the additional cost of increased wages and payment for travel time with </w:t>
      </w:r>
      <w:r w:rsidR="00F910A4" w:rsidRPr="00140BF5">
        <w:rPr>
          <w:lang w:val="en-GB"/>
        </w:rPr>
        <w:t>fewer requirements</w:t>
      </w:r>
      <w:r w:rsidR="009E0705" w:rsidRPr="00140BF5">
        <w:rPr>
          <w:lang w:val="en-GB"/>
        </w:rPr>
        <w:t xml:space="preserve"> on the council to actively monitor and enforce. </w:t>
      </w:r>
      <w:r w:rsidR="006935CE" w:rsidRPr="00140BF5">
        <w:rPr>
          <w:lang w:val="en-GB"/>
        </w:rPr>
        <w:t xml:space="preserve"> </w:t>
      </w:r>
      <w:r w:rsidR="00913119" w:rsidRPr="00140BF5">
        <w:rPr>
          <w:lang w:val="en-GB"/>
        </w:rPr>
        <w:t>The trade-off here is that there are relatively few mechanisms to identify</w:t>
      </w:r>
      <w:r w:rsidR="004C652E" w:rsidRPr="00140BF5">
        <w:rPr>
          <w:lang w:val="en-GB"/>
        </w:rPr>
        <w:t xml:space="preserve"> and quickly act upon</w:t>
      </w:r>
      <w:r w:rsidR="00913119" w:rsidRPr="00140BF5">
        <w:rPr>
          <w:lang w:val="en-GB"/>
        </w:rPr>
        <w:t xml:space="preserve"> ‘breaches’. </w:t>
      </w:r>
      <w:r w:rsidR="006935CE" w:rsidRPr="00140BF5">
        <w:rPr>
          <w:lang w:val="en-GB"/>
        </w:rPr>
        <w:t xml:space="preserve">Therefore, </w:t>
      </w:r>
      <w:r w:rsidR="004A1A0E" w:rsidRPr="00140BF5">
        <w:rPr>
          <w:lang w:val="en-GB"/>
        </w:rPr>
        <w:t xml:space="preserve">the introduction of </w:t>
      </w:r>
      <w:r w:rsidR="004D3057" w:rsidRPr="00140BF5">
        <w:rPr>
          <w:lang w:val="en-GB"/>
        </w:rPr>
        <w:t>labour clauses ha</w:t>
      </w:r>
      <w:r w:rsidR="006E5AF8" w:rsidRPr="00140BF5">
        <w:rPr>
          <w:lang w:val="en-GB"/>
        </w:rPr>
        <w:t>s</w:t>
      </w:r>
      <w:r w:rsidR="004D3057" w:rsidRPr="00140BF5">
        <w:rPr>
          <w:lang w:val="en-GB"/>
        </w:rPr>
        <w:t xml:space="preserve"> not ‘resolved’ the </w:t>
      </w:r>
      <w:r w:rsidR="006E5AF8" w:rsidRPr="00140BF5">
        <w:rPr>
          <w:lang w:val="en-GB"/>
        </w:rPr>
        <w:t>tensions between</w:t>
      </w:r>
      <w:r w:rsidR="00071C3B" w:rsidRPr="00140BF5">
        <w:rPr>
          <w:lang w:val="en-GB"/>
        </w:rPr>
        <w:t xml:space="preserve"> the dual role </w:t>
      </w:r>
      <w:r w:rsidR="006F1119" w:rsidRPr="00140BF5">
        <w:rPr>
          <w:lang w:val="en-GB"/>
        </w:rPr>
        <w:t xml:space="preserve">of local government </w:t>
      </w:r>
      <w:r w:rsidR="00071C3B" w:rsidRPr="00140BF5">
        <w:rPr>
          <w:lang w:val="en-GB"/>
        </w:rPr>
        <w:t>as regulator and client</w:t>
      </w:r>
      <w:r w:rsidR="004A1A0E" w:rsidRPr="00140BF5">
        <w:rPr>
          <w:lang w:val="en-GB"/>
        </w:rPr>
        <w:t xml:space="preserve">, but </w:t>
      </w:r>
      <w:r w:rsidR="00A24C50" w:rsidRPr="00140BF5">
        <w:rPr>
          <w:lang w:val="en-GB"/>
        </w:rPr>
        <w:t xml:space="preserve">our data show that </w:t>
      </w:r>
      <w:r w:rsidR="004A1A0E" w:rsidRPr="00140BF5">
        <w:rPr>
          <w:lang w:val="en-GB"/>
        </w:rPr>
        <w:t xml:space="preserve">this tension extends </w:t>
      </w:r>
      <w:r w:rsidR="00A24C50" w:rsidRPr="00140BF5">
        <w:rPr>
          <w:lang w:val="en-GB"/>
        </w:rPr>
        <w:t xml:space="preserve">beyond the </w:t>
      </w:r>
      <w:r w:rsidR="006E5AF8" w:rsidRPr="00140BF5">
        <w:rPr>
          <w:lang w:val="en-GB"/>
        </w:rPr>
        <w:t xml:space="preserve">initial </w:t>
      </w:r>
      <w:r w:rsidR="00A24C50" w:rsidRPr="00140BF5">
        <w:rPr>
          <w:lang w:val="en-GB"/>
        </w:rPr>
        <w:t xml:space="preserve">agreement of labour clauses </w:t>
      </w:r>
      <w:r w:rsidR="004A1A0E" w:rsidRPr="00140BF5">
        <w:rPr>
          <w:lang w:val="en-GB"/>
        </w:rPr>
        <w:t xml:space="preserve">to the </w:t>
      </w:r>
      <w:r w:rsidR="00A24C50" w:rsidRPr="00140BF5">
        <w:rPr>
          <w:lang w:val="en-GB"/>
        </w:rPr>
        <w:t>process of</w:t>
      </w:r>
      <w:r w:rsidR="004A1A0E" w:rsidRPr="00140BF5">
        <w:rPr>
          <w:lang w:val="en-GB"/>
        </w:rPr>
        <w:t xml:space="preserve"> implementation</w:t>
      </w:r>
      <w:r w:rsidR="00A24C50" w:rsidRPr="00140BF5">
        <w:rPr>
          <w:lang w:val="en-GB"/>
        </w:rPr>
        <w:t xml:space="preserve"> and enforcement</w:t>
      </w:r>
      <w:r w:rsidR="006F1119" w:rsidRPr="00140BF5">
        <w:rPr>
          <w:lang w:val="en-GB"/>
        </w:rPr>
        <w:t xml:space="preserve">. </w:t>
      </w:r>
      <w:r w:rsidR="000B16D4" w:rsidRPr="00140BF5">
        <w:rPr>
          <w:lang w:val="en-GB"/>
        </w:rPr>
        <w:t>For instance, the Danish employers successfully blocked the proposal of the unions to pre-emptively exclude firms that have not signed the sector collective agreement from bidding for public contracts. This and other conflicts</w:t>
      </w:r>
      <w:r w:rsidR="00585CD1" w:rsidRPr="00140BF5">
        <w:rPr>
          <w:lang w:val="en-GB"/>
        </w:rPr>
        <w:t>, e.g.</w:t>
      </w:r>
      <w:r w:rsidR="000B16D4" w:rsidRPr="00140BF5">
        <w:rPr>
          <w:lang w:val="en-GB"/>
        </w:rPr>
        <w:t xml:space="preserve"> </w:t>
      </w:r>
      <w:r w:rsidR="00585CD1" w:rsidRPr="00140BF5">
        <w:rPr>
          <w:lang w:val="en-GB"/>
        </w:rPr>
        <w:t xml:space="preserve">about </w:t>
      </w:r>
      <w:r w:rsidR="000B16D4" w:rsidRPr="00140BF5">
        <w:rPr>
          <w:lang w:val="en-GB"/>
        </w:rPr>
        <w:t xml:space="preserve">the resources </w:t>
      </w:r>
      <w:r w:rsidR="00585CD1" w:rsidRPr="00140BF5">
        <w:rPr>
          <w:lang w:val="en-GB"/>
        </w:rPr>
        <w:t xml:space="preserve">to be </w:t>
      </w:r>
      <w:r w:rsidR="000B16D4" w:rsidRPr="00140BF5">
        <w:rPr>
          <w:lang w:val="en-GB"/>
        </w:rPr>
        <w:t xml:space="preserve">devoted to inspections, </w:t>
      </w:r>
      <w:r w:rsidR="00585CD1" w:rsidRPr="00140BF5">
        <w:rPr>
          <w:lang w:val="en-GB"/>
        </w:rPr>
        <w:t xml:space="preserve">or </w:t>
      </w:r>
      <w:r w:rsidR="000B16D4" w:rsidRPr="00140BF5">
        <w:rPr>
          <w:lang w:val="en-GB"/>
        </w:rPr>
        <w:t xml:space="preserve">the issue of chain liability, </w:t>
      </w:r>
      <w:r w:rsidR="00585CD1" w:rsidRPr="00140BF5">
        <w:rPr>
          <w:lang w:val="en-GB"/>
        </w:rPr>
        <w:t xml:space="preserve">underline the need for analyses covering the full policy cycle.  </w:t>
      </w:r>
    </w:p>
    <w:p w14:paraId="54AAF880" w14:textId="2F564ED3" w:rsidR="001A55F2" w:rsidRPr="00140BF5" w:rsidRDefault="006D669A" w:rsidP="0078333B">
      <w:pPr>
        <w:spacing w:before="60" w:after="60" w:line="480" w:lineRule="auto"/>
        <w:jc w:val="both"/>
        <w:rPr>
          <w:lang w:val="en-GB"/>
        </w:rPr>
      </w:pPr>
      <w:r w:rsidRPr="00140BF5">
        <w:rPr>
          <w:lang w:val="en-GB"/>
        </w:rPr>
        <w:lastRenderedPageBreak/>
        <w:t xml:space="preserve">Thirdly, </w:t>
      </w:r>
      <w:r w:rsidR="0078333B" w:rsidRPr="00140BF5">
        <w:rPr>
          <w:lang w:val="en-GB"/>
        </w:rPr>
        <w:t xml:space="preserve">with regard to the </w:t>
      </w:r>
      <w:r w:rsidR="00F910A4" w:rsidRPr="00140BF5">
        <w:rPr>
          <w:lang w:val="en-GB"/>
        </w:rPr>
        <w:t>impact</w:t>
      </w:r>
      <w:r w:rsidR="00913119" w:rsidRPr="00140BF5">
        <w:rPr>
          <w:lang w:val="en-GB"/>
        </w:rPr>
        <w:t xml:space="preserve"> of labour clauses in different institutional contexts</w:t>
      </w:r>
      <w:r w:rsidR="0078333B" w:rsidRPr="00140BF5">
        <w:rPr>
          <w:lang w:val="en-GB"/>
        </w:rPr>
        <w:t xml:space="preserve">, </w:t>
      </w:r>
      <w:r w:rsidR="00A61A48" w:rsidRPr="00140BF5">
        <w:rPr>
          <w:lang w:val="en-GB"/>
        </w:rPr>
        <w:t>all three initiatives make a difference compared to the status quo ante</w:t>
      </w:r>
      <w:r w:rsidR="00DF72A8" w:rsidRPr="00140BF5">
        <w:rPr>
          <w:lang w:val="en-GB"/>
        </w:rPr>
        <w:t xml:space="preserve">. </w:t>
      </w:r>
      <w:r w:rsidR="00913119" w:rsidRPr="00140BF5">
        <w:rPr>
          <w:lang w:val="en-GB"/>
        </w:rPr>
        <w:t>However, o</w:t>
      </w:r>
      <w:r w:rsidRPr="00140BF5">
        <w:rPr>
          <w:lang w:val="en-GB"/>
        </w:rPr>
        <w:t xml:space="preserve">ur analysis differentiates between </w:t>
      </w:r>
      <w:r w:rsidR="00A61A48" w:rsidRPr="00140BF5">
        <w:rPr>
          <w:lang w:val="en-GB"/>
        </w:rPr>
        <w:t xml:space="preserve">more </w:t>
      </w:r>
      <w:r w:rsidRPr="00140BF5">
        <w:rPr>
          <w:lang w:val="en-GB"/>
        </w:rPr>
        <w:t>narrowly defined labour clauses which ‘compensate’ for weak systems of regulation by providing a new set of minimum standards for outsourced workers</w:t>
      </w:r>
      <w:r w:rsidR="0078333B" w:rsidRPr="00140BF5">
        <w:rPr>
          <w:lang w:val="en-GB"/>
        </w:rPr>
        <w:t xml:space="preserve"> </w:t>
      </w:r>
      <w:r w:rsidR="00A61A48" w:rsidRPr="00140BF5">
        <w:rPr>
          <w:lang w:val="en-GB"/>
        </w:rPr>
        <w:t xml:space="preserve">in </w:t>
      </w:r>
      <w:r w:rsidR="0078333B" w:rsidRPr="00140BF5">
        <w:rPr>
          <w:lang w:val="en-GB"/>
        </w:rPr>
        <w:t>Leeds</w:t>
      </w:r>
      <w:r w:rsidR="00A61A48" w:rsidRPr="00140BF5">
        <w:rPr>
          <w:lang w:val="en-GB"/>
        </w:rPr>
        <w:t xml:space="preserve"> and catering</w:t>
      </w:r>
      <w:r w:rsidR="006E5AF8" w:rsidRPr="00140BF5">
        <w:rPr>
          <w:lang w:val="en-GB"/>
        </w:rPr>
        <w:t xml:space="preserve"> services</w:t>
      </w:r>
      <w:r w:rsidR="00A24C50" w:rsidRPr="00140BF5">
        <w:rPr>
          <w:lang w:val="en-GB"/>
        </w:rPr>
        <w:t xml:space="preserve"> in Bremen</w:t>
      </w:r>
      <w:r w:rsidRPr="00140BF5">
        <w:rPr>
          <w:lang w:val="en-GB"/>
        </w:rPr>
        <w:t xml:space="preserve">, and a </w:t>
      </w:r>
      <w:r w:rsidR="006E5AF8" w:rsidRPr="00140BF5">
        <w:rPr>
          <w:lang w:val="en-GB"/>
        </w:rPr>
        <w:t xml:space="preserve">the broader </w:t>
      </w:r>
      <w:r w:rsidRPr="00140BF5">
        <w:rPr>
          <w:lang w:val="en-GB"/>
        </w:rPr>
        <w:t xml:space="preserve">levelling up effect of labour clauses in </w:t>
      </w:r>
      <w:r w:rsidR="0078333B" w:rsidRPr="00140BF5">
        <w:rPr>
          <w:lang w:val="en-GB"/>
        </w:rPr>
        <w:t>Copenhagen</w:t>
      </w:r>
      <w:r w:rsidRPr="00140BF5">
        <w:rPr>
          <w:lang w:val="en-GB"/>
        </w:rPr>
        <w:t xml:space="preserve"> </w:t>
      </w:r>
      <w:r w:rsidR="0078333B" w:rsidRPr="00140BF5">
        <w:rPr>
          <w:lang w:val="en-GB"/>
        </w:rPr>
        <w:t xml:space="preserve">(construction and cleaning) </w:t>
      </w:r>
      <w:r w:rsidRPr="00140BF5">
        <w:rPr>
          <w:lang w:val="en-GB"/>
        </w:rPr>
        <w:t xml:space="preserve">and </w:t>
      </w:r>
      <w:r w:rsidR="0078333B" w:rsidRPr="00140BF5">
        <w:rPr>
          <w:lang w:val="en-GB"/>
        </w:rPr>
        <w:t>construction</w:t>
      </w:r>
      <w:r w:rsidR="00A24C50" w:rsidRPr="00140BF5">
        <w:rPr>
          <w:lang w:val="en-GB"/>
        </w:rPr>
        <w:t xml:space="preserve"> in Bremen</w:t>
      </w:r>
      <w:r w:rsidR="0064479A" w:rsidRPr="00140BF5">
        <w:rPr>
          <w:lang w:val="en-GB"/>
        </w:rPr>
        <w:t>,</w:t>
      </w:r>
      <w:r w:rsidRPr="00140BF5">
        <w:rPr>
          <w:lang w:val="en-GB"/>
        </w:rPr>
        <w:t xml:space="preserve"> which ‘complement’ underlying systems of joint regulation between social partners by bringing firms and workers within the scope of existing collectively agreed wage standards. </w:t>
      </w:r>
      <w:r w:rsidR="00A61A48" w:rsidRPr="00140BF5">
        <w:rPr>
          <w:lang w:val="en-GB"/>
        </w:rPr>
        <w:t>In the ‘</w:t>
      </w:r>
      <w:r w:rsidR="00A40D23" w:rsidRPr="00140BF5">
        <w:rPr>
          <w:lang w:val="en-GB"/>
        </w:rPr>
        <w:t xml:space="preserve">complementary’ </w:t>
      </w:r>
      <w:r w:rsidR="00A61A48" w:rsidRPr="00140BF5">
        <w:rPr>
          <w:lang w:val="en-GB"/>
        </w:rPr>
        <w:t>se</w:t>
      </w:r>
      <w:r w:rsidR="0064479A" w:rsidRPr="00140BF5">
        <w:rPr>
          <w:lang w:val="en-GB"/>
        </w:rPr>
        <w:t>t</w:t>
      </w:r>
      <w:r w:rsidR="00A61A48" w:rsidRPr="00140BF5">
        <w:rPr>
          <w:lang w:val="en-GB"/>
        </w:rPr>
        <w:t>ting</w:t>
      </w:r>
      <w:r w:rsidR="006D64F1" w:rsidRPr="00140BF5">
        <w:rPr>
          <w:lang w:val="en-GB"/>
        </w:rPr>
        <w:t>s</w:t>
      </w:r>
      <w:r w:rsidR="00A61A48" w:rsidRPr="00140BF5">
        <w:rPr>
          <w:lang w:val="en-GB"/>
        </w:rPr>
        <w:t xml:space="preserve">, </w:t>
      </w:r>
      <w:r w:rsidR="006D64F1" w:rsidRPr="00140BF5">
        <w:rPr>
          <w:lang w:val="en-GB"/>
        </w:rPr>
        <w:t>labour</w:t>
      </w:r>
      <w:r w:rsidR="00A61A48" w:rsidRPr="00140BF5">
        <w:rPr>
          <w:lang w:val="en-GB"/>
        </w:rPr>
        <w:t xml:space="preserve"> clauses </w:t>
      </w:r>
      <w:r w:rsidR="000F223A" w:rsidRPr="00140BF5">
        <w:rPr>
          <w:lang w:val="en-GB"/>
        </w:rPr>
        <w:t xml:space="preserve">are </w:t>
      </w:r>
      <w:r w:rsidR="006D64F1" w:rsidRPr="00140BF5">
        <w:rPr>
          <w:lang w:val="en-GB"/>
        </w:rPr>
        <w:t>able</w:t>
      </w:r>
      <w:r w:rsidR="00A61A48" w:rsidRPr="00140BF5">
        <w:rPr>
          <w:lang w:val="en-GB"/>
        </w:rPr>
        <w:t xml:space="preserve"> to extend </w:t>
      </w:r>
      <w:r w:rsidR="00F910A4" w:rsidRPr="00140BF5">
        <w:rPr>
          <w:lang w:val="en-GB"/>
        </w:rPr>
        <w:t xml:space="preserve">prevailing </w:t>
      </w:r>
      <w:r w:rsidR="009A14D4" w:rsidRPr="00140BF5">
        <w:rPr>
          <w:lang w:val="en-GB"/>
        </w:rPr>
        <w:t xml:space="preserve">rates of pay </w:t>
      </w:r>
      <w:r w:rsidR="00A61A48" w:rsidRPr="00140BF5">
        <w:rPr>
          <w:lang w:val="en-GB"/>
        </w:rPr>
        <w:t>(</w:t>
      </w:r>
      <w:r w:rsidR="009A14D4" w:rsidRPr="00140BF5">
        <w:rPr>
          <w:lang w:val="en-GB"/>
        </w:rPr>
        <w:t xml:space="preserve">and </w:t>
      </w:r>
      <w:r w:rsidR="006D64F1" w:rsidRPr="00140BF5">
        <w:rPr>
          <w:lang w:val="en-GB"/>
        </w:rPr>
        <w:t>some</w:t>
      </w:r>
      <w:r w:rsidR="009A14D4" w:rsidRPr="00140BF5">
        <w:rPr>
          <w:lang w:val="en-GB"/>
        </w:rPr>
        <w:t xml:space="preserve"> additional</w:t>
      </w:r>
      <w:r w:rsidR="00A61A48" w:rsidRPr="00140BF5">
        <w:rPr>
          <w:lang w:val="en-GB"/>
        </w:rPr>
        <w:t xml:space="preserve"> benefits) to a growing </w:t>
      </w:r>
      <w:r w:rsidR="00290404" w:rsidRPr="00140BF5">
        <w:rPr>
          <w:i/>
          <w:lang w:val="en-GB"/>
        </w:rPr>
        <w:t>minority</w:t>
      </w:r>
      <w:r w:rsidR="00290404" w:rsidRPr="00140BF5">
        <w:rPr>
          <w:lang w:val="en-GB"/>
        </w:rPr>
        <w:t xml:space="preserve"> </w:t>
      </w:r>
      <w:r w:rsidR="00A61A48" w:rsidRPr="00140BF5">
        <w:rPr>
          <w:lang w:val="en-GB"/>
        </w:rPr>
        <w:t xml:space="preserve">of workers who </w:t>
      </w:r>
      <w:r w:rsidR="00913119" w:rsidRPr="00140BF5">
        <w:rPr>
          <w:lang w:val="en-GB"/>
        </w:rPr>
        <w:t>a</w:t>
      </w:r>
      <w:r w:rsidR="006D64F1" w:rsidRPr="00140BF5">
        <w:rPr>
          <w:lang w:val="en-GB"/>
        </w:rPr>
        <w:t>re</w:t>
      </w:r>
      <w:r w:rsidR="00A61A48" w:rsidRPr="00140BF5">
        <w:rPr>
          <w:lang w:val="en-GB"/>
        </w:rPr>
        <w:t xml:space="preserve"> </w:t>
      </w:r>
      <w:r w:rsidR="00B73DAE" w:rsidRPr="00140BF5">
        <w:rPr>
          <w:lang w:val="en-GB"/>
        </w:rPr>
        <w:t xml:space="preserve">de facto </w:t>
      </w:r>
      <w:r w:rsidR="00F910A4" w:rsidRPr="00140BF5">
        <w:rPr>
          <w:lang w:val="en-GB"/>
        </w:rPr>
        <w:t xml:space="preserve">not </w:t>
      </w:r>
      <w:r w:rsidR="00913119" w:rsidRPr="00140BF5">
        <w:rPr>
          <w:lang w:val="en-GB"/>
        </w:rPr>
        <w:t xml:space="preserve">already </w:t>
      </w:r>
      <w:r w:rsidR="00A61A48" w:rsidRPr="00140BF5">
        <w:rPr>
          <w:lang w:val="en-GB"/>
        </w:rPr>
        <w:t>covered</w:t>
      </w:r>
      <w:r w:rsidR="00A40D23" w:rsidRPr="00140BF5">
        <w:rPr>
          <w:lang w:val="en-GB"/>
        </w:rPr>
        <w:t xml:space="preserve">, </w:t>
      </w:r>
      <w:r w:rsidR="006D64F1" w:rsidRPr="00140BF5">
        <w:rPr>
          <w:lang w:val="en-GB"/>
        </w:rPr>
        <w:t xml:space="preserve">without undermining </w:t>
      </w:r>
      <w:r w:rsidR="00A40D23" w:rsidRPr="00140BF5">
        <w:rPr>
          <w:lang w:val="en-GB"/>
        </w:rPr>
        <w:t xml:space="preserve">the existing </w:t>
      </w:r>
      <w:r w:rsidR="006D64F1" w:rsidRPr="00140BF5">
        <w:rPr>
          <w:lang w:val="en-GB"/>
        </w:rPr>
        <w:t xml:space="preserve">regulatory </w:t>
      </w:r>
      <w:r w:rsidR="00A40D23" w:rsidRPr="00140BF5">
        <w:rPr>
          <w:lang w:val="en-GB"/>
        </w:rPr>
        <w:t>system</w:t>
      </w:r>
      <w:r w:rsidR="005E3626" w:rsidRPr="00140BF5">
        <w:rPr>
          <w:lang w:val="en-GB"/>
        </w:rPr>
        <w:t xml:space="preserve">. </w:t>
      </w:r>
      <w:r w:rsidR="006D64F1" w:rsidRPr="00140BF5">
        <w:rPr>
          <w:lang w:val="en-GB"/>
        </w:rPr>
        <w:t xml:space="preserve">In contrast, labour clauses in </w:t>
      </w:r>
      <w:r w:rsidR="00A61A48" w:rsidRPr="00140BF5">
        <w:rPr>
          <w:lang w:val="en-GB"/>
        </w:rPr>
        <w:t>the ‘</w:t>
      </w:r>
      <w:r w:rsidR="00A40D23" w:rsidRPr="00140BF5">
        <w:rPr>
          <w:lang w:val="en-GB"/>
        </w:rPr>
        <w:t>compensatory’</w:t>
      </w:r>
      <w:r w:rsidR="00A61A48" w:rsidRPr="00140BF5">
        <w:rPr>
          <w:lang w:val="en-GB"/>
        </w:rPr>
        <w:t xml:space="preserve"> </w:t>
      </w:r>
      <w:r w:rsidR="00666B33" w:rsidRPr="00140BF5">
        <w:rPr>
          <w:lang w:val="en-GB"/>
        </w:rPr>
        <w:t>examples</w:t>
      </w:r>
      <w:r w:rsidR="00A61A48" w:rsidRPr="00140BF5">
        <w:rPr>
          <w:lang w:val="en-GB"/>
        </w:rPr>
        <w:t xml:space="preserve"> </w:t>
      </w:r>
      <w:r w:rsidR="00913119" w:rsidRPr="00140BF5">
        <w:rPr>
          <w:lang w:val="en-GB"/>
        </w:rPr>
        <w:t xml:space="preserve">raise wages for </w:t>
      </w:r>
      <w:r w:rsidR="00A61A48" w:rsidRPr="00140BF5">
        <w:rPr>
          <w:lang w:val="en-GB"/>
        </w:rPr>
        <w:t xml:space="preserve">a large share of </w:t>
      </w:r>
      <w:r w:rsidR="004C652E" w:rsidRPr="00140BF5">
        <w:rPr>
          <w:lang w:val="en-GB"/>
        </w:rPr>
        <w:t xml:space="preserve">subcontracted </w:t>
      </w:r>
      <w:r w:rsidR="00A61A48" w:rsidRPr="00140BF5">
        <w:rPr>
          <w:lang w:val="en-GB"/>
        </w:rPr>
        <w:t>employees</w:t>
      </w:r>
      <w:r w:rsidR="006D64F1" w:rsidRPr="00140BF5">
        <w:rPr>
          <w:lang w:val="en-GB"/>
        </w:rPr>
        <w:t xml:space="preserve">, thereby </w:t>
      </w:r>
      <w:r w:rsidR="00666B33" w:rsidRPr="00140BF5">
        <w:rPr>
          <w:lang w:val="en-GB"/>
        </w:rPr>
        <w:t>filling a crucial gap in systems of</w:t>
      </w:r>
      <w:r w:rsidR="00A40D23" w:rsidRPr="00140BF5">
        <w:rPr>
          <w:lang w:val="en-GB"/>
        </w:rPr>
        <w:t xml:space="preserve"> regulation</w:t>
      </w:r>
      <w:r w:rsidR="004C652E" w:rsidRPr="00140BF5">
        <w:rPr>
          <w:lang w:val="en-GB"/>
        </w:rPr>
        <w:t>. However the raising of wages starts from a relatively low level (when compared with the collectively agreed wages in the complementary settings)</w:t>
      </w:r>
      <w:r w:rsidR="00B73DAE" w:rsidRPr="00140BF5">
        <w:rPr>
          <w:lang w:val="en-GB"/>
        </w:rPr>
        <w:t xml:space="preserve">, </w:t>
      </w:r>
      <w:r w:rsidR="004C652E" w:rsidRPr="00140BF5">
        <w:rPr>
          <w:lang w:val="en-GB"/>
        </w:rPr>
        <w:t>and the reliance on labour clauses has not reinvigorated wider systems of voluntarist wage setting</w:t>
      </w:r>
      <w:r w:rsidR="002C56D3" w:rsidRPr="00140BF5">
        <w:rPr>
          <w:lang w:val="en-GB"/>
        </w:rPr>
        <w:t>.</w:t>
      </w:r>
    </w:p>
    <w:p w14:paraId="2B97AC0B" w14:textId="275BC13C" w:rsidR="0080588D" w:rsidRPr="00140BF5" w:rsidRDefault="00841A70" w:rsidP="0002468A">
      <w:pPr>
        <w:spacing w:before="60" w:after="60" w:line="480" w:lineRule="auto"/>
        <w:jc w:val="both"/>
        <w:rPr>
          <w:lang w:val="en-GB"/>
        </w:rPr>
      </w:pPr>
      <w:r w:rsidRPr="00140BF5">
        <w:rPr>
          <w:lang w:val="en-GB"/>
        </w:rPr>
        <w:t>There are</w:t>
      </w:r>
      <w:r w:rsidR="00CA51B3" w:rsidRPr="00140BF5">
        <w:rPr>
          <w:lang w:val="en-GB"/>
        </w:rPr>
        <w:t>,</w:t>
      </w:r>
      <w:r w:rsidRPr="00140BF5">
        <w:rPr>
          <w:lang w:val="en-GB"/>
        </w:rPr>
        <w:t xml:space="preserve"> however</w:t>
      </w:r>
      <w:r w:rsidR="00CA51B3" w:rsidRPr="00140BF5">
        <w:rPr>
          <w:lang w:val="en-GB"/>
        </w:rPr>
        <w:t>,</w:t>
      </w:r>
      <w:r w:rsidRPr="00140BF5">
        <w:rPr>
          <w:lang w:val="en-GB"/>
        </w:rPr>
        <w:t xml:space="preserve"> important limit</w:t>
      </w:r>
      <w:r w:rsidR="00140BF5">
        <w:rPr>
          <w:lang w:val="en-GB"/>
        </w:rPr>
        <w:t>ations in terms of the generalis</w:t>
      </w:r>
      <w:r w:rsidRPr="00140BF5">
        <w:rPr>
          <w:lang w:val="en-GB"/>
        </w:rPr>
        <w:t>ability of our findings</w:t>
      </w:r>
      <w:r w:rsidR="00612C21" w:rsidRPr="00140BF5">
        <w:rPr>
          <w:lang w:val="en-GB"/>
        </w:rPr>
        <w:t>,</w:t>
      </w:r>
      <w:r w:rsidRPr="00140BF5">
        <w:rPr>
          <w:lang w:val="en-GB"/>
        </w:rPr>
        <w:t xml:space="preserve"> which are linked to the purposive sampling of ‘best</w:t>
      </w:r>
      <w:r w:rsidR="00977798" w:rsidRPr="00140BF5">
        <w:rPr>
          <w:lang w:val="en-GB"/>
        </w:rPr>
        <w:t>’ or potentially paradigmatic</w:t>
      </w:r>
      <w:r w:rsidRPr="00140BF5">
        <w:rPr>
          <w:lang w:val="en-GB"/>
        </w:rPr>
        <w:t xml:space="preserve"> </w:t>
      </w:r>
      <w:r w:rsidR="00977798" w:rsidRPr="00140BF5">
        <w:rPr>
          <w:lang w:val="en-GB"/>
        </w:rPr>
        <w:t>cases from</w:t>
      </w:r>
      <w:r w:rsidRPr="00140BF5">
        <w:rPr>
          <w:lang w:val="en-GB"/>
        </w:rPr>
        <w:t xml:space="preserve"> varie</w:t>
      </w:r>
      <w:r w:rsidR="00977798" w:rsidRPr="00140BF5">
        <w:rPr>
          <w:lang w:val="en-GB"/>
        </w:rPr>
        <w:t>d</w:t>
      </w:r>
      <w:r w:rsidRPr="00140BF5">
        <w:rPr>
          <w:lang w:val="en-GB"/>
        </w:rPr>
        <w:t xml:space="preserve"> </w:t>
      </w:r>
      <w:r w:rsidR="009311B4" w:rsidRPr="00140BF5">
        <w:rPr>
          <w:lang w:val="en-GB"/>
        </w:rPr>
        <w:t xml:space="preserve">national </w:t>
      </w:r>
      <w:r w:rsidR="00977798" w:rsidRPr="00140BF5">
        <w:rPr>
          <w:lang w:val="en-GB"/>
        </w:rPr>
        <w:t xml:space="preserve">and sectoral </w:t>
      </w:r>
      <w:r w:rsidR="009311B4" w:rsidRPr="00140BF5">
        <w:rPr>
          <w:lang w:val="en-GB"/>
        </w:rPr>
        <w:t>systems</w:t>
      </w:r>
      <w:r w:rsidR="00977798" w:rsidRPr="00140BF5">
        <w:rPr>
          <w:lang w:val="en-GB"/>
        </w:rPr>
        <w:t xml:space="preserve"> of labour market regulation</w:t>
      </w:r>
      <w:r w:rsidR="00C90474" w:rsidRPr="00140BF5">
        <w:rPr>
          <w:lang w:val="en-GB"/>
        </w:rPr>
        <w:t>. T</w:t>
      </w:r>
      <w:r w:rsidR="000021FE" w:rsidRPr="00140BF5">
        <w:rPr>
          <w:lang w:val="en-GB"/>
        </w:rPr>
        <w:t xml:space="preserve">he three case studies </w:t>
      </w:r>
      <w:r w:rsidR="00977798" w:rsidRPr="00140BF5">
        <w:rPr>
          <w:lang w:val="en-GB"/>
        </w:rPr>
        <w:t xml:space="preserve">were not chosen for their </w:t>
      </w:r>
      <w:r w:rsidR="000021FE" w:rsidRPr="00140BF5">
        <w:rPr>
          <w:lang w:val="en-GB"/>
        </w:rPr>
        <w:t>representative</w:t>
      </w:r>
      <w:r w:rsidR="00977798" w:rsidRPr="00140BF5">
        <w:rPr>
          <w:lang w:val="en-GB"/>
        </w:rPr>
        <w:t xml:space="preserve">ness, but specifically because they had moved furthest towards the systematic adoption, implementation, and enforcement of labour clauses for local government contracts within their national and sectoral contexts. </w:t>
      </w:r>
      <w:r w:rsidR="002A3FCE" w:rsidRPr="00140BF5">
        <w:rPr>
          <w:lang w:val="en-GB"/>
        </w:rPr>
        <w:t xml:space="preserve">The cases illustrate that </w:t>
      </w:r>
      <w:r w:rsidR="009508D1" w:rsidRPr="00140BF5">
        <w:rPr>
          <w:lang w:val="en-GB"/>
        </w:rPr>
        <w:t>the</w:t>
      </w:r>
      <w:r w:rsidR="002A3FCE" w:rsidRPr="00140BF5">
        <w:rPr>
          <w:lang w:val="en-GB"/>
        </w:rPr>
        <w:t xml:space="preserve"> </w:t>
      </w:r>
      <w:r w:rsidR="002A6BBC" w:rsidRPr="00140BF5">
        <w:rPr>
          <w:lang w:val="en-GB"/>
        </w:rPr>
        <w:t>effective regulation of public supply chains</w:t>
      </w:r>
      <w:r w:rsidR="002A3FCE" w:rsidRPr="00140BF5">
        <w:rPr>
          <w:lang w:val="en-GB"/>
        </w:rPr>
        <w:t xml:space="preserve"> </w:t>
      </w:r>
      <w:r w:rsidR="002A6BBC" w:rsidRPr="00140BF5">
        <w:rPr>
          <w:lang w:val="en-GB"/>
        </w:rPr>
        <w:t>is</w:t>
      </w:r>
      <w:r w:rsidR="002A3FCE" w:rsidRPr="00140BF5">
        <w:rPr>
          <w:lang w:val="en-GB"/>
        </w:rPr>
        <w:t xml:space="preserve"> not </w:t>
      </w:r>
      <w:r w:rsidR="00977798" w:rsidRPr="00140BF5">
        <w:rPr>
          <w:lang w:val="en-GB"/>
        </w:rPr>
        <w:t>necessarily</w:t>
      </w:r>
      <w:r w:rsidR="002A3FCE" w:rsidRPr="00140BF5">
        <w:rPr>
          <w:lang w:val="en-GB"/>
        </w:rPr>
        <w:t xml:space="preserve"> </w:t>
      </w:r>
      <w:r w:rsidR="009508D1" w:rsidRPr="00140BF5">
        <w:rPr>
          <w:lang w:val="en-GB"/>
        </w:rPr>
        <w:t>determined</w:t>
      </w:r>
      <w:r w:rsidR="002A3FCE" w:rsidRPr="00140BF5">
        <w:rPr>
          <w:lang w:val="en-GB"/>
        </w:rPr>
        <w:t xml:space="preserve"> by specific institutional </w:t>
      </w:r>
      <w:r w:rsidR="00977798" w:rsidRPr="00140BF5">
        <w:rPr>
          <w:lang w:val="en-GB"/>
        </w:rPr>
        <w:t>factors</w:t>
      </w:r>
      <w:r w:rsidR="002A3FCE" w:rsidRPr="00140BF5">
        <w:rPr>
          <w:lang w:val="en-GB"/>
        </w:rPr>
        <w:t xml:space="preserve"> such as </w:t>
      </w:r>
      <w:r w:rsidR="00977798" w:rsidRPr="00140BF5">
        <w:rPr>
          <w:lang w:val="en-GB"/>
        </w:rPr>
        <w:t xml:space="preserve">the size of </w:t>
      </w:r>
      <w:r w:rsidR="002A3FCE" w:rsidRPr="00140BF5">
        <w:rPr>
          <w:lang w:val="en-GB"/>
        </w:rPr>
        <w:t xml:space="preserve">public budgets, </w:t>
      </w:r>
      <w:r w:rsidR="002A6BBC" w:rsidRPr="00140BF5">
        <w:rPr>
          <w:lang w:val="en-GB"/>
        </w:rPr>
        <w:t>the</w:t>
      </w:r>
      <w:r w:rsidR="00977798" w:rsidRPr="00140BF5">
        <w:rPr>
          <w:lang w:val="en-GB"/>
        </w:rPr>
        <w:t xml:space="preserve"> gaps between public and private sector wage rates </w:t>
      </w:r>
      <w:r w:rsidR="002A3FCE" w:rsidRPr="00140BF5">
        <w:rPr>
          <w:lang w:val="en-GB"/>
        </w:rPr>
        <w:t xml:space="preserve">or </w:t>
      </w:r>
      <w:r w:rsidR="00977798" w:rsidRPr="00140BF5">
        <w:rPr>
          <w:lang w:val="en-GB"/>
        </w:rPr>
        <w:t xml:space="preserve">even the prevailing </w:t>
      </w:r>
      <w:r w:rsidR="00263BE5" w:rsidRPr="00140BF5">
        <w:rPr>
          <w:lang w:val="en-GB"/>
        </w:rPr>
        <w:t xml:space="preserve">industrial relations </w:t>
      </w:r>
      <w:r w:rsidR="00190171" w:rsidRPr="00140BF5">
        <w:rPr>
          <w:lang w:val="en-GB"/>
        </w:rPr>
        <w:t>systems</w:t>
      </w:r>
      <w:r w:rsidR="002A3FCE" w:rsidRPr="00140BF5">
        <w:rPr>
          <w:lang w:val="en-GB"/>
        </w:rPr>
        <w:t xml:space="preserve">, but </w:t>
      </w:r>
      <w:r w:rsidR="002A6BBC" w:rsidRPr="00140BF5">
        <w:rPr>
          <w:lang w:val="en-GB"/>
        </w:rPr>
        <w:t>is a</w:t>
      </w:r>
      <w:r w:rsidR="002A3FCE" w:rsidRPr="00140BF5">
        <w:rPr>
          <w:lang w:val="en-GB"/>
        </w:rPr>
        <w:t xml:space="preserve"> product of deliberate political choices</w:t>
      </w:r>
      <w:r w:rsidR="00632D17" w:rsidRPr="00140BF5">
        <w:rPr>
          <w:lang w:val="en-GB"/>
        </w:rPr>
        <w:t xml:space="preserve">. </w:t>
      </w:r>
      <w:r w:rsidR="00EC3735" w:rsidRPr="00140BF5">
        <w:rPr>
          <w:lang w:val="en-GB"/>
        </w:rPr>
        <w:t>Our data show that Labour</w:t>
      </w:r>
      <w:r w:rsidR="002A3FCE" w:rsidRPr="00140BF5">
        <w:rPr>
          <w:lang w:val="en-GB"/>
        </w:rPr>
        <w:t xml:space="preserve"> and </w:t>
      </w:r>
      <w:r w:rsidR="00EC3735" w:rsidRPr="00140BF5">
        <w:rPr>
          <w:lang w:val="en-GB"/>
        </w:rPr>
        <w:t>S</w:t>
      </w:r>
      <w:r w:rsidR="002A3FCE" w:rsidRPr="00140BF5">
        <w:rPr>
          <w:lang w:val="en-GB"/>
        </w:rPr>
        <w:t xml:space="preserve">ocial </w:t>
      </w:r>
      <w:r w:rsidR="00EC3735" w:rsidRPr="00140BF5">
        <w:rPr>
          <w:lang w:val="en-GB"/>
        </w:rPr>
        <w:t>D</w:t>
      </w:r>
      <w:r w:rsidR="002A3FCE" w:rsidRPr="00140BF5">
        <w:rPr>
          <w:lang w:val="en-GB"/>
        </w:rPr>
        <w:t xml:space="preserve">emocratic </w:t>
      </w:r>
      <w:r w:rsidR="00EC3735" w:rsidRPr="00140BF5">
        <w:rPr>
          <w:lang w:val="en-GB"/>
        </w:rPr>
        <w:t xml:space="preserve">politicians were at the forefront of socially responsible procurement, which </w:t>
      </w:r>
      <w:r w:rsidR="00A4097D" w:rsidRPr="00140BF5">
        <w:rPr>
          <w:lang w:val="en-GB"/>
        </w:rPr>
        <w:t>contradict</w:t>
      </w:r>
      <w:r w:rsidR="00EC3735" w:rsidRPr="00140BF5">
        <w:rPr>
          <w:lang w:val="en-GB"/>
        </w:rPr>
        <w:t>s</w:t>
      </w:r>
      <w:r w:rsidR="00A4097D" w:rsidRPr="00140BF5">
        <w:rPr>
          <w:lang w:val="en-GB"/>
        </w:rPr>
        <w:t xml:space="preserve"> Rueda’s (20</w:t>
      </w:r>
      <w:r w:rsidR="009508D1" w:rsidRPr="00140BF5">
        <w:rPr>
          <w:lang w:val="en-GB"/>
        </w:rPr>
        <w:t>14</w:t>
      </w:r>
      <w:r w:rsidR="00A4097D" w:rsidRPr="00140BF5">
        <w:rPr>
          <w:lang w:val="en-GB"/>
        </w:rPr>
        <w:t xml:space="preserve">) criticism of </w:t>
      </w:r>
      <w:r w:rsidR="00EC3735" w:rsidRPr="00140BF5">
        <w:rPr>
          <w:lang w:val="en-GB"/>
        </w:rPr>
        <w:t xml:space="preserve">the supposed </w:t>
      </w:r>
      <w:r w:rsidR="00A4097D" w:rsidRPr="00140BF5">
        <w:rPr>
          <w:lang w:val="en-GB"/>
        </w:rPr>
        <w:t>insider</w:t>
      </w:r>
      <w:r w:rsidR="00EC3735" w:rsidRPr="00140BF5">
        <w:rPr>
          <w:lang w:val="en-GB"/>
        </w:rPr>
        <w:t>-</w:t>
      </w:r>
      <w:r w:rsidR="00A4097D" w:rsidRPr="00140BF5">
        <w:rPr>
          <w:lang w:val="en-GB"/>
        </w:rPr>
        <w:t xml:space="preserve">bias </w:t>
      </w:r>
      <w:r w:rsidR="00EC3735" w:rsidRPr="00140BF5">
        <w:rPr>
          <w:lang w:val="en-GB"/>
        </w:rPr>
        <w:t>of left wing political parties</w:t>
      </w:r>
      <w:r w:rsidR="00A4097D" w:rsidRPr="00140BF5">
        <w:rPr>
          <w:lang w:val="en-GB"/>
        </w:rPr>
        <w:t xml:space="preserve">. However, </w:t>
      </w:r>
      <w:r w:rsidR="00EC3735" w:rsidRPr="00140BF5">
        <w:rPr>
          <w:lang w:val="en-GB"/>
        </w:rPr>
        <w:t>sympathetic politicians</w:t>
      </w:r>
      <w:r w:rsidR="00A4097D" w:rsidRPr="00140BF5">
        <w:rPr>
          <w:lang w:val="en-GB"/>
        </w:rPr>
        <w:t xml:space="preserve"> may </w:t>
      </w:r>
      <w:r w:rsidR="00190171" w:rsidRPr="00140BF5">
        <w:rPr>
          <w:lang w:val="en-GB"/>
        </w:rPr>
        <w:t xml:space="preserve">not </w:t>
      </w:r>
      <w:r w:rsidR="002A6BBC" w:rsidRPr="00140BF5">
        <w:rPr>
          <w:lang w:val="en-GB"/>
        </w:rPr>
        <w:t xml:space="preserve">automatically </w:t>
      </w:r>
      <w:r w:rsidR="00263BE5" w:rsidRPr="00140BF5">
        <w:rPr>
          <w:lang w:val="en-GB"/>
        </w:rPr>
        <w:t>push for such social</w:t>
      </w:r>
      <w:r w:rsidR="004E3AD6" w:rsidRPr="00140BF5">
        <w:rPr>
          <w:lang w:val="en-GB"/>
        </w:rPr>
        <w:t>ly oriented</w:t>
      </w:r>
      <w:r w:rsidR="00263BE5" w:rsidRPr="00140BF5">
        <w:rPr>
          <w:lang w:val="en-GB"/>
        </w:rPr>
        <w:t xml:space="preserve"> </w:t>
      </w:r>
      <w:r w:rsidR="00A4097D" w:rsidRPr="00140BF5">
        <w:rPr>
          <w:lang w:val="en-GB"/>
        </w:rPr>
        <w:t>projects</w:t>
      </w:r>
      <w:r w:rsidR="009508D1" w:rsidRPr="00140BF5">
        <w:rPr>
          <w:lang w:val="en-GB"/>
        </w:rPr>
        <w:t xml:space="preserve">, especially when </w:t>
      </w:r>
      <w:r w:rsidR="009508D1" w:rsidRPr="00140BF5">
        <w:rPr>
          <w:lang w:val="en-GB"/>
        </w:rPr>
        <w:lastRenderedPageBreak/>
        <w:t>faced with tight budget</w:t>
      </w:r>
      <w:r w:rsidR="004E3AD6" w:rsidRPr="00140BF5">
        <w:rPr>
          <w:lang w:val="en-GB"/>
        </w:rPr>
        <w:t xml:space="preserve"> constraints</w:t>
      </w:r>
      <w:r w:rsidR="009508D1" w:rsidRPr="00140BF5">
        <w:rPr>
          <w:lang w:val="en-GB"/>
        </w:rPr>
        <w:t>,</w:t>
      </w:r>
      <w:r w:rsidR="00A4097D" w:rsidRPr="00140BF5">
        <w:rPr>
          <w:lang w:val="en-GB"/>
        </w:rPr>
        <w:t xml:space="preserve"> </w:t>
      </w:r>
      <w:r w:rsidR="00263BE5" w:rsidRPr="00140BF5">
        <w:rPr>
          <w:lang w:val="en-GB"/>
        </w:rPr>
        <w:t xml:space="preserve">without </w:t>
      </w:r>
      <w:r w:rsidR="00612C21" w:rsidRPr="00140BF5">
        <w:rPr>
          <w:lang w:val="en-GB"/>
        </w:rPr>
        <w:t xml:space="preserve">pressure </w:t>
      </w:r>
      <w:r w:rsidR="00263BE5" w:rsidRPr="00140BF5">
        <w:rPr>
          <w:lang w:val="en-GB"/>
        </w:rPr>
        <w:t xml:space="preserve">from </w:t>
      </w:r>
      <w:r w:rsidR="004E3AD6" w:rsidRPr="00140BF5">
        <w:rPr>
          <w:lang w:val="en-GB"/>
        </w:rPr>
        <w:t xml:space="preserve">trade unions, local median and to a lesser extent </w:t>
      </w:r>
      <w:r w:rsidR="00A4097D" w:rsidRPr="00140BF5">
        <w:rPr>
          <w:lang w:val="en-GB"/>
        </w:rPr>
        <w:t xml:space="preserve">employers </w:t>
      </w:r>
      <w:r w:rsidR="004E3AD6" w:rsidRPr="00140BF5">
        <w:rPr>
          <w:lang w:val="en-GB"/>
        </w:rPr>
        <w:t>who are concerned about unfair wage competition</w:t>
      </w:r>
      <w:r w:rsidR="00A4097D" w:rsidRPr="00140BF5">
        <w:rPr>
          <w:lang w:val="en-GB"/>
        </w:rPr>
        <w:t xml:space="preserve">. </w:t>
      </w:r>
      <w:r w:rsidR="0080588D" w:rsidRPr="00140BF5">
        <w:rPr>
          <w:lang w:val="en-GB"/>
        </w:rPr>
        <w:t xml:space="preserve">These important contextual factors also underline the potential vulnerability of these coalitions and localised agreements in the face of changing political and financial winds. </w:t>
      </w:r>
    </w:p>
    <w:p w14:paraId="188EF259" w14:textId="17957876" w:rsidR="00AD0786" w:rsidRPr="00140BF5" w:rsidRDefault="00EC3735" w:rsidP="0002468A">
      <w:pPr>
        <w:spacing w:before="60" w:after="60" w:line="480" w:lineRule="auto"/>
        <w:jc w:val="both"/>
        <w:rPr>
          <w:lang w:val="en-GB"/>
        </w:rPr>
      </w:pPr>
      <w:r w:rsidRPr="00140BF5">
        <w:rPr>
          <w:lang w:val="en-GB"/>
        </w:rPr>
        <w:t>Furthermore, the</w:t>
      </w:r>
      <w:r w:rsidR="0002569F" w:rsidRPr="00140BF5">
        <w:rPr>
          <w:lang w:val="en-GB"/>
        </w:rPr>
        <w:t xml:space="preserve">re remain clear tensions </w:t>
      </w:r>
      <w:r w:rsidRPr="00140BF5">
        <w:rPr>
          <w:lang w:val="en-GB"/>
        </w:rPr>
        <w:t>between labour clauses and</w:t>
      </w:r>
      <w:r w:rsidR="00DC63B5" w:rsidRPr="00140BF5">
        <w:rPr>
          <w:lang w:val="en-GB"/>
        </w:rPr>
        <w:t xml:space="preserve"> </w:t>
      </w:r>
      <w:r w:rsidR="00D377A8" w:rsidRPr="00140BF5">
        <w:rPr>
          <w:lang w:val="en-GB"/>
        </w:rPr>
        <w:t xml:space="preserve">the </w:t>
      </w:r>
      <w:r w:rsidR="00DC63B5" w:rsidRPr="00140BF5">
        <w:rPr>
          <w:lang w:val="en-GB"/>
        </w:rPr>
        <w:t xml:space="preserve">wider </w:t>
      </w:r>
      <w:r w:rsidR="00D377A8" w:rsidRPr="00140BF5">
        <w:rPr>
          <w:lang w:val="en-GB"/>
        </w:rPr>
        <w:t>institutional framework</w:t>
      </w:r>
      <w:r w:rsidR="0080588D" w:rsidRPr="00140BF5">
        <w:rPr>
          <w:lang w:val="en-GB"/>
        </w:rPr>
        <w:t xml:space="preserve"> that </w:t>
      </w:r>
      <w:r w:rsidR="00D377A8" w:rsidRPr="00140BF5">
        <w:rPr>
          <w:lang w:val="en-GB"/>
        </w:rPr>
        <w:t xml:space="preserve">might additionally </w:t>
      </w:r>
      <w:r w:rsidR="0080588D" w:rsidRPr="00140BF5">
        <w:rPr>
          <w:lang w:val="en-GB"/>
        </w:rPr>
        <w:t xml:space="preserve">limit </w:t>
      </w:r>
      <w:r w:rsidR="00D377A8" w:rsidRPr="00140BF5">
        <w:rPr>
          <w:lang w:val="en-GB"/>
        </w:rPr>
        <w:t>the spread of these best practices</w:t>
      </w:r>
      <w:r w:rsidR="00DC63B5" w:rsidRPr="00140BF5">
        <w:rPr>
          <w:lang w:val="en-GB"/>
        </w:rPr>
        <w:t xml:space="preserve">. </w:t>
      </w:r>
      <w:r w:rsidR="0002569F" w:rsidRPr="00140BF5">
        <w:rPr>
          <w:lang w:val="en-GB"/>
        </w:rPr>
        <w:t>Although socially responsible procurement can compensate for weak or absent mechanisms of collective bargaining</w:t>
      </w:r>
      <w:r w:rsidR="008D7BB0" w:rsidRPr="00140BF5">
        <w:rPr>
          <w:lang w:val="en-GB"/>
        </w:rPr>
        <w:t xml:space="preserve"> as observed in the care sector in Leeds</w:t>
      </w:r>
      <w:r w:rsidR="0002569F" w:rsidRPr="00140BF5">
        <w:rPr>
          <w:lang w:val="en-GB"/>
        </w:rPr>
        <w:t xml:space="preserve">, </w:t>
      </w:r>
      <w:r w:rsidR="008D7BB0" w:rsidRPr="00140BF5">
        <w:rPr>
          <w:lang w:val="en-GB"/>
        </w:rPr>
        <w:t xml:space="preserve">it requires crucially additional resources for external contracts (which </w:t>
      </w:r>
      <w:r w:rsidR="004E3AD6" w:rsidRPr="00140BF5">
        <w:rPr>
          <w:lang w:val="en-GB"/>
        </w:rPr>
        <w:t>may not</w:t>
      </w:r>
      <w:r w:rsidR="008D7BB0" w:rsidRPr="00140BF5">
        <w:rPr>
          <w:lang w:val="en-GB"/>
        </w:rPr>
        <w:t xml:space="preserve"> be feasible at all local councils). In contrast </w:t>
      </w:r>
      <w:r w:rsidR="0002569F" w:rsidRPr="00140BF5">
        <w:rPr>
          <w:lang w:val="en-GB"/>
        </w:rPr>
        <w:t xml:space="preserve">the ability to tackle precariousness is certainly strengthened where </w:t>
      </w:r>
      <w:r w:rsidR="008D7BB0" w:rsidRPr="00140BF5">
        <w:rPr>
          <w:lang w:val="en-GB"/>
        </w:rPr>
        <w:t>socially responsible procurement</w:t>
      </w:r>
      <w:r w:rsidR="0002569F" w:rsidRPr="00140BF5">
        <w:rPr>
          <w:lang w:val="en-GB"/>
        </w:rPr>
        <w:t xml:space="preserve"> </w:t>
      </w:r>
      <w:r w:rsidR="008D7BB0" w:rsidRPr="00140BF5">
        <w:rPr>
          <w:lang w:val="en-GB"/>
        </w:rPr>
        <w:t xml:space="preserve">policies complement </w:t>
      </w:r>
      <w:r w:rsidR="004E3AD6" w:rsidRPr="00140BF5">
        <w:rPr>
          <w:lang w:val="en-GB"/>
        </w:rPr>
        <w:t>existing</w:t>
      </w:r>
      <w:r w:rsidR="008D7BB0" w:rsidRPr="00140BF5">
        <w:rPr>
          <w:lang w:val="en-GB"/>
        </w:rPr>
        <w:t xml:space="preserve"> </w:t>
      </w:r>
      <w:r w:rsidR="004E3AD6" w:rsidRPr="00140BF5">
        <w:rPr>
          <w:lang w:val="en-GB"/>
        </w:rPr>
        <w:t xml:space="preserve">mechanisms of </w:t>
      </w:r>
      <w:r w:rsidR="002049C2" w:rsidRPr="00140BF5">
        <w:rPr>
          <w:lang w:val="en-GB"/>
        </w:rPr>
        <w:t xml:space="preserve">collective bargaining </w:t>
      </w:r>
      <w:r w:rsidR="00612C21" w:rsidRPr="00140BF5">
        <w:rPr>
          <w:lang w:val="en-GB"/>
        </w:rPr>
        <w:t xml:space="preserve">and </w:t>
      </w:r>
      <w:r w:rsidR="004E3AD6" w:rsidRPr="00140BF5">
        <w:rPr>
          <w:lang w:val="en-GB"/>
        </w:rPr>
        <w:t xml:space="preserve">labour market </w:t>
      </w:r>
      <w:r w:rsidR="00612C21" w:rsidRPr="00140BF5">
        <w:rPr>
          <w:lang w:val="en-GB"/>
        </w:rPr>
        <w:t>regulat</w:t>
      </w:r>
      <w:r w:rsidR="004E3AD6" w:rsidRPr="00140BF5">
        <w:rPr>
          <w:lang w:val="en-GB"/>
        </w:rPr>
        <w:t>ion</w:t>
      </w:r>
      <w:r w:rsidR="008D7BB0" w:rsidRPr="00140BF5">
        <w:rPr>
          <w:lang w:val="en-GB"/>
        </w:rPr>
        <w:t xml:space="preserve"> as observed in construction and cleaning in Copenhagen and in the construction sector in Bremen. </w:t>
      </w:r>
      <w:r w:rsidR="00AD0786" w:rsidRPr="00140BF5">
        <w:rPr>
          <w:lang w:val="en-GB"/>
        </w:rPr>
        <w:t xml:space="preserve">The problem is that the potential complementary role hinges on sectoral as well as national systems of employment regulation. </w:t>
      </w:r>
      <w:r w:rsidR="005E3626" w:rsidRPr="00140BF5">
        <w:rPr>
          <w:lang w:val="en-GB"/>
        </w:rPr>
        <w:t xml:space="preserve">While </w:t>
      </w:r>
      <w:r w:rsidR="00AD0786" w:rsidRPr="00140BF5">
        <w:rPr>
          <w:lang w:val="en-GB"/>
        </w:rPr>
        <w:t>the adoption of labour clauses spans both construction and cleaning in Copenhagen</w:t>
      </w:r>
      <w:r w:rsidR="005E3626" w:rsidRPr="00140BF5">
        <w:rPr>
          <w:lang w:val="en-GB"/>
        </w:rPr>
        <w:t>,</w:t>
      </w:r>
      <w:r w:rsidR="00AD0786" w:rsidRPr="00140BF5">
        <w:rPr>
          <w:lang w:val="en-GB"/>
        </w:rPr>
        <w:t xml:space="preserve"> the relative weakness of the trade unions in the catering sector in Bremen (compared with construction) and a less coordinated political lobby mean that these largely female workers </w:t>
      </w:r>
      <w:r w:rsidR="005E3626" w:rsidRPr="00140BF5">
        <w:rPr>
          <w:lang w:val="en-GB"/>
        </w:rPr>
        <w:t>are not any longer covered by</w:t>
      </w:r>
      <w:r w:rsidR="00AD0786" w:rsidRPr="00140BF5">
        <w:rPr>
          <w:lang w:val="en-GB"/>
        </w:rPr>
        <w:t xml:space="preserve"> labour clauses which leaves them doubly disadvantaged by weak systems of joint regulation and an absence of quasi-legal protections in the form of labour clauses.</w:t>
      </w:r>
    </w:p>
    <w:p w14:paraId="72559A5F" w14:textId="70A93C6C" w:rsidR="001A2201" w:rsidRDefault="002B15C1" w:rsidP="0002468A">
      <w:pPr>
        <w:spacing w:before="60" w:after="60" w:line="480" w:lineRule="auto"/>
        <w:jc w:val="both"/>
        <w:rPr>
          <w:rFonts w:ascii="Calibri" w:hAnsi="Calibri" w:cs="Calibri"/>
          <w:lang w:val="en-GB"/>
        </w:rPr>
      </w:pPr>
      <w:r w:rsidRPr="00140BF5">
        <w:rPr>
          <w:lang w:val="en-GB"/>
        </w:rPr>
        <w:t>Nevertheless, w</w:t>
      </w:r>
      <w:r w:rsidR="004E3AD6" w:rsidRPr="00140BF5">
        <w:rPr>
          <w:lang w:val="en-GB"/>
        </w:rPr>
        <w:t>e do not share the scepticism of Freeman (2005) or Holley et al. (2015) that labour clauses are a distraction from wider efforts to re-regulate low wage labour markets; they can play an important role in both fragmented and coordinated systems of employment relations</w:t>
      </w:r>
      <w:r w:rsidR="006E5AF8" w:rsidRPr="00140BF5">
        <w:rPr>
          <w:lang w:val="en-GB"/>
        </w:rPr>
        <w:t>. This is achieved</w:t>
      </w:r>
      <w:r w:rsidR="004E3AD6" w:rsidRPr="00140BF5">
        <w:rPr>
          <w:lang w:val="en-GB"/>
        </w:rPr>
        <w:t xml:space="preserve"> by directly improving pay and working conditions</w:t>
      </w:r>
      <w:r w:rsidR="006E5AF8" w:rsidRPr="00140BF5">
        <w:rPr>
          <w:lang w:val="en-GB"/>
        </w:rPr>
        <w:t xml:space="preserve"> for </w:t>
      </w:r>
      <w:r w:rsidR="004E3AD6" w:rsidRPr="00140BF5">
        <w:rPr>
          <w:lang w:val="en-GB"/>
        </w:rPr>
        <w:t>groups of workers most at risk of experiencing precariousness</w:t>
      </w:r>
      <w:r w:rsidR="006E5AF8" w:rsidRPr="00140BF5">
        <w:rPr>
          <w:lang w:val="en-GB"/>
        </w:rPr>
        <w:t>, while also providing a potential</w:t>
      </w:r>
      <w:r w:rsidR="004E3AD6" w:rsidRPr="00140BF5">
        <w:rPr>
          <w:lang w:val="en-GB"/>
        </w:rPr>
        <w:t xml:space="preserve"> ‘lighthouse effect’ for other local and regional councils </w:t>
      </w:r>
      <w:r w:rsidR="006E5AF8" w:rsidRPr="00140BF5">
        <w:rPr>
          <w:lang w:val="en-GB"/>
        </w:rPr>
        <w:t xml:space="preserve">to pursue similar strategies of socially responsible procurement. </w:t>
      </w:r>
      <w:r w:rsidR="001B172D" w:rsidRPr="00140BF5">
        <w:rPr>
          <w:lang w:val="en-GB"/>
        </w:rPr>
        <w:t xml:space="preserve">The three examples of the successful adoption of labour clauses in this research somewhat ‘against the odds’ </w:t>
      </w:r>
      <w:r w:rsidR="001A2201" w:rsidRPr="00140BF5">
        <w:rPr>
          <w:lang w:val="en-GB"/>
        </w:rPr>
        <w:t>give hope to future efforts to</w:t>
      </w:r>
      <w:r w:rsidR="001B172D" w:rsidRPr="00140BF5">
        <w:rPr>
          <w:lang w:val="en-GB"/>
        </w:rPr>
        <w:t xml:space="preserve"> tackle precariousness across diverse national and sectoral contexts.</w:t>
      </w:r>
      <w:r w:rsidR="0080588D" w:rsidRPr="00140BF5">
        <w:rPr>
          <w:lang w:val="en-GB"/>
        </w:rPr>
        <w:t xml:space="preserve"> At the same t</w:t>
      </w:r>
      <w:r w:rsidR="00D377A8" w:rsidRPr="00140BF5">
        <w:rPr>
          <w:lang w:val="en-GB"/>
        </w:rPr>
        <w:t xml:space="preserve">ime, they also </w:t>
      </w:r>
      <w:r w:rsidR="00D377A8" w:rsidRPr="00140BF5">
        <w:rPr>
          <w:lang w:val="en-GB"/>
        </w:rPr>
        <w:lastRenderedPageBreak/>
        <w:t xml:space="preserve">illustrate that socially responsible procurement </w:t>
      </w:r>
      <w:r w:rsidR="0080588D" w:rsidRPr="00140BF5">
        <w:rPr>
          <w:lang w:val="en-GB"/>
        </w:rPr>
        <w:t>requires mor</w:t>
      </w:r>
      <w:r w:rsidR="00D377A8" w:rsidRPr="00140BF5">
        <w:rPr>
          <w:lang w:val="en-GB"/>
        </w:rPr>
        <w:t>e</w:t>
      </w:r>
      <w:r w:rsidR="0080588D" w:rsidRPr="00140BF5">
        <w:rPr>
          <w:lang w:val="en-GB"/>
        </w:rPr>
        <w:t xml:space="preserve"> than fixing standards on paper</w:t>
      </w:r>
      <w:r w:rsidR="00246B55" w:rsidRPr="00140BF5">
        <w:rPr>
          <w:rFonts w:ascii="Calibri" w:hAnsi="Calibri" w:cs="Calibri"/>
          <w:lang w:val="en-GB"/>
        </w:rPr>
        <w:t>; significant efforts are required from all parties to embed decent working conditions as a core principle of public contracting.</w:t>
      </w:r>
    </w:p>
    <w:p w14:paraId="2E1117F0" w14:textId="77777777" w:rsidR="0020145E" w:rsidRDefault="0020145E" w:rsidP="0002468A">
      <w:pPr>
        <w:spacing w:before="60" w:after="60" w:line="480" w:lineRule="auto"/>
        <w:jc w:val="both"/>
        <w:rPr>
          <w:rFonts w:ascii="Calibri" w:hAnsi="Calibri" w:cs="Calibri"/>
          <w:b/>
          <w:lang w:val="en-GB"/>
        </w:rPr>
      </w:pPr>
    </w:p>
    <w:p w14:paraId="75A97B02" w14:textId="77777777" w:rsidR="0020145E" w:rsidRPr="0020145E" w:rsidRDefault="0020145E" w:rsidP="0002468A">
      <w:pPr>
        <w:spacing w:before="60" w:after="60" w:line="480" w:lineRule="auto"/>
        <w:jc w:val="both"/>
        <w:rPr>
          <w:rFonts w:ascii="Calibri" w:hAnsi="Calibri" w:cs="Calibri"/>
          <w:b/>
          <w:lang w:val="en-GB"/>
        </w:rPr>
      </w:pPr>
      <w:r w:rsidRPr="0020145E">
        <w:rPr>
          <w:rFonts w:ascii="Calibri" w:hAnsi="Calibri" w:cs="Calibri"/>
          <w:b/>
          <w:lang w:val="en-GB"/>
        </w:rPr>
        <w:t>Acknowledgement / Funding</w:t>
      </w:r>
    </w:p>
    <w:p w14:paraId="20BA370B" w14:textId="01E0F484" w:rsidR="0020145E" w:rsidRDefault="0020145E" w:rsidP="0002468A">
      <w:pPr>
        <w:spacing w:before="60" w:after="60" w:line="480" w:lineRule="auto"/>
        <w:jc w:val="both"/>
        <w:rPr>
          <w:rFonts w:ascii="Calibri" w:hAnsi="Calibri" w:cs="Calibri"/>
          <w:lang w:val="en-GB"/>
        </w:rPr>
      </w:pPr>
      <w:r w:rsidRPr="0020145E">
        <w:rPr>
          <w:rFonts w:ascii="Calibri" w:hAnsi="Calibri" w:cs="Calibri"/>
          <w:lang w:val="en-GB"/>
        </w:rPr>
        <w:t>This article draws on results from a European Commission funded project (DG Employment, Social Affairs and Equal Opportunities VP/2014/004, Industrial Relations &amp; Social Dialogue) on reducing precarious work: protective gaps and the role of social dialogue coordinated by Damian Grimshaw. We are grateful to the European Commission for the funding.</w:t>
      </w:r>
    </w:p>
    <w:p w14:paraId="71DB0E47" w14:textId="665DECC4" w:rsidR="00FF00C4" w:rsidRPr="0020145E" w:rsidRDefault="0020145E" w:rsidP="0002468A">
      <w:pPr>
        <w:spacing w:before="60" w:after="60" w:line="480" w:lineRule="auto"/>
        <w:jc w:val="both"/>
        <w:rPr>
          <w:rFonts w:ascii="Calibri" w:hAnsi="Calibri" w:cs="Calibri"/>
          <w:b/>
          <w:lang w:val="en-GB"/>
        </w:rPr>
      </w:pPr>
      <w:r w:rsidRPr="0020145E">
        <w:rPr>
          <w:rFonts w:ascii="Calibri" w:hAnsi="Calibri" w:cs="Calibri"/>
          <w:b/>
          <w:lang w:val="en-GB"/>
        </w:rPr>
        <w:t>Notes</w:t>
      </w:r>
    </w:p>
    <w:p w14:paraId="582A8271" w14:textId="77777777" w:rsidR="00FF00C4" w:rsidRDefault="00FF00C4" w:rsidP="0002468A">
      <w:pPr>
        <w:spacing w:before="60" w:after="60" w:line="480" w:lineRule="auto"/>
        <w:jc w:val="both"/>
        <w:rPr>
          <w:lang w:val="en-GB"/>
        </w:rPr>
        <w:sectPr w:rsidR="00FF00C4">
          <w:headerReference w:type="default" r:id="rId9"/>
          <w:footerReference w:type="default" r:id="rId10"/>
          <w:endnotePr>
            <w:numFmt w:val="decimal"/>
          </w:endnotePr>
          <w:pgSz w:w="11906" w:h="16838"/>
          <w:pgMar w:top="1417" w:right="1417" w:bottom="1134" w:left="1417" w:header="708" w:footer="708" w:gutter="0"/>
          <w:cols w:space="708"/>
          <w:docGrid w:linePitch="360"/>
        </w:sectPr>
      </w:pPr>
    </w:p>
    <w:p w14:paraId="5D95A9A0" w14:textId="77777777" w:rsidR="00FF00C4" w:rsidRPr="00140BF5" w:rsidRDefault="00FF00C4" w:rsidP="0011084D">
      <w:pPr>
        <w:spacing w:before="60" w:after="60" w:line="480" w:lineRule="auto"/>
        <w:jc w:val="both"/>
        <w:rPr>
          <w:b/>
          <w:szCs w:val="28"/>
          <w:lang w:val="en-GB"/>
        </w:rPr>
      </w:pPr>
    </w:p>
    <w:p w14:paraId="2C3D5E7C" w14:textId="77777777" w:rsidR="0064074D" w:rsidRPr="00140BF5" w:rsidRDefault="00C52562" w:rsidP="0011084D">
      <w:pPr>
        <w:spacing w:before="60" w:after="60" w:line="480" w:lineRule="auto"/>
        <w:jc w:val="both"/>
        <w:rPr>
          <w:b/>
          <w:szCs w:val="28"/>
          <w:lang w:val="en-GB"/>
        </w:rPr>
      </w:pPr>
      <w:r w:rsidRPr="00140BF5">
        <w:rPr>
          <w:b/>
          <w:szCs w:val="28"/>
          <w:lang w:val="en-GB"/>
        </w:rPr>
        <w:t>References</w:t>
      </w:r>
    </w:p>
    <w:p w14:paraId="495E9290" w14:textId="496C3D4D" w:rsidR="009D3116" w:rsidRPr="00140BF5" w:rsidRDefault="009D3116" w:rsidP="0011084D">
      <w:pPr>
        <w:pStyle w:val="Bibliographicalreference"/>
        <w:spacing w:before="0" w:line="480" w:lineRule="auto"/>
        <w:jc w:val="both"/>
        <w:rPr>
          <w:rFonts w:ascii="Calibri" w:hAnsi="Calibri"/>
          <w:sz w:val="22"/>
        </w:rPr>
      </w:pPr>
      <w:r w:rsidRPr="00140BF5">
        <w:rPr>
          <w:rFonts w:ascii="Calibri" w:hAnsi="Calibri"/>
          <w:color w:val="252525"/>
          <w:sz w:val="22"/>
        </w:rPr>
        <w:t>Arnholtz</w:t>
      </w:r>
      <w:r w:rsidR="00FF00C4">
        <w:rPr>
          <w:rFonts w:ascii="Calibri" w:hAnsi="Calibri"/>
          <w:color w:val="252525"/>
          <w:sz w:val="22"/>
        </w:rPr>
        <w:t>,</w:t>
      </w:r>
      <w:r w:rsidRPr="00140BF5">
        <w:rPr>
          <w:rFonts w:ascii="Calibri" w:hAnsi="Calibri"/>
          <w:color w:val="252525"/>
          <w:sz w:val="22"/>
        </w:rPr>
        <w:t xml:space="preserve"> J</w:t>
      </w:r>
      <w:r w:rsidR="00FF00C4">
        <w:rPr>
          <w:rFonts w:ascii="Calibri" w:hAnsi="Calibri"/>
          <w:color w:val="252525"/>
          <w:sz w:val="22"/>
        </w:rPr>
        <w:t>. and</w:t>
      </w:r>
      <w:r w:rsidR="00106496" w:rsidRPr="00140BF5">
        <w:rPr>
          <w:rFonts w:ascii="Calibri" w:hAnsi="Calibri"/>
          <w:color w:val="252525"/>
          <w:sz w:val="22"/>
        </w:rPr>
        <w:t xml:space="preserve"> </w:t>
      </w:r>
      <w:r w:rsidR="00122238" w:rsidRPr="00140BF5">
        <w:rPr>
          <w:rFonts w:ascii="Calibri" w:hAnsi="Calibri"/>
          <w:color w:val="252525"/>
          <w:sz w:val="22"/>
        </w:rPr>
        <w:t>Hansen</w:t>
      </w:r>
      <w:r w:rsidR="00FF00C4">
        <w:rPr>
          <w:rFonts w:ascii="Calibri" w:hAnsi="Calibri"/>
          <w:color w:val="252525"/>
          <w:sz w:val="22"/>
        </w:rPr>
        <w:t>,</w:t>
      </w:r>
      <w:r w:rsidRPr="00140BF5">
        <w:rPr>
          <w:rFonts w:ascii="Calibri" w:hAnsi="Calibri"/>
          <w:color w:val="252525"/>
          <w:sz w:val="22"/>
        </w:rPr>
        <w:t xml:space="preserve"> N</w:t>
      </w:r>
      <w:r w:rsidR="00FF00C4">
        <w:rPr>
          <w:rFonts w:ascii="Calibri" w:hAnsi="Calibri"/>
          <w:color w:val="252525"/>
          <w:sz w:val="22"/>
        </w:rPr>
        <w:t>.</w:t>
      </w:r>
      <w:r w:rsidRPr="00140BF5">
        <w:rPr>
          <w:rFonts w:ascii="Calibri" w:hAnsi="Calibri"/>
          <w:color w:val="252525"/>
          <w:sz w:val="22"/>
        </w:rPr>
        <w:t xml:space="preserve"> (2013) </w:t>
      </w:r>
      <w:r w:rsidR="00FF00C4">
        <w:rPr>
          <w:rFonts w:ascii="Calibri" w:hAnsi="Calibri"/>
          <w:color w:val="252525"/>
          <w:sz w:val="22"/>
        </w:rPr>
        <w:t>‘</w:t>
      </w:r>
      <w:r w:rsidRPr="00140BF5">
        <w:rPr>
          <w:rFonts w:ascii="Calibri" w:hAnsi="Calibri"/>
          <w:color w:val="252525"/>
          <w:sz w:val="22"/>
        </w:rPr>
        <w:t>Labour market specific institutions and the working conditions of labour migrants</w:t>
      </w:r>
      <w:r w:rsidR="00FF00C4">
        <w:rPr>
          <w:rFonts w:ascii="Calibri" w:hAnsi="Calibri"/>
          <w:color w:val="252525"/>
          <w:sz w:val="22"/>
        </w:rPr>
        <w:t>’</w:t>
      </w:r>
      <w:r w:rsidRPr="00140BF5">
        <w:rPr>
          <w:rFonts w:ascii="Calibri" w:hAnsi="Calibri"/>
          <w:color w:val="252525"/>
          <w:sz w:val="22"/>
        </w:rPr>
        <w:t xml:space="preserve">, </w:t>
      </w:r>
      <w:r w:rsidRPr="00140BF5">
        <w:rPr>
          <w:rFonts w:ascii="Calibri" w:hAnsi="Calibri"/>
          <w:i/>
          <w:color w:val="252525"/>
          <w:sz w:val="22"/>
        </w:rPr>
        <w:t>Economic and Industrial democracy</w:t>
      </w:r>
      <w:r w:rsidRPr="00140BF5">
        <w:rPr>
          <w:rFonts w:ascii="Calibri" w:hAnsi="Calibri"/>
          <w:color w:val="252525"/>
          <w:sz w:val="22"/>
        </w:rPr>
        <w:t xml:space="preserve"> 34(3)</w:t>
      </w:r>
      <w:r w:rsidR="00106496" w:rsidRPr="00140BF5">
        <w:rPr>
          <w:rFonts w:ascii="Calibri" w:hAnsi="Calibri"/>
          <w:color w:val="252525"/>
          <w:sz w:val="22"/>
        </w:rPr>
        <w:t>:</w:t>
      </w:r>
      <w:r w:rsidRPr="00140BF5">
        <w:rPr>
          <w:rFonts w:ascii="Calibri" w:hAnsi="Calibri"/>
          <w:color w:val="252525"/>
          <w:sz w:val="22"/>
        </w:rPr>
        <w:t xml:space="preserve"> 1-22.</w:t>
      </w:r>
    </w:p>
    <w:p w14:paraId="4C297E25" w14:textId="087B9BD1" w:rsidR="00890CAB" w:rsidRPr="00140BF5" w:rsidRDefault="00890CAB"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Arrowsmit</w:t>
      </w:r>
      <w:r w:rsidR="00122238" w:rsidRPr="00140BF5">
        <w:rPr>
          <w:rFonts w:asciiTheme="minorHAnsi" w:hAnsiTheme="minorHAnsi"/>
          <w:sz w:val="22"/>
        </w:rPr>
        <w:t>h</w:t>
      </w:r>
      <w:r w:rsidR="00FF00C4">
        <w:rPr>
          <w:rFonts w:asciiTheme="minorHAnsi" w:hAnsiTheme="minorHAnsi"/>
          <w:sz w:val="22"/>
        </w:rPr>
        <w:t>,</w:t>
      </w:r>
      <w:r w:rsidR="00106496" w:rsidRPr="00140BF5">
        <w:rPr>
          <w:rFonts w:asciiTheme="minorHAnsi" w:hAnsiTheme="minorHAnsi"/>
          <w:sz w:val="22"/>
        </w:rPr>
        <w:t xml:space="preserve"> S</w:t>
      </w:r>
      <w:r w:rsidR="00FF00C4">
        <w:rPr>
          <w:rFonts w:asciiTheme="minorHAnsi" w:hAnsiTheme="minorHAnsi"/>
          <w:sz w:val="22"/>
        </w:rPr>
        <w:t>. and</w:t>
      </w:r>
      <w:r w:rsidR="00106496" w:rsidRPr="00140BF5">
        <w:rPr>
          <w:rFonts w:asciiTheme="minorHAnsi" w:hAnsiTheme="minorHAnsi"/>
          <w:sz w:val="22"/>
        </w:rPr>
        <w:t xml:space="preserve"> </w:t>
      </w:r>
      <w:r w:rsidRPr="00140BF5">
        <w:rPr>
          <w:rFonts w:asciiTheme="minorHAnsi" w:hAnsiTheme="minorHAnsi"/>
          <w:sz w:val="22"/>
        </w:rPr>
        <w:t>Kunzlik</w:t>
      </w:r>
      <w:r w:rsidR="00FF00C4">
        <w:rPr>
          <w:rFonts w:asciiTheme="minorHAnsi" w:hAnsiTheme="minorHAnsi"/>
          <w:sz w:val="22"/>
        </w:rPr>
        <w:t>,</w:t>
      </w:r>
      <w:r w:rsidRPr="00140BF5">
        <w:rPr>
          <w:rFonts w:asciiTheme="minorHAnsi" w:hAnsiTheme="minorHAnsi"/>
          <w:sz w:val="22"/>
        </w:rPr>
        <w:t xml:space="preserve"> P</w:t>
      </w:r>
      <w:r w:rsidR="00FF00C4">
        <w:rPr>
          <w:rFonts w:asciiTheme="minorHAnsi" w:hAnsiTheme="minorHAnsi"/>
          <w:sz w:val="22"/>
        </w:rPr>
        <w:t>., eds.</w:t>
      </w:r>
      <w:r w:rsidRPr="00140BF5">
        <w:rPr>
          <w:rFonts w:asciiTheme="minorHAnsi" w:hAnsiTheme="minorHAnsi"/>
          <w:sz w:val="22"/>
        </w:rPr>
        <w:t xml:space="preserve"> (2009) </w:t>
      </w:r>
      <w:r w:rsidRPr="00140BF5">
        <w:rPr>
          <w:rFonts w:asciiTheme="minorHAnsi" w:hAnsiTheme="minorHAnsi"/>
          <w:i/>
          <w:sz w:val="22"/>
        </w:rPr>
        <w:t>Social and environmental policies in EC procurement law</w:t>
      </w:r>
      <w:r w:rsidR="00203B61" w:rsidRPr="00140BF5">
        <w:rPr>
          <w:rFonts w:asciiTheme="minorHAnsi" w:hAnsiTheme="minorHAnsi"/>
          <w:sz w:val="22"/>
        </w:rPr>
        <w:t xml:space="preserve">. </w:t>
      </w:r>
      <w:r w:rsidRPr="00140BF5">
        <w:rPr>
          <w:rFonts w:asciiTheme="minorHAnsi" w:hAnsiTheme="minorHAnsi"/>
          <w:sz w:val="22"/>
        </w:rPr>
        <w:t xml:space="preserve">New directives and new directions. </w:t>
      </w:r>
      <w:r w:rsidR="006131DA" w:rsidRPr="00140BF5">
        <w:rPr>
          <w:rFonts w:asciiTheme="minorHAnsi" w:hAnsiTheme="minorHAnsi"/>
          <w:sz w:val="22"/>
        </w:rPr>
        <w:t>Cambridge</w:t>
      </w:r>
      <w:r w:rsidR="00106496" w:rsidRPr="00140BF5">
        <w:rPr>
          <w:rFonts w:asciiTheme="minorHAnsi" w:hAnsiTheme="minorHAnsi"/>
          <w:sz w:val="22"/>
        </w:rPr>
        <w:t xml:space="preserve">: </w:t>
      </w:r>
      <w:r w:rsidRPr="00140BF5">
        <w:rPr>
          <w:rFonts w:asciiTheme="minorHAnsi" w:hAnsiTheme="minorHAnsi"/>
          <w:sz w:val="22"/>
        </w:rPr>
        <w:t>Cambridge University Press.</w:t>
      </w:r>
    </w:p>
    <w:p w14:paraId="6ED9377E" w14:textId="51D95EF1" w:rsidR="001F1D16" w:rsidRPr="00140BF5" w:rsidRDefault="00890CAB" w:rsidP="0011084D">
      <w:pPr>
        <w:spacing w:after="0" w:line="480" w:lineRule="auto"/>
        <w:ind w:left="567" w:hanging="567"/>
        <w:jc w:val="both"/>
        <w:rPr>
          <w:rFonts w:eastAsia="Times New Roman" w:cs="Arial"/>
          <w:szCs w:val="20"/>
          <w:lang w:val="en-GB" w:eastAsia="en-GB"/>
        </w:rPr>
      </w:pPr>
      <w:r w:rsidRPr="00140BF5">
        <w:rPr>
          <w:rFonts w:eastAsia="Times New Roman" w:cs="Arial"/>
          <w:szCs w:val="20"/>
          <w:lang w:val="en-GB" w:eastAsia="en-GB"/>
        </w:rPr>
        <w:t>Bådsgaard</w:t>
      </w:r>
      <w:r w:rsidR="00FF00C4">
        <w:rPr>
          <w:rFonts w:eastAsia="Times New Roman" w:cs="Arial"/>
          <w:szCs w:val="20"/>
          <w:lang w:val="en-GB" w:eastAsia="en-GB"/>
        </w:rPr>
        <w:t>,</w:t>
      </w:r>
      <w:r w:rsidR="001F1D16" w:rsidRPr="00140BF5">
        <w:rPr>
          <w:rFonts w:eastAsia="Times New Roman" w:cs="Arial"/>
          <w:szCs w:val="20"/>
          <w:lang w:val="en-GB" w:eastAsia="en-GB"/>
        </w:rPr>
        <w:t xml:space="preserve"> K</w:t>
      </w:r>
      <w:r w:rsidR="00FF00C4">
        <w:rPr>
          <w:rFonts w:eastAsia="Times New Roman" w:cs="Arial"/>
          <w:szCs w:val="20"/>
          <w:lang w:val="en-GB" w:eastAsia="en-GB"/>
        </w:rPr>
        <w:t>.</w:t>
      </w:r>
      <w:r w:rsidR="001D35A5">
        <w:rPr>
          <w:rFonts w:eastAsia="Times New Roman" w:cs="Arial"/>
          <w:szCs w:val="20"/>
          <w:lang w:val="en-GB" w:eastAsia="en-GB"/>
        </w:rPr>
        <w:t xml:space="preserve"> and</w:t>
      </w:r>
      <w:r w:rsidR="00117061" w:rsidRPr="00140BF5">
        <w:rPr>
          <w:rFonts w:eastAsia="Times New Roman" w:cs="Arial"/>
          <w:szCs w:val="20"/>
          <w:lang w:val="en-GB" w:eastAsia="en-GB"/>
        </w:rPr>
        <w:t xml:space="preserve"> </w:t>
      </w:r>
      <w:r w:rsidR="00122238" w:rsidRPr="00140BF5">
        <w:rPr>
          <w:rFonts w:eastAsia="Times New Roman" w:cs="Arial"/>
          <w:szCs w:val="20"/>
          <w:lang w:val="en-GB" w:eastAsia="en-GB"/>
        </w:rPr>
        <w:t>Jørgensen</w:t>
      </w:r>
      <w:r w:rsidR="001D35A5">
        <w:rPr>
          <w:rFonts w:eastAsia="Times New Roman" w:cs="Arial"/>
          <w:szCs w:val="20"/>
          <w:lang w:val="en-GB" w:eastAsia="en-GB"/>
        </w:rPr>
        <w:t>,</w:t>
      </w:r>
      <w:r w:rsidRPr="00140BF5">
        <w:rPr>
          <w:rFonts w:eastAsia="Times New Roman" w:cs="Arial"/>
          <w:szCs w:val="20"/>
          <w:lang w:val="en-GB" w:eastAsia="en-GB"/>
        </w:rPr>
        <w:t xml:space="preserve"> </w:t>
      </w:r>
      <w:r w:rsidR="001F1D16" w:rsidRPr="00140BF5">
        <w:rPr>
          <w:rFonts w:eastAsia="Times New Roman" w:cs="Arial"/>
          <w:szCs w:val="20"/>
          <w:lang w:val="en-GB" w:eastAsia="en-GB"/>
        </w:rPr>
        <w:t>H</w:t>
      </w:r>
      <w:r w:rsidR="001D35A5">
        <w:rPr>
          <w:rFonts w:eastAsia="Times New Roman" w:cs="Arial"/>
          <w:szCs w:val="20"/>
          <w:lang w:val="en-GB" w:eastAsia="en-GB"/>
        </w:rPr>
        <w:t>.</w:t>
      </w:r>
      <w:r w:rsidR="001F1D16" w:rsidRPr="00140BF5">
        <w:rPr>
          <w:rFonts w:eastAsia="Times New Roman" w:cs="Arial"/>
          <w:szCs w:val="20"/>
          <w:lang w:val="en-GB" w:eastAsia="en-GB"/>
        </w:rPr>
        <w:t xml:space="preserve"> (</w:t>
      </w:r>
      <w:r w:rsidRPr="00140BF5">
        <w:rPr>
          <w:rFonts w:eastAsia="Times New Roman" w:cs="Arial"/>
          <w:szCs w:val="20"/>
          <w:lang w:val="en-GB" w:eastAsia="en-GB"/>
        </w:rPr>
        <w:t>201</w:t>
      </w:r>
      <w:r w:rsidR="001F1D16" w:rsidRPr="00140BF5">
        <w:rPr>
          <w:rFonts w:eastAsia="Times New Roman" w:cs="Arial"/>
          <w:szCs w:val="20"/>
          <w:lang w:val="en-GB" w:eastAsia="en-GB"/>
        </w:rPr>
        <w:t xml:space="preserve">6) </w:t>
      </w:r>
      <w:r w:rsidR="001F1D16" w:rsidRPr="00140BF5">
        <w:rPr>
          <w:rFonts w:eastAsia="Times New Roman" w:cs="Arial"/>
          <w:i/>
          <w:szCs w:val="20"/>
          <w:lang w:val="en-GB" w:eastAsia="en-GB"/>
        </w:rPr>
        <w:t>Københavns Kommunes indsats mod social dumping- målopfyldelsesevaluering</w:t>
      </w:r>
      <w:r w:rsidR="00106496" w:rsidRPr="00140BF5">
        <w:rPr>
          <w:rFonts w:eastAsia="Times New Roman" w:cs="Arial"/>
          <w:szCs w:val="20"/>
          <w:lang w:val="en-GB" w:eastAsia="en-GB"/>
        </w:rPr>
        <w:t>.</w:t>
      </w:r>
      <w:r w:rsidR="001F1D16" w:rsidRPr="00140BF5">
        <w:rPr>
          <w:rFonts w:eastAsia="Times New Roman" w:cs="Arial"/>
          <w:szCs w:val="20"/>
          <w:lang w:val="en-GB" w:eastAsia="en-GB"/>
        </w:rPr>
        <w:t xml:space="preserve"> </w:t>
      </w:r>
      <w:r w:rsidR="00106496" w:rsidRPr="00140BF5">
        <w:rPr>
          <w:rFonts w:eastAsia="Times New Roman" w:cs="Arial"/>
          <w:szCs w:val="20"/>
          <w:lang w:val="en-GB" w:eastAsia="en-GB"/>
        </w:rPr>
        <w:t xml:space="preserve">Aalborg: </w:t>
      </w:r>
      <w:r w:rsidR="001F1D16" w:rsidRPr="00140BF5">
        <w:rPr>
          <w:rFonts w:eastAsia="Times New Roman" w:cs="Arial"/>
          <w:szCs w:val="20"/>
          <w:lang w:val="en-GB" w:eastAsia="en-GB"/>
        </w:rPr>
        <w:t>Aalborg Universitet, Carma</w:t>
      </w:r>
      <w:r w:rsidR="00106496" w:rsidRPr="00140BF5">
        <w:rPr>
          <w:rFonts w:eastAsia="Times New Roman" w:cs="Arial"/>
          <w:szCs w:val="20"/>
          <w:lang w:val="en-GB" w:eastAsia="en-GB"/>
        </w:rPr>
        <w:t>.</w:t>
      </w:r>
    </w:p>
    <w:p w14:paraId="1E32C5C0" w14:textId="13AA0419" w:rsidR="003E13B5" w:rsidRPr="00140BF5" w:rsidRDefault="003E13B5" w:rsidP="0011084D">
      <w:pPr>
        <w:pStyle w:val="Bibliographicalreference"/>
        <w:spacing w:before="0" w:line="480" w:lineRule="auto"/>
        <w:jc w:val="both"/>
        <w:rPr>
          <w:rFonts w:asciiTheme="minorHAnsi" w:hAnsiTheme="minorHAnsi"/>
          <w:noProof/>
          <w:sz w:val="22"/>
          <w:szCs w:val="20"/>
        </w:rPr>
      </w:pPr>
      <w:r w:rsidRPr="00140BF5">
        <w:rPr>
          <w:rFonts w:asciiTheme="minorHAnsi" w:hAnsiTheme="minorHAnsi"/>
          <w:noProof/>
          <w:sz w:val="22"/>
          <w:szCs w:val="20"/>
        </w:rPr>
        <w:t>Bechter</w:t>
      </w:r>
      <w:r w:rsidR="001D35A5">
        <w:rPr>
          <w:rFonts w:asciiTheme="minorHAnsi" w:hAnsiTheme="minorHAnsi"/>
          <w:noProof/>
          <w:sz w:val="22"/>
          <w:szCs w:val="20"/>
        </w:rPr>
        <w:t>,</w:t>
      </w:r>
      <w:r w:rsidRPr="00140BF5">
        <w:rPr>
          <w:rFonts w:asciiTheme="minorHAnsi" w:hAnsiTheme="minorHAnsi"/>
          <w:noProof/>
          <w:sz w:val="22"/>
          <w:szCs w:val="20"/>
        </w:rPr>
        <w:t xml:space="preserve"> B</w:t>
      </w:r>
      <w:r w:rsidR="001D35A5">
        <w:rPr>
          <w:rFonts w:asciiTheme="minorHAnsi" w:hAnsiTheme="minorHAnsi"/>
          <w:noProof/>
          <w:sz w:val="22"/>
          <w:szCs w:val="20"/>
        </w:rPr>
        <w:t>.</w:t>
      </w:r>
      <w:r w:rsidR="00122238" w:rsidRPr="00140BF5">
        <w:rPr>
          <w:rFonts w:asciiTheme="minorHAnsi" w:hAnsiTheme="minorHAnsi"/>
          <w:noProof/>
          <w:sz w:val="22"/>
          <w:szCs w:val="20"/>
        </w:rPr>
        <w:t>, Brandl</w:t>
      </w:r>
      <w:r w:rsidR="001D35A5">
        <w:rPr>
          <w:rFonts w:asciiTheme="minorHAnsi" w:hAnsiTheme="minorHAnsi"/>
          <w:noProof/>
          <w:sz w:val="22"/>
          <w:szCs w:val="20"/>
        </w:rPr>
        <w:t>,</w:t>
      </w:r>
      <w:r w:rsidR="00122238" w:rsidRPr="00140BF5">
        <w:rPr>
          <w:rFonts w:asciiTheme="minorHAnsi" w:hAnsiTheme="minorHAnsi"/>
          <w:noProof/>
          <w:sz w:val="22"/>
          <w:szCs w:val="20"/>
        </w:rPr>
        <w:t xml:space="preserve"> B</w:t>
      </w:r>
      <w:r w:rsidR="001D35A5">
        <w:rPr>
          <w:rFonts w:asciiTheme="minorHAnsi" w:hAnsiTheme="minorHAnsi"/>
          <w:noProof/>
          <w:sz w:val="22"/>
          <w:szCs w:val="20"/>
        </w:rPr>
        <w:t>.</w:t>
      </w:r>
      <w:r w:rsidRPr="00140BF5">
        <w:rPr>
          <w:rFonts w:asciiTheme="minorHAnsi" w:hAnsiTheme="minorHAnsi"/>
          <w:noProof/>
          <w:sz w:val="22"/>
          <w:szCs w:val="20"/>
        </w:rPr>
        <w:t xml:space="preserve"> </w:t>
      </w:r>
      <w:r w:rsidR="00117061" w:rsidRPr="00140BF5">
        <w:rPr>
          <w:rFonts w:asciiTheme="minorHAnsi" w:hAnsiTheme="minorHAnsi"/>
          <w:noProof/>
          <w:sz w:val="22"/>
          <w:szCs w:val="20"/>
        </w:rPr>
        <w:t xml:space="preserve">and </w:t>
      </w:r>
      <w:r w:rsidRPr="00140BF5">
        <w:rPr>
          <w:rFonts w:asciiTheme="minorHAnsi" w:hAnsiTheme="minorHAnsi"/>
          <w:noProof/>
          <w:sz w:val="22"/>
          <w:szCs w:val="20"/>
        </w:rPr>
        <w:t>Meardi</w:t>
      </w:r>
      <w:r w:rsidR="001D35A5">
        <w:rPr>
          <w:rFonts w:asciiTheme="minorHAnsi" w:hAnsiTheme="minorHAnsi"/>
          <w:noProof/>
          <w:sz w:val="22"/>
          <w:szCs w:val="20"/>
        </w:rPr>
        <w:t>,</w:t>
      </w:r>
      <w:r w:rsidR="00122238" w:rsidRPr="00140BF5">
        <w:rPr>
          <w:rFonts w:asciiTheme="minorHAnsi" w:hAnsiTheme="minorHAnsi"/>
          <w:noProof/>
          <w:sz w:val="22"/>
          <w:szCs w:val="20"/>
        </w:rPr>
        <w:t xml:space="preserve"> G</w:t>
      </w:r>
      <w:r w:rsidR="001D35A5">
        <w:rPr>
          <w:rFonts w:asciiTheme="minorHAnsi" w:hAnsiTheme="minorHAnsi"/>
          <w:noProof/>
          <w:sz w:val="22"/>
          <w:szCs w:val="20"/>
        </w:rPr>
        <w:t>.</w:t>
      </w:r>
      <w:r w:rsidR="00106496" w:rsidRPr="00140BF5">
        <w:rPr>
          <w:rFonts w:asciiTheme="minorHAnsi" w:hAnsiTheme="minorHAnsi"/>
          <w:noProof/>
          <w:sz w:val="22"/>
          <w:szCs w:val="20"/>
        </w:rPr>
        <w:t xml:space="preserve"> (2012)</w:t>
      </w:r>
      <w:r w:rsidRPr="00140BF5">
        <w:rPr>
          <w:rFonts w:asciiTheme="minorHAnsi" w:hAnsiTheme="minorHAnsi"/>
          <w:noProof/>
          <w:sz w:val="22"/>
          <w:szCs w:val="20"/>
        </w:rPr>
        <w:t xml:space="preserve"> </w:t>
      </w:r>
      <w:r w:rsidR="001D35A5">
        <w:rPr>
          <w:rFonts w:asciiTheme="minorHAnsi" w:hAnsiTheme="minorHAnsi"/>
          <w:noProof/>
          <w:sz w:val="22"/>
          <w:szCs w:val="20"/>
        </w:rPr>
        <w:t>‘</w:t>
      </w:r>
      <w:r w:rsidRPr="00140BF5">
        <w:rPr>
          <w:rFonts w:asciiTheme="minorHAnsi" w:hAnsiTheme="minorHAnsi"/>
          <w:noProof/>
          <w:sz w:val="22"/>
          <w:szCs w:val="20"/>
        </w:rPr>
        <w:t>Sectors or countries? Typologies and levels of analysis in comparative industrial relations</w:t>
      </w:r>
      <w:r w:rsidR="001D35A5">
        <w:rPr>
          <w:rFonts w:asciiTheme="minorHAnsi" w:hAnsiTheme="minorHAnsi"/>
          <w:noProof/>
          <w:sz w:val="22"/>
          <w:szCs w:val="20"/>
        </w:rPr>
        <w:t>’,</w:t>
      </w:r>
      <w:r w:rsidRPr="00140BF5">
        <w:rPr>
          <w:rFonts w:asciiTheme="minorHAnsi" w:hAnsiTheme="minorHAnsi"/>
          <w:noProof/>
          <w:sz w:val="22"/>
          <w:szCs w:val="20"/>
        </w:rPr>
        <w:t xml:space="preserve"> </w:t>
      </w:r>
      <w:r w:rsidRPr="00140BF5">
        <w:rPr>
          <w:rFonts w:asciiTheme="minorHAnsi" w:hAnsiTheme="minorHAnsi"/>
          <w:i/>
          <w:noProof/>
          <w:sz w:val="22"/>
          <w:szCs w:val="20"/>
        </w:rPr>
        <w:t>European Journal of Industrial Relations</w:t>
      </w:r>
      <w:r w:rsidR="00106496" w:rsidRPr="00140BF5">
        <w:rPr>
          <w:rFonts w:asciiTheme="minorHAnsi" w:hAnsiTheme="minorHAnsi"/>
          <w:noProof/>
          <w:sz w:val="22"/>
          <w:szCs w:val="20"/>
        </w:rPr>
        <w:t xml:space="preserve"> 18 (3): </w:t>
      </w:r>
      <w:r w:rsidR="004C0A72">
        <w:rPr>
          <w:rFonts w:asciiTheme="minorHAnsi" w:hAnsiTheme="minorHAnsi"/>
          <w:noProof/>
          <w:sz w:val="22"/>
          <w:szCs w:val="20"/>
        </w:rPr>
        <w:t>185-</w:t>
      </w:r>
      <w:r w:rsidRPr="00140BF5">
        <w:rPr>
          <w:rFonts w:asciiTheme="minorHAnsi" w:hAnsiTheme="minorHAnsi"/>
          <w:noProof/>
          <w:sz w:val="22"/>
          <w:szCs w:val="20"/>
        </w:rPr>
        <w:t>202.</w:t>
      </w:r>
    </w:p>
    <w:p w14:paraId="56CE3AB1" w14:textId="5FF45B19" w:rsidR="004F09CE" w:rsidRPr="00140BF5" w:rsidRDefault="004F09CE"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Bessa</w:t>
      </w:r>
      <w:r w:rsidR="001D35A5">
        <w:rPr>
          <w:rFonts w:asciiTheme="minorHAnsi" w:hAnsiTheme="minorHAnsi"/>
          <w:sz w:val="22"/>
        </w:rPr>
        <w:t>,</w:t>
      </w:r>
      <w:r w:rsidRPr="00140BF5">
        <w:rPr>
          <w:rFonts w:asciiTheme="minorHAnsi" w:hAnsiTheme="minorHAnsi"/>
          <w:sz w:val="22"/>
        </w:rPr>
        <w:t xml:space="preserve"> I</w:t>
      </w:r>
      <w:r w:rsidR="001D35A5">
        <w:rPr>
          <w:rFonts w:asciiTheme="minorHAnsi" w:hAnsiTheme="minorHAnsi"/>
          <w:sz w:val="22"/>
        </w:rPr>
        <w:t>.</w:t>
      </w:r>
      <w:r w:rsidRPr="00140BF5">
        <w:rPr>
          <w:rFonts w:asciiTheme="minorHAnsi" w:hAnsiTheme="minorHAnsi"/>
          <w:sz w:val="22"/>
        </w:rPr>
        <w:t>, Forde</w:t>
      </w:r>
      <w:r w:rsidR="001D35A5">
        <w:rPr>
          <w:rFonts w:asciiTheme="minorHAnsi" w:hAnsiTheme="minorHAnsi"/>
          <w:sz w:val="22"/>
        </w:rPr>
        <w:t>,</w:t>
      </w:r>
      <w:r w:rsidRPr="00140BF5">
        <w:rPr>
          <w:rFonts w:asciiTheme="minorHAnsi" w:hAnsiTheme="minorHAnsi"/>
          <w:sz w:val="22"/>
        </w:rPr>
        <w:t xml:space="preserve"> C</w:t>
      </w:r>
      <w:r w:rsidR="001D35A5">
        <w:rPr>
          <w:rFonts w:asciiTheme="minorHAnsi" w:hAnsiTheme="minorHAnsi"/>
          <w:sz w:val="22"/>
        </w:rPr>
        <w:t>.</w:t>
      </w:r>
      <w:r w:rsidRPr="00140BF5">
        <w:rPr>
          <w:rFonts w:asciiTheme="minorHAnsi" w:hAnsiTheme="minorHAnsi"/>
          <w:sz w:val="22"/>
        </w:rPr>
        <w:t>, Moore</w:t>
      </w:r>
      <w:r w:rsidR="001D35A5">
        <w:rPr>
          <w:rFonts w:asciiTheme="minorHAnsi" w:hAnsiTheme="minorHAnsi"/>
          <w:sz w:val="22"/>
        </w:rPr>
        <w:t>,</w:t>
      </w:r>
      <w:r w:rsidR="00106496" w:rsidRPr="00140BF5">
        <w:rPr>
          <w:rFonts w:asciiTheme="minorHAnsi" w:hAnsiTheme="minorHAnsi"/>
          <w:sz w:val="22"/>
        </w:rPr>
        <w:t xml:space="preserve"> S</w:t>
      </w:r>
      <w:r w:rsidR="001D35A5">
        <w:rPr>
          <w:rFonts w:asciiTheme="minorHAnsi" w:hAnsiTheme="minorHAnsi"/>
          <w:sz w:val="22"/>
        </w:rPr>
        <w:t>. and</w:t>
      </w:r>
      <w:r w:rsidR="00106496" w:rsidRPr="00140BF5">
        <w:rPr>
          <w:rFonts w:asciiTheme="minorHAnsi" w:hAnsiTheme="minorHAnsi"/>
          <w:sz w:val="22"/>
        </w:rPr>
        <w:t xml:space="preserve"> </w:t>
      </w:r>
      <w:r w:rsidRPr="00140BF5">
        <w:rPr>
          <w:rFonts w:asciiTheme="minorHAnsi" w:hAnsiTheme="minorHAnsi"/>
          <w:sz w:val="22"/>
        </w:rPr>
        <w:t>Stuart</w:t>
      </w:r>
      <w:r w:rsidR="001D35A5">
        <w:rPr>
          <w:rFonts w:asciiTheme="minorHAnsi" w:hAnsiTheme="minorHAnsi"/>
          <w:sz w:val="22"/>
        </w:rPr>
        <w:t>,</w:t>
      </w:r>
      <w:r w:rsidRPr="00140BF5">
        <w:rPr>
          <w:rFonts w:asciiTheme="minorHAnsi" w:hAnsiTheme="minorHAnsi"/>
          <w:sz w:val="22"/>
        </w:rPr>
        <w:t xml:space="preserve"> M</w:t>
      </w:r>
      <w:r w:rsidR="001D35A5">
        <w:rPr>
          <w:rFonts w:asciiTheme="minorHAnsi" w:hAnsiTheme="minorHAnsi"/>
          <w:sz w:val="22"/>
        </w:rPr>
        <w:t>.</w:t>
      </w:r>
      <w:r w:rsidRPr="00140BF5">
        <w:rPr>
          <w:rFonts w:asciiTheme="minorHAnsi" w:hAnsiTheme="minorHAnsi"/>
          <w:sz w:val="22"/>
        </w:rPr>
        <w:t xml:space="preserve"> (2013) </w:t>
      </w:r>
      <w:r w:rsidRPr="00140BF5">
        <w:rPr>
          <w:rFonts w:asciiTheme="minorHAnsi" w:hAnsiTheme="minorHAnsi"/>
          <w:i/>
          <w:sz w:val="22"/>
        </w:rPr>
        <w:t>The National Minimum Wage, earnings and hours in the domiciliary care sector</w:t>
      </w:r>
      <w:r w:rsidRPr="00140BF5">
        <w:rPr>
          <w:rFonts w:asciiTheme="minorHAnsi" w:hAnsiTheme="minorHAnsi"/>
          <w:sz w:val="22"/>
        </w:rPr>
        <w:t>. University of Leeds and Low Pay Commission, London.</w:t>
      </w:r>
    </w:p>
    <w:p w14:paraId="1CD91CA9" w14:textId="1317ECC9" w:rsidR="00890CAB" w:rsidRPr="00140BF5" w:rsidRDefault="00890CAB"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Blauberger</w:t>
      </w:r>
      <w:r w:rsidR="001D35A5">
        <w:rPr>
          <w:rFonts w:asciiTheme="minorHAnsi" w:hAnsiTheme="minorHAnsi"/>
          <w:sz w:val="22"/>
        </w:rPr>
        <w:t>,</w:t>
      </w:r>
      <w:r w:rsidRPr="00140BF5">
        <w:rPr>
          <w:rFonts w:asciiTheme="minorHAnsi" w:hAnsiTheme="minorHAnsi"/>
          <w:sz w:val="22"/>
        </w:rPr>
        <w:t xml:space="preserve"> M</w:t>
      </w:r>
      <w:r w:rsidR="001D35A5">
        <w:rPr>
          <w:rFonts w:asciiTheme="minorHAnsi" w:hAnsiTheme="minorHAnsi"/>
          <w:sz w:val="22"/>
        </w:rPr>
        <w:t>.</w:t>
      </w:r>
      <w:r w:rsidRPr="00140BF5">
        <w:rPr>
          <w:rFonts w:asciiTheme="minorHAnsi" w:hAnsiTheme="minorHAnsi"/>
          <w:sz w:val="22"/>
        </w:rPr>
        <w:t xml:space="preserve"> (2014) </w:t>
      </w:r>
      <w:r w:rsidR="004C0A72">
        <w:rPr>
          <w:rFonts w:asciiTheme="minorHAnsi" w:hAnsiTheme="minorHAnsi"/>
          <w:sz w:val="22"/>
        </w:rPr>
        <w:t>‘</w:t>
      </w:r>
      <w:r w:rsidRPr="00140BF5">
        <w:rPr>
          <w:rFonts w:asciiTheme="minorHAnsi" w:hAnsiTheme="minorHAnsi"/>
          <w:sz w:val="22"/>
        </w:rPr>
        <w:t>National Responses to European Court Jurisprudence</w:t>
      </w:r>
      <w:r w:rsidR="004C0A72">
        <w:rPr>
          <w:rFonts w:asciiTheme="minorHAnsi" w:hAnsiTheme="minorHAnsi"/>
          <w:sz w:val="22"/>
        </w:rPr>
        <w:t>’,</w:t>
      </w:r>
      <w:r w:rsidRPr="00140BF5">
        <w:rPr>
          <w:rFonts w:asciiTheme="minorHAnsi" w:hAnsiTheme="minorHAnsi"/>
          <w:sz w:val="22"/>
        </w:rPr>
        <w:t xml:space="preserve"> </w:t>
      </w:r>
      <w:r w:rsidRPr="00140BF5">
        <w:rPr>
          <w:rFonts w:asciiTheme="minorHAnsi" w:hAnsiTheme="minorHAnsi"/>
          <w:i/>
          <w:sz w:val="22"/>
        </w:rPr>
        <w:t>West European Politics</w:t>
      </w:r>
      <w:r w:rsidRPr="00140BF5">
        <w:rPr>
          <w:rFonts w:asciiTheme="minorHAnsi" w:hAnsiTheme="minorHAnsi"/>
          <w:sz w:val="22"/>
        </w:rPr>
        <w:t>, 37</w:t>
      </w:r>
      <w:r w:rsidR="00106496" w:rsidRPr="00140BF5">
        <w:rPr>
          <w:rFonts w:asciiTheme="minorHAnsi" w:hAnsiTheme="minorHAnsi"/>
          <w:sz w:val="22"/>
        </w:rPr>
        <w:t xml:space="preserve"> (</w:t>
      </w:r>
      <w:r w:rsidRPr="00140BF5">
        <w:rPr>
          <w:rFonts w:asciiTheme="minorHAnsi" w:hAnsiTheme="minorHAnsi"/>
          <w:sz w:val="22"/>
        </w:rPr>
        <w:t>3</w:t>
      </w:r>
      <w:r w:rsidR="00106496" w:rsidRPr="00140BF5">
        <w:rPr>
          <w:rFonts w:asciiTheme="minorHAnsi" w:hAnsiTheme="minorHAnsi"/>
          <w:sz w:val="22"/>
        </w:rPr>
        <w:t>):</w:t>
      </w:r>
      <w:r w:rsidRPr="00140BF5">
        <w:rPr>
          <w:rFonts w:asciiTheme="minorHAnsi" w:hAnsiTheme="minorHAnsi"/>
          <w:sz w:val="22"/>
        </w:rPr>
        <w:t xml:space="preserve"> 457-474</w:t>
      </w:r>
      <w:r w:rsidR="00106496" w:rsidRPr="00140BF5">
        <w:rPr>
          <w:rFonts w:asciiTheme="minorHAnsi" w:hAnsiTheme="minorHAnsi"/>
          <w:sz w:val="22"/>
        </w:rPr>
        <w:t>.</w:t>
      </w:r>
    </w:p>
    <w:p w14:paraId="502D44ED" w14:textId="6C694E7D" w:rsidR="002E7381" w:rsidRPr="00140BF5" w:rsidRDefault="00122238"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lastRenderedPageBreak/>
        <w:t>Bosch</w:t>
      </w:r>
      <w:r w:rsidR="001D35A5">
        <w:rPr>
          <w:rFonts w:asciiTheme="minorHAnsi" w:hAnsiTheme="minorHAnsi"/>
          <w:sz w:val="22"/>
        </w:rPr>
        <w:t>,</w:t>
      </w:r>
      <w:r w:rsidR="002E7381" w:rsidRPr="00140BF5">
        <w:rPr>
          <w:rFonts w:asciiTheme="minorHAnsi" w:hAnsiTheme="minorHAnsi"/>
          <w:sz w:val="22"/>
        </w:rPr>
        <w:t xml:space="preserve"> G</w:t>
      </w:r>
      <w:r w:rsidR="001D35A5">
        <w:rPr>
          <w:rFonts w:asciiTheme="minorHAnsi" w:hAnsiTheme="minorHAnsi"/>
          <w:sz w:val="22"/>
        </w:rPr>
        <w:t>. and</w:t>
      </w:r>
      <w:r w:rsidR="00106496" w:rsidRPr="00140BF5">
        <w:rPr>
          <w:rFonts w:asciiTheme="minorHAnsi" w:hAnsiTheme="minorHAnsi"/>
          <w:sz w:val="22"/>
        </w:rPr>
        <w:t xml:space="preserve"> </w:t>
      </w:r>
      <w:r w:rsidRPr="00140BF5">
        <w:rPr>
          <w:rFonts w:asciiTheme="minorHAnsi" w:hAnsiTheme="minorHAnsi"/>
          <w:sz w:val="22"/>
        </w:rPr>
        <w:t>Weinkopf</w:t>
      </w:r>
      <w:r w:rsidR="001D35A5">
        <w:rPr>
          <w:rFonts w:asciiTheme="minorHAnsi" w:hAnsiTheme="minorHAnsi"/>
          <w:sz w:val="22"/>
        </w:rPr>
        <w:t>,</w:t>
      </w:r>
      <w:r w:rsidR="004F09CE" w:rsidRPr="00140BF5">
        <w:rPr>
          <w:rFonts w:asciiTheme="minorHAnsi" w:hAnsiTheme="minorHAnsi"/>
          <w:sz w:val="22"/>
        </w:rPr>
        <w:t xml:space="preserve"> C</w:t>
      </w:r>
      <w:r w:rsidR="001D35A5">
        <w:rPr>
          <w:rFonts w:asciiTheme="minorHAnsi" w:hAnsiTheme="minorHAnsi"/>
          <w:sz w:val="22"/>
        </w:rPr>
        <w:t>.</w:t>
      </w:r>
      <w:r w:rsidR="004F09CE" w:rsidRPr="00140BF5">
        <w:rPr>
          <w:rFonts w:asciiTheme="minorHAnsi" w:hAnsiTheme="minorHAnsi"/>
          <w:sz w:val="22"/>
        </w:rPr>
        <w:t xml:space="preserve"> (2017)</w:t>
      </w:r>
      <w:r w:rsidR="002E7381" w:rsidRPr="00140BF5">
        <w:rPr>
          <w:rFonts w:asciiTheme="minorHAnsi" w:hAnsiTheme="minorHAnsi"/>
          <w:sz w:val="22"/>
        </w:rPr>
        <w:t xml:space="preserve"> </w:t>
      </w:r>
      <w:r w:rsidR="001D35A5">
        <w:rPr>
          <w:rFonts w:asciiTheme="minorHAnsi" w:hAnsiTheme="minorHAnsi"/>
          <w:sz w:val="22"/>
        </w:rPr>
        <w:t>‘</w:t>
      </w:r>
      <w:r w:rsidR="002E7381" w:rsidRPr="00140BF5">
        <w:rPr>
          <w:rFonts w:asciiTheme="minorHAnsi" w:hAnsiTheme="minorHAnsi"/>
          <w:sz w:val="22"/>
        </w:rPr>
        <w:t>Reducing wage inequality: The role of the state in improving job quality</w:t>
      </w:r>
      <w:r w:rsidR="001D35A5">
        <w:rPr>
          <w:rFonts w:asciiTheme="minorHAnsi" w:hAnsiTheme="minorHAnsi"/>
          <w:sz w:val="22"/>
        </w:rPr>
        <w:t>’,</w:t>
      </w:r>
      <w:r w:rsidR="002E7381" w:rsidRPr="00140BF5">
        <w:rPr>
          <w:rFonts w:asciiTheme="minorHAnsi" w:hAnsiTheme="minorHAnsi"/>
          <w:sz w:val="22"/>
        </w:rPr>
        <w:t xml:space="preserve"> </w:t>
      </w:r>
      <w:r w:rsidR="002E7381" w:rsidRPr="00140BF5">
        <w:rPr>
          <w:rFonts w:asciiTheme="minorHAnsi" w:hAnsiTheme="minorHAnsi"/>
          <w:i/>
          <w:sz w:val="22"/>
        </w:rPr>
        <w:t>Work and Occupations</w:t>
      </w:r>
      <w:r w:rsidR="00106496" w:rsidRPr="00140BF5">
        <w:rPr>
          <w:rFonts w:asciiTheme="minorHAnsi" w:hAnsiTheme="minorHAnsi"/>
          <w:sz w:val="22"/>
        </w:rPr>
        <w:t xml:space="preserve"> 44 (1):</w:t>
      </w:r>
      <w:r w:rsidR="002E7381" w:rsidRPr="00140BF5">
        <w:rPr>
          <w:rFonts w:asciiTheme="minorHAnsi" w:hAnsiTheme="minorHAnsi"/>
          <w:sz w:val="22"/>
        </w:rPr>
        <w:t xml:space="preserve"> 68–88</w:t>
      </w:r>
      <w:r w:rsidR="005B52DF" w:rsidRPr="00140BF5">
        <w:rPr>
          <w:rFonts w:asciiTheme="minorHAnsi" w:hAnsiTheme="minorHAnsi"/>
          <w:sz w:val="22"/>
        </w:rPr>
        <w:t>.</w:t>
      </w:r>
    </w:p>
    <w:p w14:paraId="73BA2783" w14:textId="0C09A3B9" w:rsidR="00890CAB" w:rsidRPr="00140BF5" w:rsidRDefault="00890CAB" w:rsidP="0011084D">
      <w:pPr>
        <w:pStyle w:val="Bibliographicalreference"/>
        <w:spacing w:before="0" w:line="480" w:lineRule="auto"/>
        <w:jc w:val="both"/>
        <w:rPr>
          <w:rFonts w:asciiTheme="minorHAnsi" w:hAnsiTheme="minorHAnsi"/>
          <w:noProof/>
          <w:sz w:val="22"/>
          <w:szCs w:val="20"/>
        </w:rPr>
      </w:pPr>
      <w:r w:rsidRPr="00140BF5">
        <w:rPr>
          <w:rFonts w:asciiTheme="minorHAnsi" w:hAnsiTheme="minorHAnsi"/>
          <w:sz w:val="22"/>
        </w:rPr>
        <w:t>Brennan</w:t>
      </w:r>
      <w:r w:rsidR="001D35A5">
        <w:rPr>
          <w:rFonts w:asciiTheme="minorHAnsi" w:hAnsiTheme="minorHAnsi"/>
          <w:sz w:val="22"/>
        </w:rPr>
        <w:t>,</w:t>
      </w:r>
      <w:r w:rsidRPr="00140BF5">
        <w:rPr>
          <w:rFonts w:asciiTheme="minorHAnsi" w:hAnsiTheme="minorHAnsi"/>
          <w:sz w:val="22"/>
        </w:rPr>
        <w:t xml:space="preserve"> D</w:t>
      </w:r>
      <w:r w:rsidR="001D35A5">
        <w:rPr>
          <w:rFonts w:asciiTheme="minorHAnsi" w:hAnsiTheme="minorHAnsi"/>
          <w:sz w:val="22"/>
        </w:rPr>
        <w:t>.</w:t>
      </w:r>
      <w:r w:rsidRPr="00140BF5">
        <w:rPr>
          <w:rFonts w:asciiTheme="minorHAnsi" w:hAnsiTheme="minorHAnsi"/>
          <w:sz w:val="22"/>
        </w:rPr>
        <w:t>, Cass</w:t>
      </w:r>
      <w:r w:rsidR="001D35A5">
        <w:rPr>
          <w:rFonts w:asciiTheme="minorHAnsi" w:hAnsiTheme="minorHAnsi"/>
          <w:sz w:val="22"/>
        </w:rPr>
        <w:t>,</w:t>
      </w:r>
      <w:r w:rsidRPr="00140BF5">
        <w:rPr>
          <w:rFonts w:asciiTheme="minorHAnsi" w:hAnsiTheme="minorHAnsi"/>
          <w:sz w:val="22"/>
        </w:rPr>
        <w:t xml:space="preserve"> B</w:t>
      </w:r>
      <w:r w:rsidR="001D35A5">
        <w:rPr>
          <w:rFonts w:asciiTheme="minorHAnsi" w:hAnsiTheme="minorHAnsi"/>
          <w:sz w:val="22"/>
        </w:rPr>
        <w:t>.</w:t>
      </w:r>
      <w:r w:rsidRPr="00140BF5">
        <w:rPr>
          <w:rFonts w:asciiTheme="minorHAnsi" w:hAnsiTheme="minorHAnsi"/>
          <w:sz w:val="22"/>
        </w:rPr>
        <w:t>, Himmelweit</w:t>
      </w:r>
      <w:r w:rsidR="001D35A5">
        <w:rPr>
          <w:rFonts w:asciiTheme="minorHAnsi" w:hAnsiTheme="minorHAnsi"/>
          <w:sz w:val="22"/>
        </w:rPr>
        <w:t>,</w:t>
      </w:r>
      <w:r w:rsidR="00122238" w:rsidRPr="00140BF5">
        <w:rPr>
          <w:rFonts w:asciiTheme="minorHAnsi" w:hAnsiTheme="minorHAnsi"/>
          <w:sz w:val="22"/>
        </w:rPr>
        <w:t xml:space="preserve"> S</w:t>
      </w:r>
      <w:r w:rsidR="001D35A5">
        <w:rPr>
          <w:rFonts w:asciiTheme="minorHAnsi" w:hAnsiTheme="minorHAnsi"/>
          <w:sz w:val="22"/>
        </w:rPr>
        <w:t>.</w:t>
      </w:r>
      <w:r w:rsidRPr="00140BF5">
        <w:rPr>
          <w:rFonts w:asciiTheme="minorHAnsi" w:hAnsiTheme="minorHAnsi"/>
          <w:sz w:val="22"/>
        </w:rPr>
        <w:t xml:space="preserve"> </w:t>
      </w:r>
      <w:r w:rsidR="00117061" w:rsidRPr="00140BF5">
        <w:rPr>
          <w:rFonts w:asciiTheme="minorHAnsi" w:hAnsiTheme="minorHAnsi"/>
          <w:sz w:val="22"/>
        </w:rPr>
        <w:t xml:space="preserve">and </w:t>
      </w:r>
      <w:r w:rsidR="00C31F10" w:rsidRPr="00140BF5">
        <w:rPr>
          <w:rFonts w:asciiTheme="minorHAnsi" w:hAnsiTheme="minorHAnsi"/>
          <w:sz w:val="22"/>
        </w:rPr>
        <w:t>Szebehely</w:t>
      </w:r>
      <w:r w:rsidR="001D35A5">
        <w:rPr>
          <w:rFonts w:asciiTheme="minorHAnsi" w:hAnsiTheme="minorHAnsi"/>
          <w:sz w:val="22"/>
        </w:rPr>
        <w:t>,</w:t>
      </w:r>
      <w:r w:rsidR="00C31F10" w:rsidRPr="00140BF5">
        <w:rPr>
          <w:rFonts w:asciiTheme="minorHAnsi" w:hAnsiTheme="minorHAnsi"/>
          <w:sz w:val="22"/>
        </w:rPr>
        <w:t xml:space="preserve"> M</w:t>
      </w:r>
      <w:r w:rsidR="001D35A5">
        <w:rPr>
          <w:rFonts w:asciiTheme="minorHAnsi" w:hAnsiTheme="minorHAnsi"/>
          <w:sz w:val="22"/>
        </w:rPr>
        <w:t>.</w:t>
      </w:r>
      <w:r w:rsidR="009C66B6" w:rsidRPr="00140BF5">
        <w:rPr>
          <w:rFonts w:asciiTheme="minorHAnsi" w:hAnsiTheme="minorHAnsi"/>
          <w:sz w:val="22"/>
        </w:rPr>
        <w:t xml:space="preserve"> </w:t>
      </w:r>
      <w:r w:rsidR="00C31F10" w:rsidRPr="00140BF5">
        <w:rPr>
          <w:rFonts w:asciiTheme="minorHAnsi" w:hAnsiTheme="minorHAnsi"/>
          <w:sz w:val="22"/>
        </w:rPr>
        <w:t>(2012)</w:t>
      </w:r>
      <w:r w:rsidRPr="00140BF5">
        <w:rPr>
          <w:rFonts w:asciiTheme="minorHAnsi" w:hAnsiTheme="minorHAnsi"/>
          <w:sz w:val="22"/>
        </w:rPr>
        <w:t xml:space="preserve"> </w:t>
      </w:r>
      <w:r w:rsidR="001D35A5">
        <w:rPr>
          <w:rFonts w:asciiTheme="minorHAnsi" w:hAnsiTheme="minorHAnsi"/>
          <w:sz w:val="22"/>
        </w:rPr>
        <w:t>‘</w:t>
      </w:r>
      <w:r w:rsidRPr="00140BF5">
        <w:rPr>
          <w:rFonts w:asciiTheme="minorHAnsi" w:hAnsiTheme="minorHAnsi"/>
          <w:sz w:val="22"/>
        </w:rPr>
        <w:t>The marketisation of care: Rationales and consequences in Nordic and liberal care regimes</w:t>
      </w:r>
      <w:r w:rsidR="001D35A5">
        <w:rPr>
          <w:rFonts w:asciiTheme="minorHAnsi" w:hAnsiTheme="minorHAnsi"/>
          <w:sz w:val="22"/>
        </w:rPr>
        <w:t>’,</w:t>
      </w:r>
      <w:r w:rsidRPr="00140BF5">
        <w:rPr>
          <w:rFonts w:asciiTheme="minorHAnsi" w:hAnsiTheme="minorHAnsi"/>
          <w:sz w:val="22"/>
        </w:rPr>
        <w:t xml:space="preserve"> </w:t>
      </w:r>
      <w:r w:rsidRPr="00140BF5">
        <w:rPr>
          <w:rFonts w:asciiTheme="minorHAnsi" w:hAnsiTheme="minorHAnsi"/>
          <w:i/>
          <w:sz w:val="22"/>
        </w:rPr>
        <w:t>Journal of European Social Policy</w:t>
      </w:r>
      <w:r w:rsidR="00122238" w:rsidRPr="00140BF5">
        <w:rPr>
          <w:rFonts w:asciiTheme="minorHAnsi" w:hAnsiTheme="minorHAnsi"/>
          <w:sz w:val="22"/>
        </w:rPr>
        <w:t xml:space="preserve"> </w:t>
      </w:r>
      <w:r w:rsidR="00106496" w:rsidRPr="00140BF5">
        <w:rPr>
          <w:rFonts w:asciiTheme="minorHAnsi" w:hAnsiTheme="minorHAnsi"/>
          <w:sz w:val="22"/>
        </w:rPr>
        <w:t>22(4):</w:t>
      </w:r>
      <w:r w:rsidRPr="00140BF5">
        <w:rPr>
          <w:rFonts w:asciiTheme="minorHAnsi" w:hAnsiTheme="minorHAnsi"/>
          <w:noProof/>
          <w:sz w:val="22"/>
          <w:szCs w:val="20"/>
        </w:rPr>
        <w:t xml:space="preserve"> 377-391.</w:t>
      </w:r>
    </w:p>
    <w:p w14:paraId="478AD09D" w14:textId="672D1840" w:rsidR="00890CAB" w:rsidRPr="00140BF5" w:rsidRDefault="004F09CE"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Bruun</w:t>
      </w:r>
      <w:r w:rsidR="001D35A5">
        <w:rPr>
          <w:rFonts w:asciiTheme="minorHAnsi" w:hAnsiTheme="minorHAnsi"/>
          <w:sz w:val="22"/>
        </w:rPr>
        <w:t>,</w:t>
      </w:r>
      <w:r w:rsidRPr="00140BF5">
        <w:rPr>
          <w:rFonts w:asciiTheme="minorHAnsi" w:hAnsiTheme="minorHAnsi"/>
          <w:sz w:val="22"/>
        </w:rPr>
        <w:t xml:space="preserve"> N</w:t>
      </w:r>
      <w:r w:rsidR="001D35A5">
        <w:rPr>
          <w:rFonts w:asciiTheme="minorHAnsi" w:hAnsiTheme="minorHAnsi"/>
          <w:sz w:val="22"/>
        </w:rPr>
        <w:t>. and</w:t>
      </w:r>
      <w:r w:rsidRPr="00140BF5">
        <w:rPr>
          <w:rFonts w:asciiTheme="minorHAnsi" w:hAnsiTheme="minorHAnsi"/>
          <w:sz w:val="22"/>
        </w:rPr>
        <w:t xml:space="preserve"> </w:t>
      </w:r>
      <w:r w:rsidR="00890CAB" w:rsidRPr="00140BF5">
        <w:rPr>
          <w:rFonts w:asciiTheme="minorHAnsi" w:hAnsiTheme="minorHAnsi"/>
          <w:sz w:val="22"/>
        </w:rPr>
        <w:t>Ahlberg</w:t>
      </w:r>
      <w:r w:rsidR="001D35A5">
        <w:rPr>
          <w:rFonts w:asciiTheme="minorHAnsi" w:hAnsiTheme="minorHAnsi"/>
          <w:sz w:val="22"/>
        </w:rPr>
        <w:t>,</w:t>
      </w:r>
      <w:r w:rsidR="00890CAB" w:rsidRPr="00140BF5">
        <w:rPr>
          <w:rFonts w:asciiTheme="minorHAnsi" w:hAnsiTheme="minorHAnsi"/>
          <w:sz w:val="22"/>
        </w:rPr>
        <w:t xml:space="preserve"> K</w:t>
      </w:r>
      <w:r w:rsidR="001D35A5">
        <w:rPr>
          <w:rFonts w:asciiTheme="minorHAnsi" w:hAnsiTheme="minorHAnsi"/>
          <w:sz w:val="22"/>
        </w:rPr>
        <w:t>.</w:t>
      </w:r>
      <w:r w:rsidR="00890CAB" w:rsidRPr="00140BF5">
        <w:rPr>
          <w:rFonts w:asciiTheme="minorHAnsi" w:hAnsiTheme="minorHAnsi"/>
          <w:sz w:val="22"/>
        </w:rPr>
        <w:t xml:space="preserve"> (2014) Public Procurement and Labour Rights : Governance by Scaremongering? In: Evju S</w:t>
      </w:r>
      <w:r w:rsidR="00C31F10" w:rsidRPr="00140BF5">
        <w:rPr>
          <w:rFonts w:asciiTheme="minorHAnsi" w:hAnsiTheme="minorHAnsi"/>
          <w:sz w:val="22"/>
        </w:rPr>
        <w:t xml:space="preserve"> (ed.)</w:t>
      </w:r>
      <w:r w:rsidR="00890CAB" w:rsidRPr="00140BF5">
        <w:rPr>
          <w:rFonts w:asciiTheme="minorHAnsi" w:hAnsiTheme="minorHAnsi"/>
          <w:sz w:val="22"/>
        </w:rPr>
        <w:t xml:space="preserve"> Regulating Transnational Labour in Europe : The quandaries of multilevel governance</w:t>
      </w:r>
      <w:r w:rsidR="003E13B5" w:rsidRPr="00140BF5">
        <w:rPr>
          <w:rFonts w:asciiTheme="minorHAnsi" w:hAnsiTheme="minorHAnsi"/>
          <w:sz w:val="22"/>
        </w:rPr>
        <w:t>.</w:t>
      </w:r>
      <w:r w:rsidR="00890CAB" w:rsidRPr="00140BF5">
        <w:rPr>
          <w:rFonts w:asciiTheme="minorHAnsi" w:hAnsiTheme="minorHAnsi"/>
          <w:sz w:val="22"/>
        </w:rPr>
        <w:t xml:space="preserve"> Skriftserie / University of Oslo. Department of Private La</w:t>
      </w:r>
      <w:r w:rsidR="004C0A72">
        <w:rPr>
          <w:rFonts w:asciiTheme="minorHAnsi" w:hAnsiTheme="minorHAnsi"/>
          <w:sz w:val="22"/>
        </w:rPr>
        <w:t>w, Oslo: Privatrettsfondet, 263-</w:t>
      </w:r>
      <w:r w:rsidR="00890CAB" w:rsidRPr="00140BF5">
        <w:rPr>
          <w:rFonts w:asciiTheme="minorHAnsi" w:hAnsiTheme="minorHAnsi"/>
          <w:sz w:val="22"/>
        </w:rPr>
        <w:t>279.</w:t>
      </w:r>
    </w:p>
    <w:p w14:paraId="3371F2F9" w14:textId="6B3610E0" w:rsidR="00890CAB" w:rsidRPr="00140BF5" w:rsidRDefault="00890CAB" w:rsidP="0011084D">
      <w:pPr>
        <w:pStyle w:val="Bibliographicalreference"/>
        <w:spacing w:before="0" w:line="480" w:lineRule="auto"/>
        <w:jc w:val="both"/>
        <w:rPr>
          <w:rFonts w:asciiTheme="minorHAnsi" w:hAnsiTheme="minorHAnsi"/>
          <w:noProof/>
          <w:sz w:val="22"/>
          <w:szCs w:val="20"/>
        </w:rPr>
      </w:pPr>
      <w:r w:rsidRPr="00140BF5">
        <w:rPr>
          <w:rFonts w:asciiTheme="minorHAnsi" w:hAnsiTheme="minorHAnsi"/>
          <w:noProof/>
          <w:sz w:val="22"/>
          <w:szCs w:val="20"/>
        </w:rPr>
        <w:t>Cunningham</w:t>
      </w:r>
      <w:r w:rsidR="00AF4493">
        <w:rPr>
          <w:rFonts w:asciiTheme="minorHAnsi" w:hAnsiTheme="minorHAnsi"/>
          <w:noProof/>
          <w:sz w:val="22"/>
          <w:szCs w:val="20"/>
        </w:rPr>
        <w:t>,</w:t>
      </w:r>
      <w:r w:rsidR="00C31F10" w:rsidRPr="00140BF5">
        <w:rPr>
          <w:rFonts w:asciiTheme="minorHAnsi" w:hAnsiTheme="minorHAnsi"/>
          <w:noProof/>
          <w:sz w:val="22"/>
          <w:szCs w:val="20"/>
        </w:rPr>
        <w:t xml:space="preserve"> I</w:t>
      </w:r>
      <w:r w:rsidR="00AF4493">
        <w:rPr>
          <w:rFonts w:asciiTheme="minorHAnsi" w:hAnsiTheme="minorHAnsi"/>
          <w:noProof/>
          <w:sz w:val="22"/>
          <w:szCs w:val="20"/>
        </w:rPr>
        <w:t>. and</w:t>
      </w:r>
      <w:r w:rsidR="004F09CE" w:rsidRPr="00140BF5">
        <w:rPr>
          <w:rFonts w:asciiTheme="minorHAnsi" w:hAnsiTheme="minorHAnsi"/>
          <w:noProof/>
          <w:sz w:val="22"/>
          <w:szCs w:val="20"/>
        </w:rPr>
        <w:t xml:space="preserve"> </w:t>
      </w:r>
      <w:r w:rsidR="00C31F10" w:rsidRPr="00140BF5">
        <w:rPr>
          <w:rFonts w:asciiTheme="minorHAnsi" w:hAnsiTheme="minorHAnsi"/>
          <w:noProof/>
          <w:sz w:val="22"/>
          <w:szCs w:val="20"/>
        </w:rPr>
        <w:t>James</w:t>
      </w:r>
      <w:r w:rsidR="00AF4493">
        <w:rPr>
          <w:rFonts w:asciiTheme="minorHAnsi" w:hAnsiTheme="minorHAnsi"/>
          <w:noProof/>
          <w:sz w:val="22"/>
          <w:szCs w:val="20"/>
        </w:rPr>
        <w:t>,</w:t>
      </w:r>
      <w:r w:rsidR="00C31F10" w:rsidRPr="00140BF5">
        <w:rPr>
          <w:rFonts w:asciiTheme="minorHAnsi" w:hAnsiTheme="minorHAnsi"/>
          <w:noProof/>
          <w:sz w:val="22"/>
          <w:szCs w:val="20"/>
        </w:rPr>
        <w:t xml:space="preserve"> P</w:t>
      </w:r>
      <w:r w:rsidR="00AF4493">
        <w:rPr>
          <w:rFonts w:asciiTheme="minorHAnsi" w:hAnsiTheme="minorHAnsi"/>
          <w:noProof/>
          <w:sz w:val="22"/>
          <w:szCs w:val="20"/>
        </w:rPr>
        <w:t>.</w:t>
      </w:r>
      <w:r w:rsidRPr="00140BF5">
        <w:rPr>
          <w:rFonts w:asciiTheme="minorHAnsi" w:hAnsiTheme="minorHAnsi"/>
          <w:noProof/>
          <w:sz w:val="22"/>
          <w:szCs w:val="20"/>
        </w:rPr>
        <w:t xml:space="preserve"> (2009) </w:t>
      </w:r>
      <w:r w:rsidR="00AF4493">
        <w:rPr>
          <w:rFonts w:asciiTheme="minorHAnsi" w:hAnsiTheme="minorHAnsi"/>
          <w:noProof/>
          <w:sz w:val="22"/>
          <w:szCs w:val="20"/>
        </w:rPr>
        <w:t>‘</w:t>
      </w:r>
      <w:r w:rsidRPr="00140BF5">
        <w:rPr>
          <w:rFonts w:asciiTheme="minorHAnsi" w:hAnsiTheme="minorHAnsi"/>
          <w:noProof/>
          <w:sz w:val="22"/>
          <w:szCs w:val="20"/>
        </w:rPr>
        <w:t>The Outsourcing of Social Care in Britain: What Does it Mean</w:t>
      </w:r>
      <w:r w:rsidR="004F09CE" w:rsidRPr="00140BF5">
        <w:rPr>
          <w:rFonts w:asciiTheme="minorHAnsi" w:hAnsiTheme="minorHAnsi"/>
          <w:noProof/>
          <w:sz w:val="22"/>
          <w:szCs w:val="20"/>
        </w:rPr>
        <w:t xml:space="preserve"> for Voluntary Sector Workers?</w:t>
      </w:r>
      <w:r w:rsidR="00AF4493">
        <w:rPr>
          <w:rFonts w:asciiTheme="minorHAnsi" w:hAnsiTheme="minorHAnsi"/>
          <w:noProof/>
          <w:sz w:val="22"/>
          <w:szCs w:val="20"/>
        </w:rPr>
        <w:t>’,</w:t>
      </w:r>
      <w:r w:rsidR="00106496" w:rsidRPr="00140BF5">
        <w:rPr>
          <w:rFonts w:asciiTheme="minorHAnsi" w:hAnsiTheme="minorHAnsi"/>
          <w:noProof/>
          <w:sz w:val="22"/>
          <w:szCs w:val="20"/>
        </w:rPr>
        <w:t xml:space="preserve"> </w:t>
      </w:r>
      <w:r w:rsidRPr="00140BF5">
        <w:rPr>
          <w:rFonts w:asciiTheme="minorHAnsi" w:hAnsiTheme="minorHAnsi"/>
          <w:i/>
          <w:noProof/>
          <w:sz w:val="22"/>
          <w:szCs w:val="20"/>
        </w:rPr>
        <w:t>Work, Employment and Society</w:t>
      </w:r>
      <w:r w:rsidRPr="00140BF5">
        <w:rPr>
          <w:rFonts w:asciiTheme="minorHAnsi" w:hAnsiTheme="minorHAnsi"/>
          <w:noProof/>
          <w:sz w:val="22"/>
          <w:szCs w:val="20"/>
        </w:rPr>
        <w:t xml:space="preserve"> 23(2)</w:t>
      </w:r>
      <w:r w:rsidR="00106496" w:rsidRPr="00140BF5">
        <w:rPr>
          <w:rFonts w:asciiTheme="minorHAnsi" w:hAnsiTheme="minorHAnsi"/>
          <w:noProof/>
          <w:sz w:val="22"/>
          <w:szCs w:val="20"/>
        </w:rPr>
        <w:t xml:space="preserve">: </w:t>
      </w:r>
      <w:r w:rsidRPr="00140BF5">
        <w:rPr>
          <w:rFonts w:asciiTheme="minorHAnsi" w:hAnsiTheme="minorHAnsi"/>
          <w:noProof/>
          <w:sz w:val="22"/>
          <w:szCs w:val="20"/>
        </w:rPr>
        <w:t>363-375.</w:t>
      </w:r>
    </w:p>
    <w:p w14:paraId="35830F6D" w14:textId="238BCF31" w:rsidR="009E0E64" w:rsidRPr="00140BF5" w:rsidRDefault="00CF514F" w:rsidP="009C3F7F">
      <w:pPr>
        <w:pStyle w:val="Bibliographicalreference"/>
        <w:spacing w:line="480" w:lineRule="auto"/>
        <w:jc w:val="both"/>
        <w:rPr>
          <w:rFonts w:asciiTheme="minorHAnsi" w:hAnsiTheme="minorHAnsi"/>
          <w:noProof/>
          <w:sz w:val="22"/>
          <w:szCs w:val="20"/>
        </w:rPr>
      </w:pPr>
      <w:r w:rsidRPr="00140BF5">
        <w:rPr>
          <w:rFonts w:asciiTheme="minorHAnsi" w:hAnsiTheme="minorHAnsi"/>
          <w:noProof/>
          <w:sz w:val="22"/>
          <w:szCs w:val="20"/>
        </w:rPr>
        <w:t>Cunningham</w:t>
      </w:r>
      <w:r w:rsidR="00AF4493">
        <w:rPr>
          <w:rFonts w:asciiTheme="minorHAnsi" w:hAnsiTheme="minorHAnsi"/>
          <w:noProof/>
          <w:sz w:val="22"/>
          <w:szCs w:val="20"/>
        </w:rPr>
        <w:t>,</w:t>
      </w:r>
      <w:r w:rsidRPr="00140BF5">
        <w:rPr>
          <w:rFonts w:asciiTheme="minorHAnsi" w:hAnsiTheme="minorHAnsi"/>
          <w:noProof/>
          <w:sz w:val="22"/>
          <w:szCs w:val="20"/>
        </w:rPr>
        <w:t xml:space="preserve"> I</w:t>
      </w:r>
      <w:r w:rsidR="00AF4493">
        <w:rPr>
          <w:rFonts w:asciiTheme="minorHAnsi" w:hAnsiTheme="minorHAnsi"/>
          <w:noProof/>
          <w:sz w:val="22"/>
          <w:szCs w:val="20"/>
        </w:rPr>
        <w:t>. and</w:t>
      </w:r>
      <w:r w:rsidR="004F09CE" w:rsidRPr="00140BF5">
        <w:rPr>
          <w:rFonts w:asciiTheme="minorHAnsi" w:hAnsiTheme="minorHAnsi"/>
          <w:noProof/>
          <w:sz w:val="22"/>
          <w:szCs w:val="20"/>
        </w:rPr>
        <w:t xml:space="preserve"> </w:t>
      </w:r>
      <w:r w:rsidRPr="00140BF5">
        <w:rPr>
          <w:rFonts w:asciiTheme="minorHAnsi" w:hAnsiTheme="minorHAnsi"/>
          <w:noProof/>
          <w:sz w:val="22"/>
          <w:szCs w:val="20"/>
        </w:rPr>
        <w:t>James</w:t>
      </w:r>
      <w:r w:rsidR="00AF4493">
        <w:rPr>
          <w:rFonts w:asciiTheme="minorHAnsi" w:hAnsiTheme="minorHAnsi"/>
          <w:noProof/>
          <w:sz w:val="22"/>
          <w:szCs w:val="20"/>
        </w:rPr>
        <w:t>,</w:t>
      </w:r>
      <w:r w:rsidRPr="00140BF5">
        <w:rPr>
          <w:rFonts w:asciiTheme="minorHAnsi" w:hAnsiTheme="minorHAnsi"/>
          <w:noProof/>
          <w:sz w:val="22"/>
          <w:szCs w:val="20"/>
        </w:rPr>
        <w:t xml:space="preserve"> P</w:t>
      </w:r>
      <w:r w:rsidR="00AF4493">
        <w:rPr>
          <w:rFonts w:asciiTheme="minorHAnsi" w:hAnsiTheme="minorHAnsi"/>
          <w:noProof/>
          <w:sz w:val="22"/>
          <w:szCs w:val="20"/>
        </w:rPr>
        <w:t>.</w:t>
      </w:r>
      <w:r w:rsidRPr="00140BF5">
        <w:rPr>
          <w:rFonts w:asciiTheme="minorHAnsi" w:hAnsiTheme="minorHAnsi"/>
          <w:noProof/>
          <w:sz w:val="22"/>
          <w:szCs w:val="20"/>
        </w:rPr>
        <w:t xml:space="preserve"> (2016) </w:t>
      </w:r>
      <w:r w:rsidR="00AF4493">
        <w:rPr>
          <w:rFonts w:asciiTheme="minorHAnsi" w:hAnsiTheme="minorHAnsi"/>
          <w:noProof/>
          <w:sz w:val="22"/>
          <w:szCs w:val="20"/>
        </w:rPr>
        <w:t>‘</w:t>
      </w:r>
      <w:r w:rsidR="009E0E64" w:rsidRPr="00140BF5">
        <w:rPr>
          <w:rFonts w:asciiTheme="minorHAnsi" w:hAnsiTheme="minorHAnsi"/>
          <w:noProof/>
          <w:sz w:val="22"/>
          <w:szCs w:val="20"/>
        </w:rPr>
        <w:t>Analysing public service outsourcing: The value of a regulatory perspective</w:t>
      </w:r>
      <w:r w:rsidR="00AF4493">
        <w:rPr>
          <w:rFonts w:asciiTheme="minorHAnsi" w:hAnsiTheme="minorHAnsi"/>
          <w:noProof/>
          <w:sz w:val="22"/>
          <w:szCs w:val="20"/>
        </w:rPr>
        <w:t>’,</w:t>
      </w:r>
      <w:r w:rsidRPr="00140BF5">
        <w:rPr>
          <w:rFonts w:asciiTheme="minorHAnsi" w:hAnsiTheme="minorHAnsi"/>
          <w:noProof/>
          <w:sz w:val="22"/>
          <w:szCs w:val="20"/>
        </w:rPr>
        <w:t xml:space="preserve"> </w:t>
      </w:r>
      <w:r w:rsidR="009E0E64" w:rsidRPr="00140BF5">
        <w:rPr>
          <w:rFonts w:asciiTheme="minorHAnsi" w:hAnsiTheme="minorHAnsi"/>
          <w:i/>
          <w:noProof/>
          <w:sz w:val="22"/>
          <w:szCs w:val="20"/>
        </w:rPr>
        <w:t>Environment and Planning C: Politics and Space</w:t>
      </w:r>
      <w:r w:rsidRPr="00140BF5">
        <w:rPr>
          <w:rFonts w:asciiTheme="minorHAnsi" w:hAnsiTheme="minorHAnsi"/>
          <w:noProof/>
          <w:sz w:val="22"/>
          <w:szCs w:val="20"/>
        </w:rPr>
        <w:t xml:space="preserve"> 35 (6): </w:t>
      </w:r>
      <w:r w:rsidR="004C0A72">
        <w:rPr>
          <w:rFonts w:asciiTheme="minorHAnsi" w:hAnsiTheme="minorHAnsi"/>
          <w:noProof/>
          <w:sz w:val="22"/>
          <w:szCs w:val="20"/>
        </w:rPr>
        <w:t>958</w:t>
      </w:r>
      <w:r w:rsidR="009E0E64" w:rsidRPr="00140BF5">
        <w:rPr>
          <w:rFonts w:asciiTheme="minorHAnsi" w:hAnsiTheme="minorHAnsi"/>
          <w:noProof/>
          <w:sz w:val="22"/>
          <w:szCs w:val="20"/>
        </w:rPr>
        <w:t>-974</w:t>
      </w:r>
    </w:p>
    <w:p w14:paraId="29B3854A" w14:textId="6E3CF8BA" w:rsidR="00925847" w:rsidRPr="00140BF5" w:rsidRDefault="00925847" w:rsidP="0041753C">
      <w:pPr>
        <w:pStyle w:val="Bibliographicalreference"/>
        <w:spacing w:line="480" w:lineRule="auto"/>
        <w:jc w:val="both"/>
        <w:rPr>
          <w:rFonts w:asciiTheme="minorHAnsi" w:hAnsiTheme="minorHAnsi"/>
          <w:noProof/>
          <w:sz w:val="22"/>
          <w:szCs w:val="20"/>
        </w:rPr>
      </w:pPr>
      <w:r w:rsidRPr="00140BF5">
        <w:rPr>
          <w:rFonts w:asciiTheme="minorHAnsi" w:hAnsiTheme="minorHAnsi"/>
          <w:noProof/>
          <w:sz w:val="22"/>
          <w:szCs w:val="20"/>
        </w:rPr>
        <w:t>Dickens</w:t>
      </w:r>
      <w:r w:rsidR="00AF4493">
        <w:rPr>
          <w:rFonts w:asciiTheme="minorHAnsi" w:hAnsiTheme="minorHAnsi"/>
          <w:noProof/>
          <w:sz w:val="22"/>
          <w:szCs w:val="20"/>
        </w:rPr>
        <w:t>,</w:t>
      </w:r>
      <w:r w:rsidRPr="00140BF5">
        <w:rPr>
          <w:rFonts w:asciiTheme="minorHAnsi" w:hAnsiTheme="minorHAnsi"/>
          <w:noProof/>
          <w:sz w:val="22"/>
          <w:szCs w:val="20"/>
        </w:rPr>
        <w:t xml:space="preserve"> L</w:t>
      </w:r>
      <w:r w:rsidR="00AF4493">
        <w:rPr>
          <w:rFonts w:asciiTheme="minorHAnsi" w:hAnsiTheme="minorHAnsi"/>
          <w:noProof/>
          <w:sz w:val="22"/>
          <w:szCs w:val="20"/>
        </w:rPr>
        <w:t>.</w:t>
      </w:r>
      <w:r w:rsidR="00827A89" w:rsidRPr="00140BF5">
        <w:rPr>
          <w:rFonts w:asciiTheme="minorHAnsi" w:hAnsiTheme="minorHAnsi"/>
          <w:noProof/>
          <w:sz w:val="22"/>
          <w:szCs w:val="20"/>
        </w:rPr>
        <w:t xml:space="preserve"> (2012) (ed</w:t>
      </w:r>
      <w:r w:rsidR="003F62B7">
        <w:rPr>
          <w:rFonts w:asciiTheme="minorHAnsi" w:hAnsiTheme="minorHAnsi"/>
          <w:noProof/>
          <w:sz w:val="22"/>
          <w:szCs w:val="20"/>
        </w:rPr>
        <w:t>.</w:t>
      </w:r>
      <w:r w:rsidR="00827A89" w:rsidRPr="00140BF5">
        <w:rPr>
          <w:rFonts w:asciiTheme="minorHAnsi" w:hAnsiTheme="minorHAnsi"/>
          <w:noProof/>
          <w:sz w:val="22"/>
          <w:szCs w:val="20"/>
        </w:rPr>
        <w:t>)</w:t>
      </w:r>
      <w:r w:rsidRPr="00140BF5">
        <w:rPr>
          <w:rFonts w:asciiTheme="minorHAnsi" w:hAnsiTheme="minorHAnsi"/>
          <w:noProof/>
          <w:sz w:val="22"/>
          <w:szCs w:val="20"/>
        </w:rPr>
        <w:t xml:space="preserve"> </w:t>
      </w:r>
      <w:r w:rsidRPr="00140BF5">
        <w:rPr>
          <w:rFonts w:asciiTheme="minorHAnsi" w:hAnsiTheme="minorHAnsi"/>
          <w:i/>
          <w:noProof/>
          <w:sz w:val="22"/>
          <w:szCs w:val="20"/>
        </w:rPr>
        <w:t>Making employment rights effective: Issues of e</w:t>
      </w:r>
      <w:r w:rsidR="00827A89" w:rsidRPr="00140BF5">
        <w:rPr>
          <w:rFonts w:asciiTheme="minorHAnsi" w:hAnsiTheme="minorHAnsi"/>
          <w:i/>
          <w:noProof/>
          <w:sz w:val="22"/>
          <w:szCs w:val="20"/>
        </w:rPr>
        <w:t xml:space="preserve">nforcement </w:t>
      </w:r>
      <w:r w:rsidR="00465950" w:rsidRPr="00140BF5">
        <w:rPr>
          <w:rFonts w:asciiTheme="minorHAnsi" w:hAnsiTheme="minorHAnsi"/>
          <w:i/>
          <w:noProof/>
          <w:sz w:val="22"/>
          <w:szCs w:val="20"/>
        </w:rPr>
        <w:t>a</w:t>
      </w:r>
      <w:r w:rsidR="00827A89" w:rsidRPr="00140BF5">
        <w:rPr>
          <w:rFonts w:asciiTheme="minorHAnsi" w:hAnsiTheme="minorHAnsi"/>
          <w:i/>
          <w:noProof/>
          <w:sz w:val="22"/>
          <w:szCs w:val="20"/>
        </w:rPr>
        <w:t>nd compli</w:t>
      </w:r>
      <w:r w:rsidR="00465950" w:rsidRPr="00140BF5">
        <w:rPr>
          <w:rFonts w:asciiTheme="minorHAnsi" w:hAnsiTheme="minorHAnsi"/>
          <w:i/>
          <w:noProof/>
          <w:sz w:val="22"/>
          <w:szCs w:val="20"/>
        </w:rPr>
        <w:t>a</w:t>
      </w:r>
      <w:r w:rsidR="00827A89" w:rsidRPr="00140BF5">
        <w:rPr>
          <w:rFonts w:asciiTheme="minorHAnsi" w:hAnsiTheme="minorHAnsi"/>
          <w:i/>
          <w:noProof/>
          <w:sz w:val="22"/>
          <w:szCs w:val="20"/>
        </w:rPr>
        <w:t>nce</w:t>
      </w:r>
      <w:r w:rsidR="00827A89" w:rsidRPr="00140BF5">
        <w:rPr>
          <w:rFonts w:asciiTheme="minorHAnsi" w:hAnsiTheme="minorHAnsi"/>
          <w:noProof/>
          <w:sz w:val="22"/>
          <w:szCs w:val="20"/>
        </w:rPr>
        <w:t>. Oxford</w:t>
      </w:r>
      <w:r w:rsidR="00465950" w:rsidRPr="00140BF5">
        <w:rPr>
          <w:rFonts w:asciiTheme="minorHAnsi" w:hAnsiTheme="minorHAnsi"/>
          <w:noProof/>
          <w:sz w:val="22"/>
          <w:szCs w:val="20"/>
        </w:rPr>
        <w:t xml:space="preserve"> [u.a.]</w:t>
      </w:r>
      <w:r w:rsidRPr="00140BF5">
        <w:rPr>
          <w:rFonts w:asciiTheme="minorHAnsi" w:hAnsiTheme="minorHAnsi"/>
          <w:noProof/>
          <w:sz w:val="22"/>
          <w:szCs w:val="20"/>
        </w:rPr>
        <w:t>: Hart Publishing.</w:t>
      </w:r>
    </w:p>
    <w:p w14:paraId="7FF3A1AF" w14:textId="0C230DC7" w:rsidR="0041753C" w:rsidRDefault="0041753C" w:rsidP="0041753C">
      <w:pPr>
        <w:pStyle w:val="Bibliographicalreference"/>
        <w:spacing w:line="480" w:lineRule="auto"/>
        <w:jc w:val="both"/>
        <w:rPr>
          <w:rFonts w:asciiTheme="minorHAnsi" w:hAnsiTheme="minorHAnsi"/>
          <w:noProof/>
          <w:sz w:val="22"/>
          <w:szCs w:val="20"/>
        </w:rPr>
      </w:pPr>
      <w:r w:rsidRPr="00140BF5">
        <w:rPr>
          <w:rFonts w:asciiTheme="minorHAnsi" w:hAnsiTheme="minorHAnsi"/>
          <w:noProof/>
          <w:sz w:val="22"/>
          <w:szCs w:val="20"/>
        </w:rPr>
        <w:t>Dietz</w:t>
      </w:r>
      <w:r w:rsidR="00FF00C4">
        <w:rPr>
          <w:rFonts w:asciiTheme="minorHAnsi" w:hAnsiTheme="minorHAnsi"/>
          <w:noProof/>
          <w:sz w:val="22"/>
          <w:szCs w:val="20"/>
        </w:rPr>
        <w:t>,</w:t>
      </w:r>
      <w:r w:rsidRPr="00140BF5">
        <w:rPr>
          <w:rFonts w:asciiTheme="minorHAnsi" w:hAnsiTheme="minorHAnsi"/>
          <w:noProof/>
          <w:sz w:val="22"/>
          <w:szCs w:val="20"/>
        </w:rPr>
        <w:t xml:space="preserve"> M</w:t>
      </w:r>
      <w:r w:rsidR="00FF00C4">
        <w:rPr>
          <w:rFonts w:asciiTheme="minorHAnsi" w:hAnsiTheme="minorHAnsi"/>
          <w:noProof/>
          <w:sz w:val="22"/>
          <w:szCs w:val="20"/>
        </w:rPr>
        <w:t>.</w:t>
      </w:r>
      <w:r w:rsidRPr="00140BF5">
        <w:rPr>
          <w:rFonts w:asciiTheme="minorHAnsi" w:hAnsiTheme="minorHAnsi"/>
          <w:noProof/>
          <w:sz w:val="22"/>
          <w:szCs w:val="20"/>
        </w:rPr>
        <w:t>, Levitt</w:t>
      </w:r>
      <w:r w:rsidR="00FF00C4">
        <w:rPr>
          <w:rFonts w:asciiTheme="minorHAnsi" w:hAnsiTheme="minorHAnsi"/>
          <w:noProof/>
          <w:sz w:val="22"/>
          <w:szCs w:val="20"/>
        </w:rPr>
        <w:t>,</w:t>
      </w:r>
      <w:r w:rsidRPr="00140BF5">
        <w:rPr>
          <w:rFonts w:asciiTheme="minorHAnsi" w:hAnsiTheme="minorHAnsi"/>
          <w:noProof/>
          <w:sz w:val="22"/>
          <w:szCs w:val="20"/>
        </w:rPr>
        <w:t xml:space="preserve"> D</w:t>
      </w:r>
      <w:r w:rsidR="00FF00C4">
        <w:rPr>
          <w:rFonts w:asciiTheme="minorHAnsi" w:hAnsiTheme="minorHAnsi"/>
          <w:noProof/>
          <w:sz w:val="22"/>
          <w:szCs w:val="20"/>
        </w:rPr>
        <w:t>.</w:t>
      </w:r>
      <w:r w:rsidRPr="00140BF5">
        <w:rPr>
          <w:rFonts w:asciiTheme="minorHAnsi" w:hAnsiTheme="minorHAnsi"/>
          <w:noProof/>
          <w:sz w:val="22"/>
          <w:szCs w:val="20"/>
        </w:rPr>
        <w:t xml:space="preserve"> </w:t>
      </w:r>
      <w:r w:rsidR="00117061" w:rsidRPr="00140BF5">
        <w:rPr>
          <w:rFonts w:asciiTheme="minorHAnsi" w:hAnsiTheme="minorHAnsi"/>
          <w:noProof/>
          <w:sz w:val="22"/>
          <w:szCs w:val="20"/>
        </w:rPr>
        <w:t xml:space="preserve">and </w:t>
      </w:r>
      <w:r w:rsidRPr="00140BF5">
        <w:rPr>
          <w:rFonts w:asciiTheme="minorHAnsi" w:hAnsiTheme="minorHAnsi"/>
          <w:noProof/>
          <w:sz w:val="22"/>
          <w:szCs w:val="20"/>
        </w:rPr>
        <w:t>Love</w:t>
      </w:r>
      <w:r w:rsidR="00FF00C4">
        <w:rPr>
          <w:rFonts w:asciiTheme="minorHAnsi" w:hAnsiTheme="minorHAnsi"/>
          <w:noProof/>
          <w:sz w:val="22"/>
          <w:szCs w:val="20"/>
        </w:rPr>
        <w:t>,</w:t>
      </w:r>
      <w:r w:rsidRPr="00140BF5">
        <w:rPr>
          <w:rFonts w:asciiTheme="minorHAnsi" w:hAnsiTheme="minorHAnsi"/>
          <w:noProof/>
          <w:sz w:val="22"/>
          <w:szCs w:val="20"/>
        </w:rPr>
        <w:t xml:space="preserve"> E</w:t>
      </w:r>
      <w:r w:rsidR="00FF00C4">
        <w:rPr>
          <w:rFonts w:asciiTheme="minorHAnsi" w:hAnsiTheme="minorHAnsi"/>
          <w:noProof/>
          <w:sz w:val="22"/>
          <w:szCs w:val="20"/>
        </w:rPr>
        <w:t>.</w:t>
      </w:r>
      <w:r w:rsidRPr="00140BF5">
        <w:rPr>
          <w:rFonts w:asciiTheme="minorHAnsi" w:hAnsiTheme="minorHAnsi"/>
          <w:noProof/>
          <w:sz w:val="22"/>
          <w:szCs w:val="20"/>
        </w:rPr>
        <w:t xml:space="preserve"> (2014) </w:t>
      </w:r>
      <w:r w:rsidR="00AF4493">
        <w:rPr>
          <w:rFonts w:asciiTheme="minorHAnsi" w:hAnsiTheme="minorHAnsi"/>
          <w:noProof/>
          <w:sz w:val="22"/>
          <w:szCs w:val="20"/>
        </w:rPr>
        <w:t>‘</w:t>
      </w:r>
      <w:r w:rsidRPr="00140BF5">
        <w:rPr>
          <w:rFonts w:asciiTheme="minorHAnsi" w:hAnsiTheme="minorHAnsi"/>
          <w:noProof/>
          <w:sz w:val="22"/>
          <w:szCs w:val="20"/>
        </w:rPr>
        <w:t>Enforcement of Labor Standards</w:t>
      </w:r>
      <w:r w:rsidR="00AF4493">
        <w:rPr>
          <w:rFonts w:asciiTheme="minorHAnsi" w:hAnsiTheme="minorHAnsi"/>
          <w:noProof/>
          <w:sz w:val="22"/>
          <w:szCs w:val="20"/>
        </w:rPr>
        <w:t>’, i</w:t>
      </w:r>
      <w:r w:rsidRPr="00140BF5">
        <w:rPr>
          <w:rFonts w:asciiTheme="minorHAnsi" w:hAnsiTheme="minorHAnsi"/>
          <w:noProof/>
          <w:sz w:val="22"/>
          <w:szCs w:val="20"/>
        </w:rPr>
        <w:t xml:space="preserve">n: </w:t>
      </w:r>
      <w:r w:rsidRPr="00140BF5">
        <w:rPr>
          <w:rFonts w:asciiTheme="minorHAnsi" w:hAnsiTheme="minorHAnsi"/>
          <w:sz w:val="22"/>
        </w:rPr>
        <w:t>Reich</w:t>
      </w:r>
      <w:r w:rsidR="00AF4493">
        <w:rPr>
          <w:rFonts w:asciiTheme="minorHAnsi" w:hAnsiTheme="minorHAnsi"/>
          <w:sz w:val="22"/>
        </w:rPr>
        <w:t>,</w:t>
      </w:r>
      <w:r w:rsidRPr="00140BF5">
        <w:rPr>
          <w:rFonts w:asciiTheme="minorHAnsi" w:hAnsiTheme="minorHAnsi"/>
          <w:sz w:val="22"/>
        </w:rPr>
        <w:t xml:space="preserve"> M</w:t>
      </w:r>
      <w:r w:rsidR="00AF4493">
        <w:rPr>
          <w:rFonts w:asciiTheme="minorHAnsi" w:hAnsiTheme="minorHAnsi"/>
          <w:sz w:val="22"/>
        </w:rPr>
        <w:t>.</w:t>
      </w:r>
      <w:r w:rsidRPr="00140BF5">
        <w:rPr>
          <w:rFonts w:asciiTheme="minorHAnsi" w:hAnsiTheme="minorHAnsi"/>
          <w:sz w:val="22"/>
        </w:rPr>
        <w:t>, Jacobs</w:t>
      </w:r>
      <w:r w:rsidR="00AF4493">
        <w:rPr>
          <w:rFonts w:asciiTheme="minorHAnsi" w:hAnsiTheme="minorHAnsi"/>
          <w:sz w:val="22"/>
        </w:rPr>
        <w:t>,</w:t>
      </w:r>
      <w:r w:rsidRPr="00140BF5">
        <w:rPr>
          <w:rFonts w:asciiTheme="minorHAnsi" w:hAnsiTheme="minorHAnsi"/>
          <w:sz w:val="22"/>
        </w:rPr>
        <w:t xml:space="preserve"> K</w:t>
      </w:r>
      <w:r w:rsidR="00AF4493">
        <w:rPr>
          <w:rFonts w:asciiTheme="minorHAnsi" w:hAnsiTheme="minorHAnsi"/>
          <w:sz w:val="22"/>
        </w:rPr>
        <w:t>.</w:t>
      </w:r>
      <w:r w:rsidRPr="00140BF5">
        <w:rPr>
          <w:rFonts w:asciiTheme="minorHAnsi" w:hAnsiTheme="minorHAnsi"/>
          <w:sz w:val="22"/>
        </w:rPr>
        <w:t xml:space="preserve"> and</w:t>
      </w:r>
      <w:r w:rsidR="00934729" w:rsidRPr="00140BF5">
        <w:rPr>
          <w:rFonts w:asciiTheme="minorHAnsi" w:hAnsiTheme="minorHAnsi"/>
          <w:sz w:val="22"/>
        </w:rPr>
        <w:t xml:space="preserve"> Dietz</w:t>
      </w:r>
      <w:r w:rsidR="00AF4493">
        <w:rPr>
          <w:rFonts w:asciiTheme="minorHAnsi" w:hAnsiTheme="minorHAnsi"/>
          <w:sz w:val="22"/>
        </w:rPr>
        <w:t>,</w:t>
      </w:r>
      <w:r w:rsidR="00934729" w:rsidRPr="00140BF5">
        <w:rPr>
          <w:rFonts w:asciiTheme="minorHAnsi" w:hAnsiTheme="minorHAnsi"/>
          <w:sz w:val="22"/>
        </w:rPr>
        <w:t xml:space="preserve"> M</w:t>
      </w:r>
      <w:r w:rsidR="00AF4493">
        <w:rPr>
          <w:rFonts w:asciiTheme="minorHAnsi" w:hAnsiTheme="minorHAnsi"/>
          <w:sz w:val="22"/>
        </w:rPr>
        <w:t>.</w:t>
      </w:r>
      <w:r w:rsidR="00934729" w:rsidRPr="00140BF5">
        <w:rPr>
          <w:rFonts w:asciiTheme="minorHAnsi" w:hAnsiTheme="minorHAnsi"/>
          <w:sz w:val="22"/>
        </w:rPr>
        <w:t xml:space="preserve"> (e</w:t>
      </w:r>
      <w:r w:rsidRPr="00140BF5">
        <w:rPr>
          <w:rFonts w:asciiTheme="minorHAnsi" w:hAnsiTheme="minorHAnsi"/>
          <w:sz w:val="22"/>
        </w:rPr>
        <w:t>ds</w:t>
      </w:r>
      <w:r w:rsidR="009711EE">
        <w:rPr>
          <w:rFonts w:asciiTheme="minorHAnsi" w:hAnsiTheme="minorHAnsi"/>
          <w:sz w:val="22"/>
        </w:rPr>
        <w:t>.</w:t>
      </w:r>
      <w:r w:rsidRPr="00140BF5">
        <w:rPr>
          <w:rFonts w:asciiTheme="minorHAnsi" w:hAnsiTheme="minorHAnsi"/>
          <w:sz w:val="22"/>
        </w:rPr>
        <w:t xml:space="preserve">) </w:t>
      </w:r>
      <w:r w:rsidRPr="00140BF5">
        <w:rPr>
          <w:rFonts w:asciiTheme="minorHAnsi" w:hAnsiTheme="minorHAnsi"/>
          <w:i/>
          <w:sz w:val="22"/>
        </w:rPr>
        <w:t>When Mandates Work: Raising Labor Standards at the Local Level</w:t>
      </w:r>
      <w:r w:rsidRPr="00140BF5">
        <w:rPr>
          <w:rFonts w:asciiTheme="minorHAnsi" w:hAnsiTheme="minorHAnsi"/>
          <w:sz w:val="22"/>
        </w:rPr>
        <w:t xml:space="preserve">. </w:t>
      </w:r>
      <w:r w:rsidR="00AF4493">
        <w:rPr>
          <w:rFonts w:asciiTheme="minorHAnsi" w:hAnsiTheme="minorHAnsi"/>
          <w:sz w:val="22"/>
        </w:rPr>
        <w:t>Berkeley [u.a.]</w:t>
      </w:r>
      <w:r w:rsidRPr="00140BF5">
        <w:rPr>
          <w:rFonts w:asciiTheme="minorHAnsi" w:hAnsiTheme="minorHAnsi"/>
          <w:sz w:val="22"/>
        </w:rPr>
        <w:t>: University of California Press,</w:t>
      </w:r>
      <w:r w:rsidRPr="00140BF5">
        <w:rPr>
          <w:rFonts w:asciiTheme="minorHAnsi" w:hAnsiTheme="minorHAnsi"/>
          <w:noProof/>
          <w:sz w:val="22"/>
          <w:szCs w:val="20"/>
        </w:rPr>
        <w:t xml:space="preserve"> </w:t>
      </w:r>
      <w:r w:rsidR="00AF4493">
        <w:rPr>
          <w:rFonts w:asciiTheme="minorHAnsi" w:hAnsiTheme="minorHAnsi"/>
          <w:noProof/>
          <w:sz w:val="22"/>
          <w:szCs w:val="20"/>
        </w:rPr>
        <w:t xml:space="preserve">pp. </w:t>
      </w:r>
      <w:r w:rsidRPr="00140BF5">
        <w:rPr>
          <w:rFonts w:asciiTheme="minorHAnsi" w:hAnsiTheme="minorHAnsi"/>
          <w:noProof/>
          <w:sz w:val="22"/>
          <w:szCs w:val="20"/>
        </w:rPr>
        <w:t>229-255.</w:t>
      </w:r>
    </w:p>
    <w:p w14:paraId="72ED7BF6" w14:textId="2435B80F" w:rsidR="000C2286" w:rsidRPr="00140BF5" w:rsidRDefault="00106496" w:rsidP="0041753C">
      <w:pPr>
        <w:pStyle w:val="Bibliographicalreference"/>
        <w:spacing w:before="0" w:line="480" w:lineRule="auto"/>
        <w:jc w:val="both"/>
        <w:rPr>
          <w:rFonts w:asciiTheme="minorHAnsi" w:hAnsiTheme="minorHAnsi"/>
          <w:noProof/>
          <w:sz w:val="22"/>
          <w:szCs w:val="20"/>
        </w:rPr>
      </w:pPr>
      <w:r w:rsidRPr="00140BF5">
        <w:rPr>
          <w:rFonts w:asciiTheme="minorHAnsi" w:hAnsiTheme="minorHAnsi"/>
          <w:noProof/>
          <w:sz w:val="22"/>
          <w:szCs w:val="20"/>
        </w:rPr>
        <w:t>Druker</w:t>
      </w:r>
      <w:r w:rsidR="00FF00C4">
        <w:rPr>
          <w:rFonts w:asciiTheme="minorHAnsi" w:hAnsiTheme="minorHAnsi"/>
          <w:noProof/>
          <w:sz w:val="22"/>
          <w:szCs w:val="20"/>
        </w:rPr>
        <w:t>,</w:t>
      </w:r>
      <w:r w:rsidRPr="00140BF5">
        <w:rPr>
          <w:rFonts w:asciiTheme="minorHAnsi" w:hAnsiTheme="minorHAnsi"/>
          <w:noProof/>
          <w:sz w:val="22"/>
          <w:szCs w:val="20"/>
        </w:rPr>
        <w:t xml:space="preserve"> J</w:t>
      </w:r>
      <w:r w:rsidR="00FF00C4">
        <w:rPr>
          <w:rFonts w:asciiTheme="minorHAnsi" w:hAnsiTheme="minorHAnsi"/>
          <w:noProof/>
          <w:sz w:val="22"/>
          <w:szCs w:val="20"/>
        </w:rPr>
        <w:t>.</w:t>
      </w:r>
      <w:r w:rsidR="00AF4493">
        <w:rPr>
          <w:rFonts w:asciiTheme="minorHAnsi" w:hAnsiTheme="minorHAnsi"/>
          <w:noProof/>
          <w:sz w:val="22"/>
          <w:szCs w:val="20"/>
        </w:rPr>
        <w:t xml:space="preserve"> and</w:t>
      </w:r>
      <w:r w:rsidRPr="00140BF5">
        <w:rPr>
          <w:rFonts w:asciiTheme="minorHAnsi" w:hAnsiTheme="minorHAnsi"/>
          <w:noProof/>
          <w:sz w:val="22"/>
          <w:szCs w:val="20"/>
        </w:rPr>
        <w:t xml:space="preserve"> </w:t>
      </w:r>
      <w:r w:rsidR="000C2286" w:rsidRPr="00140BF5">
        <w:rPr>
          <w:rFonts w:asciiTheme="minorHAnsi" w:hAnsiTheme="minorHAnsi"/>
          <w:noProof/>
          <w:sz w:val="22"/>
          <w:szCs w:val="20"/>
        </w:rPr>
        <w:t>White</w:t>
      </w:r>
      <w:r w:rsidR="00FF00C4">
        <w:rPr>
          <w:rFonts w:asciiTheme="minorHAnsi" w:hAnsiTheme="minorHAnsi"/>
          <w:noProof/>
          <w:sz w:val="22"/>
          <w:szCs w:val="20"/>
        </w:rPr>
        <w:t>,</w:t>
      </w:r>
      <w:r w:rsidR="000C2286" w:rsidRPr="00140BF5">
        <w:rPr>
          <w:rFonts w:asciiTheme="minorHAnsi" w:hAnsiTheme="minorHAnsi"/>
          <w:noProof/>
          <w:sz w:val="22"/>
          <w:szCs w:val="20"/>
        </w:rPr>
        <w:t xml:space="preserve"> G</w:t>
      </w:r>
      <w:r w:rsidR="00FF00C4">
        <w:rPr>
          <w:rFonts w:asciiTheme="minorHAnsi" w:hAnsiTheme="minorHAnsi"/>
          <w:noProof/>
          <w:sz w:val="22"/>
          <w:szCs w:val="20"/>
        </w:rPr>
        <w:t>.</w:t>
      </w:r>
      <w:r w:rsidR="000C2286" w:rsidRPr="00140BF5">
        <w:rPr>
          <w:rFonts w:asciiTheme="minorHAnsi" w:hAnsiTheme="minorHAnsi"/>
          <w:noProof/>
          <w:sz w:val="22"/>
          <w:szCs w:val="20"/>
        </w:rPr>
        <w:t xml:space="preserve"> (2013) </w:t>
      </w:r>
      <w:r w:rsidR="00FF00C4">
        <w:rPr>
          <w:rFonts w:asciiTheme="minorHAnsi" w:hAnsiTheme="minorHAnsi"/>
          <w:noProof/>
          <w:sz w:val="22"/>
          <w:szCs w:val="20"/>
        </w:rPr>
        <w:t>‘</w:t>
      </w:r>
      <w:r w:rsidR="000C2286" w:rsidRPr="00140BF5">
        <w:rPr>
          <w:rFonts w:asciiTheme="minorHAnsi" w:hAnsiTheme="minorHAnsi"/>
          <w:noProof/>
          <w:sz w:val="22"/>
          <w:szCs w:val="20"/>
        </w:rPr>
        <w:t>Employment relations on major construction projects: The London 2012 Olympic construction site</w:t>
      </w:r>
      <w:r w:rsidR="00FF00C4">
        <w:rPr>
          <w:rFonts w:asciiTheme="minorHAnsi" w:hAnsiTheme="minorHAnsi"/>
          <w:noProof/>
          <w:sz w:val="22"/>
          <w:szCs w:val="20"/>
        </w:rPr>
        <w:t>’,</w:t>
      </w:r>
      <w:r w:rsidR="000C2286" w:rsidRPr="00140BF5">
        <w:rPr>
          <w:rFonts w:asciiTheme="minorHAnsi" w:hAnsiTheme="minorHAnsi"/>
          <w:noProof/>
          <w:sz w:val="22"/>
          <w:szCs w:val="20"/>
        </w:rPr>
        <w:t xml:space="preserve"> </w:t>
      </w:r>
      <w:r w:rsidR="000C2286" w:rsidRPr="00140BF5">
        <w:rPr>
          <w:rFonts w:asciiTheme="minorHAnsi" w:hAnsiTheme="minorHAnsi"/>
          <w:i/>
          <w:noProof/>
          <w:sz w:val="22"/>
          <w:szCs w:val="20"/>
        </w:rPr>
        <w:t>Industrial Relations Journal</w:t>
      </w:r>
      <w:r w:rsidRPr="00140BF5">
        <w:rPr>
          <w:rFonts w:asciiTheme="minorHAnsi" w:hAnsiTheme="minorHAnsi"/>
          <w:noProof/>
          <w:sz w:val="22"/>
          <w:szCs w:val="20"/>
        </w:rPr>
        <w:t xml:space="preserve"> 44 (5-6): </w:t>
      </w:r>
      <w:r w:rsidR="000C2286" w:rsidRPr="00140BF5">
        <w:rPr>
          <w:rFonts w:asciiTheme="minorHAnsi" w:hAnsiTheme="minorHAnsi"/>
          <w:noProof/>
          <w:sz w:val="22"/>
          <w:szCs w:val="20"/>
        </w:rPr>
        <w:t>566</w:t>
      </w:r>
      <w:r w:rsidR="00FF00C4">
        <w:rPr>
          <w:rFonts w:asciiTheme="minorHAnsi" w:hAnsiTheme="minorHAnsi"/>
          <w:noProof/>
          <w:sz w:val="22"/>
          <w:szCs w:val="20"/>
        </w:rPr>
        <w:t>-</w:t>
      </w:r>
      <w:r w:rsidR="000C2286" w:rsidRPr="00140BF5">
        <w:rPr>
          <w:rFonts w:asciiTheme="minorHAnsi" w:hAnsiTheme="minorHAnsi"/>
          <w:noProof/>
          <w:sz w:val="22"/>
          <w:szCs w:val="20"/>
        </w:rPr>
        <w:t xml:space="preserve">83. </w:t>
      </w:r>
    </w:p>
    <w:p w14:paraId="408EB5A7" w14:textId="3BE2D018" w:rsidR="00890CAB" w:rsidRPr="00140BF5" w:rsidRDefault="00122238" w:rsidP="0041753C">
      <w:pPr>
        <w:pStyle w:val="Bibliographicalreference"/>
        <w:spacing w:before="0" w:line="480" w:lineRule="auto"/>
        <w:jc w:val="both"/>
        <w:rPr>
          <w:rFonts w:asciiTheme="minorHAnsi" w:hAnsiTheme="minorHAnsi"/>
          <w:noProof/>
          <w:sz w:val="22"/>
          <w:szCs w:val="20"/>
        </w:rPr>
      </w:pPr>
      <w:r w:rsidRPr="00140BF5">
        <w:rPr>
          <w:rFonts w:asciiTheme="minorHAnsi" w:hAnsiTheme="minorHAnsi"/>
          <w:noProof/>
          <w:sz w:val="22"/>
          <w:szCs w:val="20"/>
        </w:rPr>
        <w:t>Dundon</w:t>
      </w:r>
      <w:r w:rsidR="00FF00C4">
        <w:rPr>
          <w:rFonts w:asciiTheme="minorHAnsi" w:hAnsiTheme="minorHAnsi"/>
          <w:noProof/>
          <w:sz w:val="22"/>
          <w:szCs w:val="20"/>
        </w:rPr>
        <w:t>,</w:t>
      </w:r>
      <w:r w:rsidR="00890CAB" w:rsidRPr="00140BF5">
        <w:rPr>
          <w:rFonts w:asciiTheme="minorHAnsi" w:hAnsiTheme="minorHAnsi"/>
          <w:noProof/>
          <w:sz w:val="22"/>
          <w:szCs w:val="20"/>
        </w:rPr>
        <w:t xml:space="preserve"> T</w:t>
      </w:r>
      <w:r w:rsidR="00FF00C4">
        <w:rPr>
          <w:rFonts w:asciiTheme="minorHAnsi" w:hAnsiTheme="minorHAnsi"/>
          <w:noProof/>
          <w:sz w:val="22"/>
          <w:szCs w:val="20"/>
        </w:rPr>
        <w:t>.</w:t>
      </w:r>
      <w:r w:rsidRPr="00140BF5">
        <w:rPr>
          <w:rFonts w:asciiTheme="minorHAnsi" w:hAnsiTheme="minorHAnsi"/>
          <w:noProof/>
          <w:sz w:val="22"/>
          <w:szCs w:val="20"/>
        </w:rPr>
        <w:t>, Dobbins</w:t>
      </w:r>
      <w:r w:rsidR="00FF00C4">
        <w:rPr>
          <w:rFonts w:asciiTheme="minorHAnsi" w:hAnsiTheme="minorHAnsi"/>
          <w:noProof/>
          <w:sz w:val="22"/>
          <w:szCs w:val="20"/>
        </w:rPr>
        <w:t>,</w:t>
      </w:r>
      <w:r w:rsidR="00890CAB" w:rsidRPr="00140BF5">
        <w:rPr>
          <w:rFonts w:asciiTheme="minorHAnsi" w:hAnsiTheme="minorHAnsi"/>
          <w:noProof/>
          <w:sz w:val="22"/>
          <w:szCs w:val="20"/>
        </w:rPr>
        <w:t xml:space="preserve"> T</w:t>
      </w:r>
      <w:r w:rsidR="00FF00C4">
        <w:rPr>
          <w:rFonts w:asciiTheme="minorHAnsi" w:hAnsiTheme="minorHAnsi"/>
          <w:noProof/>
          <w:sz w:val="22"/>
          <w:szCs w:val="20"/>
        </w:rPr>
        <w:t>.</w:t>
      </w:r>
      <w:r w:rsidR="00890CAB" w:rsidRPr="00140BF5">
        <w:rPr>
          <w:rFonts w:asciiTheme="minorHAnsi" w:hAnsiTheme="minorHAnsi"/>
          <w:noProof/>
          <w:sz w:val="22"/>
          <w:szCs w:val="20"/>
        </w:rPr>
        <w:t>, Cullinane</w:t>
      </w:r>
      <w:r w:rsidR="00FF00C4">
        <w:rPr>
          <w:rFonts w:asciiTheme="minorHAnsi" w:hAnsiTheme="minorHAnsi"/>
          <w:noProof/>
          <w:sz w:val="22"/>
          <w:szCs w:val="20"/>
        </w:rPr>
        <w:t>,</w:t>
      </w:r>
      <w:r w:rsidR="00890CAB" w:rsidRPr="00140BF5">
        <w:rPr>
          <w:rFonts w:asciiTheme="minorHAnsi" w:hAnsiTheme="minorHAnsi"/>
          <w:noProof/>
          <w:sz w:val="22"/>
          <w:szCs w:val="20"/>
        </w:rPr>
        <w:t xml:space="preserve"> N</w:t>
      </w:r>
      <w:r w:rsidR="00FF00C4">
        <w:rPr>
          <w:rFonts w:asciiTheme="minorHAnsi" w:hAnsiTheme="minorHAnsi"/>
          <w:noProof/>
          <w:sz w:val="22"/>
          <w:szCs w:val="20"/>
        </w:rPr>
        <w:t>.</w:t>
      </w:r>
      <w:r w:rsidRPr="00140BF5">
        <w:rPr>
          <w:rFonts w:asciiTheme="minorHAnsi" w:hAnsiTheme="minorHAnsi"/>
          <w:noProof/>
          <w:sz w:val="22"/>
          <w:szCs w:val="20"/>
        </w:rPr>
        <w:t>, Hickland</w:t>
      </w:r>
      <w:r w:rsidR="00FF00C4">
        <w:rPr>
          <w:rFonts w:asciiTheme="minorHAnsi" w:hAnsiTheme="minorHAnsi"/>
          <w:noProof/>
          <w:sz w:val="22"/>
          <w:szCs w:val="20"/>
        </w:rPr>
        <w:t>,</w:t>
      </w:r>
      <w:r w:rsidR="00890CAB" w:rsidRPr="00140BF5">
        <w:rPr>
          <w:rFonts w:asciiTheme="minorHAnsi" w:hAnsiTheme="minorHAnsi"/>
          <w:noProof/>
          <w:sz w:val="22"/>
          <w:szCs w:val="20"/>
        </w:rPr>
        <w:t xml:space="preserve"> E</w:t>
      </w:r>
      <w:r w:rsidR="00FF00C4">
        <w:rPr>
          <w:rFonts w:asciiTheme="minorHAnsi" w:hAnsiTheme="minorHAnsi"/>
          <w:noProof/>
          <w:sz w:val="22"/>
          <w:szCs w:val="20"/>
        </w:rPr>
        <w:t>.</w:t>
      </w:r>
      <w:r w:rsidR="00890CAB" w:rsidRPr="00140BF5">
        <w:rPr>
          <w:rFonts w:asciiTheme="minorHAnsi" w:hAnsiTheme="minorHAnsi"/>
          <w:noProof/>
          <w:sz w:val="22"/>
          <w:szCs w:val="20"/>
        </w:rPr>
        <w:t xml:space="preserve"> </w:t>
      </w:r>
      <w:r w:rsidR="00117061" w:rsidRPr="00140BF5">
        <w:rPr>
          <w:rFonts w:asciiTheme="minorHAnsi" w:hAnsiTheme="minorHAnsi"/>
          <w:noProof/>
          <w:sz w:val="22"/>
          <w:szCs w:val="20"/>
        </w:rPr>
        <w:t xml:space="preserve">and </w:t>
      </w:r>
      <w:r w:rsidR="00890CAB" w:rsidRPr="00140BF5">
        <w:rPr>
          <w:rFonts w:asciiTheme="minorHAnsi" w:hAnsiTheme="minorHAnsi"/>
          <w:noProof/>
          <w:sz w:val="22"/>
          <w:szCs w:val="20"/>
        </w:rPr>
        <w:t>Donaghey</w:t>
      </w:r>
      <w:r w:rsidR="00FF00C4">
        <w:rPr>
          <w:rFonts w:asciiTheme="minorHAnsi" w:hAnsiTheme="minorHAnsi"/>
          <w:noProof/>
          <w:sz w:val="22"/>
          <w:szCs w:val="20"/>
        </w:rPr>
        <w:t>,</w:t>
      </w:r>
      <w:r w:rsidR="00890CAB" w:rsidRPr="00140BF5">
        <w:rPr>
          <w:rFonts w:asciiTheme="minorHAnsi" w:hAnsiTheme="minorHAnsi"/>
          <w:noProof/>
          <w:sz w:val="22"/>
          <w:szCs w:val="20"/>
        </w:rPr>
        <w:t xml:space="preserve"> J</w:t>
      </w:r>
      <w:r w:rsidR="00FF00C4">
        <w:rPr>
          <w:rFonts w:asciiTheme="minorHAnsi" w:hAnsiTheme="minorHAnsi"/>
          <w:noProof/>
          <w:sz w:val="22"/>
          <w:szCs w:val="20"/>
        </w:rPr>
        <w:t>.</w:t>
      </w:r>
      <w:r w:rsidR="00890CAB" w:rsidRPr="00140BF5">
        <w:rPr>
          <w:rFonts w:asciiTheme="minorHAnsi" w:hAnsiTheme="minorHAnsi"/>
          <w:noProof/>
          <w:sz w:val="22"/>
          <w:szCs w:val="20"/>
        </w:rPr>
        <w:t xml:space="preserve"> (2014) </w:t>
      </w:r>
      <w:r w:rsidR="00FF00C4">
        <w:rPr>
          <w:rFonts w:asciiTheme="minorHAnsi" w:hAnsiTheme="minorHAnsi"/>
          <w:noProof/>
          <w:sz w:val="22"/>
          <w:szCs w:val="20"/>
        </w:rPr>
        <w:t>‘</w:t>
      </w:r>
      <w:r w:rsidR="00890CAB" w:rsidRPr="00140BF5">
        <w:rPr>
          <w:rFonts w:asciiTheme="minorHAnsi" w:hAnsiTheme="minorHAnsi"/>
          <w:noProof/>
          <w:sz w:val="22"/>
          <w:szCs w:val="20"/>
        </w:rPr>
        <w:t>Employer occupation of regulatory space of the Employee Information and Consultation (I&amp;C) Directive in liberal market economies</w:t>
      </w:r>
      <w:r w:rsidR="00FF00C4">
        <w:rPr>
          <w:rFonts w:asciiTheme="minorHAnsi" w:hAnsiTheme="minorHAnsi"/>
          <w:noProof/>
          <w:sz w:val="22"/>
          <w:szCs w:val="20"/>
        </w:rPr>
        <w:t>’,</w:t>
      </w:r>
      <w:r w:rsidR="00890CAB" w:rsidRPr="00140BF5">
        <w:rPr>
          <w:rFonts w:asciiTheme="minorHAnsi" w:hAnsiTheme="minorHAnsi"/>
          <w:noProof/>
          <w:sz w:val="22"/>
          <w:szCs w:val="20"/>
        </w:rPr>
        <w:t xml:space="preserve"> </w:t>
      </w:r>
      <w:r w:rsidR="00890CAB" w:rsidRPr="00140BF5">
        <w:rPr>
          <w:rFonts w:asciiTheme="minorHAnsi" w:hAnsiTheme="minorHAnsi"/>
          <w:i/>
          <w:noProof/>
          <w:sz w:val="22"/>
          <w:szCs w:val="20"/>
        </w:rPr>
        <w:t>Work, employment and society</w:t>
      </w:r>
      <w:r w:rsidR="00106496" w:rsidRPr="00140BF5">
        <w:rPr>
          <w:rFonts w:asciiTheme="minorHAnsi" w:hAnsiTheme="minorHAnsi"/>
          <w:noProof/>
          <w:sz w:val="22"/>
          <w:szCs w:val="20"/>
        </w:rPr>
        <w:t xml:space="preserve"> 28(1):</w:t>
      </w:r>
      <w:r w:rsidR="00890CAB" w:rsidRPr="00140BF5">
        <w:rPr>
          <w:rFonts w:asciiTheme="minorHAnsi" w:hAnsiTheme="minorHAnsi"/>
          <w:noProof/>
          <w:sz w:val="22"/>
          <w:szCs w:val="20"/>
        </w:rPr>
        <w:t xml:space="preserve"> 21-39.</w:t>
      </w:r>
    </w:p>
    <w:p w14:paraId="3DDBA3E8" w14:textId="326F1AE0" w:rsidR="007E2EDC" w:rsidRPr="00140BF5" w:rsidRDefault="007E2EDC" w:rsidP="0011084D">
      <w:pPr>
        <w:pStyle w:val="Bibliographicalreference"/>
        <w:spacing w:before="0" w:line="480" w:lineRule="auto"/>
        <w:jc w:val="both"/>
        <w:rPr>
          <w:rFonts w:asciiTheme="minorHAnsi" w:hAnsiTheme="minorHAnsi"/>
          <w:noProof/>
          <w:sz w:val="22"/>
          <w:szCs w:val="20"/>
        </w:rPr>
      </w:pPr>
      <w:r w:rsidRPr="00140BF5">
        <w:rPr>
          <w:rFonts w:asciiTheme="minorHAnsi" w:hAnsiTheme="minorHAnsi"/>
          <w:noProof/>
          <w:sz w:val="22"/>
          <w:szCs w:val="20"/>
        </w:rPr>
        <w:t>Eichhorst</w:t>
      </w:r>
      <w:r w:rsidR="00AF4493">
        <w:rPr>
          <w:rFonts w:asciiTheme="minorHAnsi" w:hAnsiTheme="minorHAnsi"/>
          <w:noProof/>
          <w:sz w:val="22"/>
          <w:szCs w:val="20"/>
        </w:rPr>
        <w:t>,</w:t>
      </w:r>
      <w:r w:rsidRPr="00140BF5">
        <w:rPr>
          <w:rFonts w:asciiTheme="minorHAnsi" w:hAnsiTheme="minorHAnsi"/>
          <w:noProof/>
          <w:sz w:val="22"/>
          <w:szCs w:val="20"/>
        </w:rPr>
        <w:t xml:space="preserve"> W</w:t>
      </w:r>
      <w:r w:rsidR="00AF4493">
        <w:rPr>
          <w:rFonts w:asciiTheme="minorHAnsi" w:hAnsiTheme="minorHAnsi"/>
          <w:noProof/>
          <w:sz w:val="22"/>
          <w:szCs w:val="20"/>
        </w:rPr>
        <w:t>.</w:t>
      </w:r>
      <w:r w:rsidRPr="00140BF5">
        <w:rPr>
          <w:rFonts w:asciiTheme="minorHAnsi" w:hAnsiTheme="minorHAnsi"/>
          <w:noProof/>
          <w:sz w:val="22"/>
          <w:szCs w:val="20"/>
        </w:rPr>
        <w:t xml:space="preserve"> and Tobsch</w:t>
      </w:r>
      <w:r w:rsidR="00AF4493">
        <w:rPr>
          <w:rFonts w:asciiTheme="minorHAnsi" w:hAnsiTheme="minorHAnsi"/>
          <w:noProof/>
          <w:sz w:val="22"/>
          <w:szCs w:val="20"/>
        </w:rPr>
        <w:t>,</w:t>
      </w:r>
      <w:r w:rsidRPr="00140BF5">
        <w:rPr>
          <w:rFonts w:asciiTheme="minorHAnsi" w:hAnsiTheme="minorHAnsi"/>
          <w:noProof/>
          <w:sz w:val="22"/>
          <w:szCs w:val="20"/>
        </w:rPr>
        <w:t xml:space="preserve"> V</w:t>
      </w:r>
      <w:r w:rsidR="00AF4493">
        <w:rPr>
          <w:rFonts w:asciiTheme="minorHAnsi" w:hAnsiTheme="minorHAnsi"/>
          <w:noProof/>
          <w:sz w:val="22"/>
          <w:szCs w:val="20"/>
        </w:rPr>
        <w:t>.</w:t>
      </w:r>
      <w:r w:rsidRPr="00140BF5">
        <w:rPr>
          <w:rFonts w:asciiTheme="minorHAnsi" w:hAnsiTheme="minorHAnsi"/>
          <w:noProof/>
          <w:sz w:val="22"/>
          <w:szCs w:val="20"/>
        </w:rPr>
        <w:t xml:space="preserve"> (2015) </w:t>
      </w:r>
      <w:r w:rsidR="00AF4493">
        <w:rPr>
          <w:rFonts w:asciiTheme="minorHAnsi" w:hAnsiTheme="minorHAnsi"/>
          <w:noProof/>
          <w:sz w:val="22"/>
          <w:szCs w:val="20"/>
        </w:rPr>
        <w:t>‘</w:t>
      </w:r>
      <w:r w:rsidRPr="00140BF5">
        <w:rPr>
          <w:rFonts w:asciiTheme="minorHAnsi" w:hAnsiTheme="minorHAnsi"/>
          <w:noProof/>
          <w:sz w:val="22"/>
          <w:szCs w:val="20"/>
        </w:rPr>
        <w:t>Not so standard anymore? Employment duality in Germany</w:t>
      </w:r>
      <w:r w:rsidR="00AF4493">
        <w:rPr>
          <w:rFonts w:asciiTheme="minorHAnsi" w:hAnsiTheme="minorHAnsi"/>
          <w:noProof/>
          <w:sz w:val="22"/>
          <w:szCs w:val="20"/>
        </w:rPr>
        <w:t>’</w:t>
      </w:r>
      <w:r w:rsidRPr="00140BF5">
        <w:rPr>
          <w:rFonts w:asciiTheme="minorHAnsi" w:hAnsiTheme="minorHAnsi"/>
          <w:noProof/>
          <w:sz w:val="22"/>
          <w:szCs w:val="20"/>
        </w:rPr>
        <w:t xml:space="preserve">, </w:t>
      </w:r>
      <w:r w:rsidRPr="00140BF5">
        <w:rPr>
          <w:rFonts w:asciiTheme="minorHAnsi" w:hAnsiTheme="minorHAnsi"/>
          <w:i/>
          <w:noProof/>
          <w:sz w:val="22"/>
          <w:szCs w:val="20"/>
        </w:rPr>
        <w:t>Journal for Labour Market Research</w:t>
      </w:r>
      <w:r w:rsidR="00106496" w:rsidRPr="00140BF5">
        <w:rPr>
          <w:rFonts w:asciiTheme="minorHAnsi" w:hAnsiTheme="minorHAnsi"/>
          <w:noProof/>
          <w:sz w:val="22"/>
          <w:szCs w:val="20"/>
        </w:rPr>
        <w:t xml:space="preserve"> 48 (2):</w:t>
      </w:r>
      <w:r w:rsidRPr="00140BF5">
        <w:rPr>
          <w:rFonts w:asciiTheme="minorHAnsi" w:hAnsiTheme="minorHAnsi"/>
          <w:noProof/>
          <w:sz w:val="22"/>
          <w:szCs w:val="20"/>
        </w:rPr>
        <w:t xml:space="preserve"> 81-95.</w:t>
      </w:r>
    </w:p>
    <w:p w14:paraId="2E2BC5C3" w14:textId="284EFF07" w:rsidR="004C7666" w:rsidRPr="00140BF5" w:rsidRDefault="004C7666" w:rsidP="004C7666">
      <w:pPr>
        <w:pStyle w:val="Bibliographicalreference"/>
        <w:spacing w:line="480" w:lineRule="auto"/>
        <w:jc w:val="both"/>
        <w:rPr>
          <w:rFonts w:asciiTheme="minorHAnsi" w:hAnsiTheme="minorHAnsi"/>
          <w:noProof/>
          <w:sz w:val="22"/>
          <w:szCs w:val="20"/>
        </w:rPr>
      </w:pPr>
      <w:r w:rsidRPr="00140BF5">
        <w:rPr>
          <w:rFonts w:asciiTheme="minorHAnsi" w:hAnsiTheme="minorHAnsi"/>
          <w:noProof/>
          <w:sz w:val="22"/>
          <w:szCs w:val="20"/>
        </w:rPr>
        <w:lastRenderedPageBreak/>
        <w:t>Freeman</w:t>
      </w:r>
      <w:r w:rsidR="00AF4493">
        <w:rPr>
          <w:rFonts w:asciiTheme="minorHAnsi" w:hAnsiTheme="minorHAnsi"/>
          <w:noProof/>
          <w:sz w:val="22"/>
          <w:szCs w:val="20"/>
        </w:rPr>
        <w:t>,</w:t>
      </w:r>
      <w:r w:rsidRPr="00140BF5">
        <w:rPr>
          <w:rFonts w:asciiTheme="minorHAnsi" w:hAnsiTheme="minorHAnsi"/>
          <w:noProof/>
          <w:sz w:val="22"/>
          <w:szCs w:val="20"/>
        </w:rPr>
        <w:t xml:space="preserve"> R</w:t>
      </w:r>
      <w:r w:rsidR="00AF4493">
        <w:rPr>
          <w:rFonts w:asciiTheme="minorHAnsi" w:hAnsiTheme="minorHAnsi"/>
          <w:noProof/>
          <w:sz w:val="22"/>
          <w:szCs w:val="20"/>
        </w:rPr>
        <w:t>.</w:t>
      </w:r>
      <w:r w:rsidRPr="00140BF5">
        <w:rPr>
          <w:rFonts w:asciiTheme="minorHAnsi" w:hAnsiTheme="minorHAnsi"/>
          <w:noProof/>
          <w:sz w:val="22"/>
          <w:szCs w:val="20"/>
        </w:rPr>
        <w:t xml:space="preserve"> (2005) </w:t>
      </w:r>
      <w:r w:rsidR="00AF4493">
        <w:rPr>
          <w:rFonts w:asciiTheme="minorHAnsi" w:hAnsiTheme="minorHAnsi"/>
          <w:noProof/>
          <w:sz w:val="22"/>
          <w:szCs w:val="20"/>
        </w:rPr>
        <w:t>‘</w:t>
      </w:r>
      <w:r w:rsidRPr="00140BF5">
        <w:rPr>
          <w:rFonts w:asciiTheme="minorHAnsi" w:hAnsiTheme="minorHAnsi"/>
          <w:noProof/>
          <w:sz w:val="22"/>
          <w:szCs w:val="20"/>
        </w:rPr>
        <w:t>Fighting for Other Folks’ Wages: The Logic and Illogic of Living Wage Campaigns</w:t>
      </w:r>
      <w:r w:rsidR="00AF4493">
        <w:rPr>
          <w:rFonts w:asciiTheme="minorHAnsi" w:hAnsiTheme="minorHAnsi"/>
          <w:noProof/>
          <w:sz w:val="22"/>
          <w:szCs w:val="20"/>
        </w:rPr>
        <w:t>’,</w:t>
      </w:r>
      <w:r w:rsidRPr="00140BF5">
        <w:rPr>
          <w:rFonts w:asciiTheme="minorHAnsi" w:hAnsiTheme="minorHAnsi"/>
          <w:noProof/>
          <w:sz w:val="22"/>
          <w:szCs w:val="20"/>
        </w:rPr>
        <w:t xml:space="preserve"> </w:t>
      </w:r>
      <w:r w:rsidRPr="00140BF5">
        <w:rPr>
          <w:rFonts w:asciiTheme="minorHAnsi" w:hAnsiTheme="minorHAnsi"/>
          <w:i/>
          <w:noProof/>
          <w:sz w:val="22"/>
          <w:szCs w:val="20"/>
        </w:rPr>
        <w:t xml:space="preserve">Industrial Relations </w:t>
      </w:r>
      <w:r w:rsidRPr="00140BF5">
        <w:rPr>
          <w:rFonts w:asciiTheme="minorHAnsi" w:hAnsiTheme="minorHAnsi"/>
          <w:noProof/>
          <w:sz w:val="22"/>
          <w:szCs w:val="20"/>
        </w:rPr>
        <w:t>44 (1)</w:t>
      </w:r>
      <w:r w:rsidR="00106496" w:rsidRPr="00140BF5">
        <w:rPr>
          <w:rFonts w:asciiTheme="minorHAnsi" w:hAnsiTheme="minorHAnsi"/>
          <w:noProof/>
          <w:sz w:val="22"/>
          <w:szCs w:val="20"/>
        </w:rPr>
        <w:t>:</w:t>
      </w:r>
      <w:r w:rsidRPr="00140BF5">
        <w:rPr>
          <w:rFonts w:asciiTheme="minorHAnsi" w:hAnsiTheme="minorHAnsi"/>
          <w:noProof/>
          <w:sz w:val="22"/>
          <w:szCs w:val="20"/>
        </w:rPr>
        <w:t xml:space="preserve"> 14-31.</w:t>
      </w:r>
    </w:p>
    <w:p w14:paraId="23C1958B" w14:textId="622ABBC0" w:rsidR="00934729" w:rsidRPr="00140BF5" w:rsidRDefault="00934729" w:rsidP="0011084D">
      <w:pPr>
        <w:pStyle w:val="Bibliographicalreference"/>
        <w:spacing w:before="0" w:line="480" w:lineRule="auto"/>
        <w:jc w:val="both"/>
        <w:rPr>
          <w:rFonts w:asciiTheme="minorHAnsi" w:hAnsiTheme="minorHAnsi"/>
          <w:noProof/>
          <w:sz w:val="22"/>
          <w:szCs w:val="20"/>
        </w:rPr>
      </w:pPr>
      <w:r w:rsidRPr="00140BF5">
        <w:rPr>
          <w:rFonts w:asciiTheme="minorHAnsi" w:hAnsiTheme="minorHAnsi"/>
          <w:noProof/>
          <w:sz w:val="22"/>
          <w:szCs w:val="20"/>
        </w:rPr>
        <w:t>Grandia</w:t>
      </w:r>
      <w:r w:rsidR="00AF4493">
        <w:rPr>
          <w:rFonts w:asciiTheme="minorHAnsi" w:hAnsiTheme="minorHAnsi"/>
          <w:noProof/>
          <w:sz w:val="22"/>
          <w:szCs w:val="20"/>
        </w:rPr>
        <w:t>,</w:t>
      </w:r>
      <w:r w:rsidRPr="00140BF5">
        <w:rPr>
          <w:rFonts w:asciiTheme="minorHAnsi" w:hAnsiTheme="minorHAnsi"/>
          <w:noProof/>
          <w:sz w:val="22"/>
          <w:szCs w:val="20"/>
        </w:rPr>
        <w:t xml:space="preserve"> J</w:t>
      </w:r>
      <w:r w:rsidR="00AF4493">
        <w:rPr>
          <w:rFonts w:asciiTheme="minorHAnsi" w:hAnsiTheme="minorHAnsi"/>
          <w:noProof/>
          <w:sz w:val="22"/>
          <w:szCs w:val="20"/>
        </w:rPr>
        <w:t>. and</w:t>
      </w:r>
      <w:r w:rsidRPr="00140BF5">
        <w:rPr>
          <w:rFonts w:asciiTheme="minorHAnsi" w:hAnsiTheme="minorHAnsi"/>
          <w:noProof/>
          <w:sz w:val="22"/>
          <w:szCs w:val="20"/>
        </w:rPr>
        <w:t xml:space="preserve"> Meehan</w:t>
      </w:r>
      <w:r w:rsidR="00AF4493">
        <w:rPr>
          <w:rFonts w:asciiTheme="minorHAnsi" w:hAnsiTheme="minorHAnsi"/>
          <w:noProof/>
          <w:sz w:val="22"/>
          <w:szCs w:val="20"/>
        </w:rPr>
        <w:t>,</w:t>
      </w:r>
      <w:r w:rsidRPr="00140BF5">
        <w:rPr>
          <w:rFonts w:asciiTheme="minorHAnsi" w:hAnsiTheme="minorHAnsi"/>
          <w:noProof/>
          <w:sz w:val="22"/>
          <w:szCs w:val="20"/>
        </w:rPr>
        <w:t xml:space="preserve"> J</w:t>
      </w:r>
      <w:r w:rsidR="00AF4493">
        <w:rPr>
          <w:rFonts w:asciiTheme="minorHAnsi" w:hAnsiTheme="minorHAnsi"/>
          <w:noProof/>
          <w:sz w:val="22"/>
          <w:szCs w:val="20"/>
        </w:rPr>
        <w:t>.</w:t>
      </w:r>
      <w:r w:rsidRPr="00140BF5">
        <w:rPr>
          <w:rFonts w:asciiTheme="minorHAnsi" w:hAnsiTheme="minorHAnsi"/>
          <w:noProof/>
          <w:sz w:val="22"/>
          <w:szCs w:val="20"/>
        </w:rPr>
        <w:t xml:space="preserve"> (2017) </w:t>
      </w:r>
      <w:r w:rsidR="00AF4493">
        <w:rPr>
          <w:rFonts w:asciiTheme="minorHAnsi" w:hAnsiTheme="minorHAnsi"/>
          <w:noProof/>
          <w:sz w:val="22"/>
          <w:szCs w:val="20"/>
        </w:rPr>
        <w:t>‘</w:t>
      </w:r>
      <w:r w:rsidRPr="00140BF5">
        <w:rPr>
          <w:rFonts w:asciiTheme="minorHAnsi" w:hAnsiTheme="minorHAnsi"/>
          <w:noProof/>
          <w:sz w:val="22"/>
          <w:szCs w:val="20"/>
        </w:rPr>
        <w:t>Public Procurement as a Policy Tool:Using procurement to reach desired outcomes in society</w:t>
      </w:r>
      <w:r w:rsidR="00AF4493">
        <w:rPr>
          <w:rFonts w:asciiTheme="minorHAnsi" w:hAnsiTheme="minorHAnsi"/>
          <w:noProof/>
          <w:sz w:val="22"/>
          <w:szCs w:val="20"/>
        </w:rPr>
        <w:t>’,</w:t>
      </w:r>
      <w:r w:rsidRPr="00140BF5">
        <w:rPr>
          <w:rFonts w:asciiTheme="minorHAnsi" w:hAnsiTheme="minorHAnsi"/>
          <w:noProof/>
          <w:sz w:val="22"/>
          <w:szCs w:val="20"/>
        </w:rPr>
        <w:t xml:space="preserve"> </w:t>
      </w:r>
      <w:r w:rsidRPr="00140BF5">
        <w:rPr>
          <w:rFonts w:asciiTheme="minorHAnsi" w:hAnsiTheme="minorHAnsi"/>
          <w:i/>
          <w:noProof/>
          <w:sz w:val="22"/>
          <w:szCs w:val="20"/>
        </w:rPr>
        <w:t>International Journal of Public Sector Management</w:t>
      </w:r>
      <w:r w:rsidRPr="00140BF5">
        <w:rPr>
          <w:rFonts w:asciiTheme="minorHAnsi" w:hAnsiTheme="minorHAnsi"/>
          <w:noProof/>
          <w:sz w:val="22"/>
          <w:szCs w:val="20"/>
        </w:rPr>
        <w:t>. 30 (4): 302-309.</w:t>
      </w:r>
    </w:p>
    <w:p w14:paraId="4952CDE1" w14:textId="00DBE651" w:rsidR="00AF4493" w:rsidRPr="00140BF5" w:rsidRDefault="00AF4493" w:rsidP="0011084D">
      <w:pPr>
        <w:pStyle w:val="Bibliographicalreference"/>
        <w:spacing w:before="0" w:line="480" w:lineRule="auto"/>
        <w:jc w:val="both"/>
        <w:rPr>
          <w:rFonts w:asciiTheme="minorHAnsi" w:hAnsiTheme="minorHAnsi"/>
          <w:noProof/>
          <w:sz w:val="22"/>
          <w:szCs w:val="20"/>
        </w:rPr>
      </w:pPr>
      <w:r w:rsidRPr="00AF4493">
        <w:rPr>
          <w:rFonts w:asciiTheme="minorHAnsi" w:hAnsiTheme="minorHAnsi"/>
          <w:noProof/>
          <w:sz w:val="22"/>
          <w:szCs w:val="20"/>
        </w:rPr>
        <w:t>Greer, I. and Doellgast, V. (2017) ‘Marketization, inequality, and institutional change: Toward a new framework for comparative employment relations’, Journal of Industrial Relations</w:t>
      </w:r>
      <w:r>
        <w:rPr>
          <w:rFonts w:asciiTheme="minorHAnsi" w:hAnsiTheme="minorHAnsi"/>
          <w:noProof/>
          <w:sz w:val="22"/>
          <w:szCs w:val="20"/>
        </w:rPr>
        <w:t xml:space="preserve"> </w:t>
      </w:r>
      <w:r w:rsidRPr="00AF4493">
        <w:rPr>
          <w:rFonts w:asciiTheme="minorHAnsi" w:hAnsiTheme="minorHAnsi"/>
          <w:noProof/>
          <w:sz w:val="22"/>
          <w:szCs w:val="20"/>
        </w:rPr>
        <w:t>59</w:t>
      </w:r>
      <w:r>
        <w:rPr>
          <w:rFonts w:asciiTheme="minorHAnsi" w:hAnsiTheme="minorHAnsi"/>
          <w:noProof/>
          <w:sz w:val="22"/>
          <w:szCs w:val="20"/>
        </w:rPr>
        <w:t xml:space="preserve"> (</w:t>
      </w:r>
      <w:r w:rsidRPr="00AF4493">
        <w:rPr>
          <w:rFonts w:asciiTheme="minorHAnsi" w:hAnsiTheme="minorHAnsi"/>
          <w:noProof/>
          <w:sz w:val="22"/>
          <w:szCs w:val="20"/>
        </w:rPr>
        <w:t>2</w:t>
      </w:r>
      <w:r>
        <w:rPr>
          <w:rFonts w:asciiTheme="minorHAnsi" w:hAnsiTheme="minorHAnsi"/>
          <w:noProof/>
          <w:sz w:val="22"/>
          <w:szCs w:val="20"/>
        </w:rPr>
        <w:t xml:space="preserve">): </w:t>
      </w:r>
      <w:r w:rsidRPr="00AF4493">
        <w:rPr>
          <w:rFonts w:asciiTheme="minorHAnsi" w:hAnsiTheme="minorHAnsi"/>
          <w:noProof/>
          <w:sz w:val="22"/>
          <w:szCs w:val="20"/>
        </w:rPr>
        <w:t>192</w:t>
      </w:r>
      <w:r>
        <w:rPr>
          <w:rFonts w:asciiTheme="minorHAnsi" w:hAnsiTheme="minorHAnsi"/>
          <w:noProof/>
          <w:sz w:val="22"/>
          <w:szCs w:val="20"/>
        </w:rPr>
        <w:t>-</w:t>
      </w:r>
      <w:r w:rsidRPr="00AF4493">
        <w:rPr>
          <w:rFonts w:asciiTheme="minorHAnsi" w:hAnsiTheme="minorHAnsi"/>
          <w:noProof/>
          <w:sz w:val="22"/>
          <w:szCs w:val="20"/>
        </w:rPr>
        <w:t>208.</w:t>
      </w:r>
    </w:p>
    <w:p w14:paraId="3CEC2EFD" w14:textId="77777777" w:rsidR="004808F4" w:rsidRDefault="004808F4" w:rsidP="0011084D">
      <w:pPr>
        <w:pStyle w:val="Bibliographicalreference"/>
        <w:spacing w:before="0" w:line="480" w:lineRule="auto"/>
        <w:jc w:val="both"/>
        <w:rPr>
          <w:rFonts w:asciiTheme="minorHAnsi" w:hAnsiTheme="minorHAnsi"/>
          <w:noProof/>
          <w:sz w:val="22"/>
          <w:szCs w:val="20"/>
        </w:rPr>
      </w:pPr>
      <w:r w:rsidRPr="004808F4">
        <w:rPr>
          <w:rFonts w:asciiTheme="minorHAnsi" w:hAnsiTheme="minorHAnsi"/>
          <w:noProof/>
          <w:sz w:val="22"/>
          <w:szCs w:val="20"/>
        </w:rPr>
        <w:t xml:space="preserve">Grimshaw, D., Rubery, J., Anxo, D., Bacache-Beauvallet, M., Neumann, L. and Weinkopf, C. (2015) ‘Outsourcing of public services in Europe and segmentation effects: the influence of labour market factors’, </w:t>
      </w:r>
      <w:r w:rsidRPr="004808F4">
        <w:rPr>
          <w:rFonts w:asciiTheme="minorHAnsi" w:hAnsiTheme="minorHAnsi"/>
          <w:i/>
          <w:noProof/>
          <w:sz w:val="22"/>
          <w:szCs w:val="20"/>
        </w:rPr>
        <w:t>European Journal of Industrial Relations</w:t>
      </w:r>
      <w:r w:rsidRPr="004808F4">
        <w:rPr>
          <w:rFonts w:asciiTheme="minorHAnsi" w:hAnsiTheme="minorHAnsi"/>
          <w:noProof/>
          <w:sz w:val="22"/>
          <w:szCs w:val="20"/>
        </w:rPr>
        <w:t xml:space="preserve"> 21(4): 295-313.</w:t>
      </w:r>
    </w:p>
    <w:p w14:paraId="712CE2DE" w14:textId="2FDE74DE" w:rsidR="004808F4" w:rsidRDefault="004808F4" w:rsidP="0011084D">
      <w:pPr>
        <w:pStyle w:val="Bibliographicalreference"/>
        <w:spacing w:before="0" w:line="480" w:lineRule="auto"/>
        <w:jc w:val="both"/>
        <w:rPr>
          <w:rFonts w:asciiTheme="minorHAnsi" w:hAnsiTheme="minorHAnsi"/>
          <w:noProof/>
          <w:sz w:val="22"/>
          <w:szCs w:val="20"/>
        </w:rPr>
      </w:pPr>
      <w:r w:rsidRPr="004808F4">
        <w:rPr>
          <w:rFonts w:asciiTheme="minorHAnsi" w:hAnsiTheme="minorHAnsi"/>
          <w:noProof/>
          <w:sz w:val="22"/>
          <w:szCs w:val="20"/>
        </w:rPr>
        <w:t xml:space="preserve">Grimshaw, D., Johnson, M., Rubery, J. and Keizer, A. (2016) Reducing precarious work-protective gaps and the role of social dialogue in Europe. Report for the European Commission DG Employment. Available at: </w:t>
      </w:r>
      <w:r w:rsidRPr="004808F4">
        <w:rPr>
          <w:rFonts w:asciiTheme="minorHAnsi" w:hAnsiTheme="minorHAnsi"/>
          <w:noProof/>
          <w:sz w:val="22"/>
          <w:szCs w:val="20"/>
          <w:u w:val="single"/>
        </w:rPr>
        <w:t>http://www. research.mbs.ac.uk/ewerc/Our-research/Current-projects</w:t>
      </w:r>
      <w:r>
        <w:rPr>
          <w:rFonts w:asciiTheme="minorHAnsi" w:hAnsiTheme="minorHAnsi"/>
          <w:noProof/>
          <w:sz w:val="22"/>
          <w:szCs w:val="20"/>
        </w:rPr>
        <w:t>.</w:t>
      </w:r>
    </w:p>
    <w:p w14:paraId="4154F9A1" w14:textId="62084B4B" w:rsidR="00890CAB" w:rsidRPr="00140BF5" w:rsidRDefault="00106496" w:rsidP="0011084D">
      <w:pPr>
        <w:pStyle w:val="Bibliographicalreference"/>
        <w:spacing w:before="0" w:line="480" w:lineRule="auto"/>
        <w:jc w:val="both"/>
        <w:rPr>
          <w:rFonts w:asciiTheme="minorHAnsi" w:hAnsiTheme="minorHAnsi"/>
          <w:noProof/>
          <w:sz w:val="22"/>
          <w:szCs w:val="20"/>
        </w:rPr>
      </w:pPr>
      <w:r w:rsidRPr="00140BF5">
        <w:rPr>
          <w:rFonts w:asciiTheme="minorHAnsi" w:hAnsiTheme="minorHAnsi"/>
          <w:noProof/>
          <w:sz w:val="22"/>
          <w:szCs w:val="20"/>
        </w:rPr>
        <w:t>Hermann</w:t>
      </w:r>
      <w:r w:rsidR="00AF4493">
        <w:rPr>
          <w:rFonts w:asciiTheme="minorHAnsi" w:hAnsiTheme="minorHAnsi"/>
          <w:noProof/>
          <w:sz w:val="22"/>
          <w:szCs w:val="20"/>
        </w:rPr>
        <w:t>,</w:t>
      </w:r>
      <w:r w:rsidRPr="00140BF5">
        <w:rPr>
          <w:rFonts w:asciiTheme="minorHAnsi" w:hAnsiTheme="minorHAnsi"/>
          <w:noProof/>
          <w:sz w:val="22"/>
          <w:szCs w:val="20"/>
        </w:rPr>
        <w:t xml:space="preserve"> C</w:t>
      </w:r>
      <w:r w:rsidR="00AF4493">
        <w:rPr>
          <w:rFonts w:asciiTheme="minorHAnsi" w:hAnsiTheme="minorHAnsi"/>
          <w:noProof/>
          <w:sz w:val="22"/>
          <w:szCs w:val="20"/>
        </w:rPr>
        <w:t>. and</w:t>
      </w:r>
      <w:r w:rsidRPr="00140BF5">
        <w:rPr>
          <w:rFonts w:asciiTheme="minorHAnsi" w:hAnsiTheme="minorHAnsi"/>
          <w:noProof/>
          <w:sz w:val="22"/>
          <w:szCs w:val="20"/>
        </w:rPr>
        <w:t xml:space="preserve"> </w:t>
      </w:r>
      <w:r w:rsidR="00890CAB" w:rsidRPr="00140BF5">
        <w:rPr>
          <w:rFonts w:asciiTheme="minorHAnsi" w:hAnsiTheme="minorHAnsi"/>
          <w:noProof/>
          <w:sz w:val="22"/>
          <w:szCs w:val="20"/>
        </w:rPr>
        <w:t>Flecker</w:t>
      </w:r>
      <w:r w:rsidR="00AF4493">
        <w:rPr>
          <w:rFonts w:asciiTheme="minorHAnsi" w:hAnsiTheme="minorHAnsi"/>
          <w:noProof/>
          <w:sz w:val="22"/>
          <w:szCs w:val="20"/>
        </w:rPr>
        <w:t>,</w:t>
      </w:r>
      <w:r w:rsidR="00890CAB" w:rsidRPr="00140BF5">
        <w:rPr>
          <w:rFonts w:asciiTheme="minorHAnsi" w:hAnsiTheme="minorHAnsi"/>
          <w:noProof/>
          <w:sz w:val="22"/>
          <w:szCs w:val="20"/>
        </w:rPr>
        <w:t xml:space="preserve"> J</w:t>
      </w:r>
      <w:r w:rsidR="00AF4493">
        <w:rPr>
          <w:rFonts w:asciiTheme="minorHAnsi" w:hAnsiTheme="minorHAnsi"/>
          <w:noProof/>
          <w:sz w:val="22"/>
          <w:szCs w:val="20"/>
        </w:rPr>
        <w:t>., eds.</w:t>
      </w:r>
      <w:r w:rsidR="00890CAB" w:rsidRPr="00140BF5">
        <w:rPr>
          <w:rFonts w:asciiTheme="minorHAnsi" w:hAnsiTheme="minorHAnsi"/>
          <w:noProof/>
          <w:sz w:val="22"/>
          <w:szCs w:val="20"/>
        </w:rPr>
        <w:t xml:space="preserve"> (2012) </w:t>
      </w:r>
      <w:r w:rsidR="00890CAB" w:rsidRPr="00140BF5">
        <w:rPr>
          <w:rFonts w:asciiTheme="minorHAnsi" w:hAnsiTheme="minorHAnsi"/>
          <w:i/>
          <w:noProof/>
          <w:sz w:val="22"/>
          <w:szCs w:val="20"/>
        </w:rPr>
        <w:t>Privatization of Public Services: Impacts for Employment, Working Conditions, and Service Quality in Europe</w:t>
      </w:r>
      <w:r w:rsidR="00890CAB" w:rsidRPr="00140BF5">
        <w:rPr>
          <w:rFonts w:asciiTheme="minorHAnsi" w:hAnsiTheme="minorHAnsi"/>
          <w:noProof/>
          <w:sz w:val="22"/>
          <w:szCs w:val="20"/>
        </w:rPr>
        <w:t>. London: Routledge.</w:t>
      </w:r>
    </w:p>
    <w:p w14:paraId="73F963A3" w14:textId="2A24BD6A" w:rsidR="00C831F4" w:rsidRPr="00140BF5" w:rsidRDefault="00122238" w:rsidP="0011084D">
      <w:pPr>
        <w:pStyle w:val="Bibliographicalreference"/>
        <w:spacing w:before="0" w:line="480" w:lineRule="auto"/>
        <w:jc w:val="both"/>
        <w:rPr>
          <w:rFonts w:asciiTheme="minorHAnsi" w:hAnsiTheme="minorHAnsi"/>
          <w:noProof/>
          <w:sz w:val="22"/>
          <w:szCs w:val="20"/>
        </w:rPr>
      </w:pPr>
      <w:r w:rsidRPr="00140BF5">
        <w:rPr>
          <w:rFonts w:asciiTheme="minorHAnsi" w:hAnsiTheme="minorHAnsi"/>
          <w:noProof/>
          <w:sz w:val="22"/>
          <w:szCs w:val="20"/>
        </w:rPr>
        <w:t>Hodge</w:t>
      </w:r>
      <w:r w:rsidR="00AF4493">
        <w:rPr>
          <w:rFonts w:asciiTheme="minorHAnsi" w:hAnsiTheme="minorHAnsi"/>
          <w:noProof/>
          <w:sz w:val="22"/>
          <w:szCs w:val="20"/>
        </w:rPr>
        <w:t>,</w:t>
      </w:r>
      <w:r w:rsidRPr="00140BF5">
        <w:rPr>
          <w:rFonts w:asciiTheme="minorHAnsi" w:hAnsiTheme="minorHAnsi"/>
          <w:noProof/>
          <w:sz w:val="22"/>
          <w:szCs w:val="20"/>
        </w:rPr>
        <w:t xml:space="preserve"> G</w:t>
      </w:r>
      <w:r w:rsidR="00AF4493">
        <w:rPr>
          <w:rFonts w:asciiTheme="minorHAnsi" w:hAnsiTheme="minorHAnsi"/>
          <w:noProof/>
          <w:sz w:val="22"/>
          <w:szCs w:val="20"/>
        </w:rPr>
        <w:t>. and</w:t>
      </w:r>
      <w:r w:rsidR="00106496" w:rsidRPr="00140BF5">
        <w:rPr>
          <w:rFonts w:asciiTheme="minorHAnsi" w:hAnsiTheme="minorHAnsi"/>
          <w:noProof/>
          <w:sz w:val="22"/>
          <w:szCs w:val="20"/>
        </w:rPr>
        <w:t xml:space="preserve"> </w:t>
      </w:r>
      <w:r w:rsidRPr="00140BF5">
        <w:rPr>
          <w:rFonts w:asciiTheme="minorHAnsi" w:hAnsiTheme="minorHAnsi"/>
          <w:noProof/>
          <w:sz w:val="22"/>
          <w:szCs w:val="20"/>
        </w:rPr>
        <w:t>Greve</w:t>
      </w:r>
      <w:r w:rsidR="00AF4493">
        <w:rPr>
          <w:rFonts w:asciiTheme="minorHAnsi" w:hAnsiTheme="minorHAnsi"/>
          <w:noProof/>
          <w:sz w:val="22"/>
          <w:szCs w:val="20"/>
        </w:rPr>
        <w:t>,</w:t>
      </w:r>
      <w:r w:rsidR="00C31F10" w:rsidRPr="00140BF5">
        <w:rPr>
          <w:rFonts w:asciiTheme="minorHAnsi" w:hAnsiTheme="minorHAnsi"/>
          <w:noProof/>
          <w:sz w:val="22"/>
          <w:szCs w:val="20"/>
        </w:rPr>
        <w:t xml:space="preserve"> C</w:t>
      </w:r>
      <w:r w:rsidR="00AF4493">
        <w:rPr>
          <w:rFonts w:asciiTheme="minorHAnsi" w:hAnsiTheme="minorHAnsi"/>
          <w:noProof/>
          <w:sz w:val="22"/>
          <w:szCs w:val="20"/>
        </w:rPr>
        <w:t>.</w:t>
      </w:r>
      <w:r w:rsidR="00C31F10" w:rsidRPr="00140BF5">
        <w:rPr>
          <w:rFonts w:asciiTheme="minorHAnsi" w:hAnsiTheme="minorHAnsi"/>
          <w:noProof/>
          <w:sz w:val="22"/>
          <w:szCs w:val="20"/>
        </w:rPr>
        <w:t xml:space="preserve"> (2005)</w:t>
      </w:r>
      <w:r w:rsidR="00C831F4" w:rsidRPr="00140BF5">
        <w:rPr>
          <w:rFonts w:asciiTheme="minorHAnsi" w:hAnsiTheme="minorHAnsi"/>
          <w:noProof/>
          <w:sz w:val="22"/>
          <w:szCs w:val="20"/>
        </w:rPr>
        <w:t xml:space="preserve"> </w:t>
      </w:r>
      <w:r w:rsidR="00C831F4" w:rsidRPr="00140BF5">
        <w:rPr>
          <w:rFonts w:asciiTheme="minorHAnsi" w:hAnsiTheme="minorHAnsi"/>
          <w:i/>
          <w:noProof/>
          <w:sz w:val="22"/>
          <w:szCs w:val="20"/>
        </w:rPr>
        <w:t>The challenge of public-private partnerships: Learning from international experience</w:t>
      </w:r>
      <w:r w:rsidR="00C831F4" w:rsidRPr="00140BF5">
        <w:rPr>
          <w:rFonts w:asciiTheme="minorHAnsi" w:hAnsiTheme="minorHAnsi"/>
          <w:noProof/>
          <w:sz w:val="22"/>
          <w:szCs w:val="20"/>
        </w:rPr>
        <w:t xml:space="preserve">. Cheltenham, UK, </w:t>
      </w:r>
      <w:r w:rsidR="00106496" w:rsidRPr="00140BF5">
        <w:rPr>
          <w:rFonts w:asciiTheme="minorHAnsi" w:hAnsiTheme="minorHAnsi"/>
          <w:noProof/>
          <w:sz w:val="22"/>
          <w:szCs w:val="20"/>
        </w:rPr>
        <w:t>Northampton, Mass: Edward Elgar.</w:t>
      </w:r>
    </w:p>
    <w:p w14:paraId="41704F5D" w14:textId="5910CD3F" w:rsidR="00215C83" w:rsidRPr="00140BF5" w:rsidRDefault="00122238"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Howell</w:t>
      </w:r>
      <w:r w:rsidR="00AF4493">
        <w:rPr>
          <w:rFonts w:asciiTheme="minorHAnsi" w:hAnsiTheme="minorHAnsi"/>
          <w:sz w:val="22"/>
        </w:rPr>
        <w:t>,</w:t>
      </w:r>
      <w:r w:rsidRPr="00140BF5">
        <w:rPr>
          <w:rFonts w:asciiTheme="minorHAnsi" w:hAnsiTheme="minorHAnsi"/>
          <w:sz w:val="22"/>
        </w:rPr>
        <w:t xml:space="preserve"> </w:t>
      </w:r>
      <w:r w:rsidR="00C31F10" w:rsidRPr="00140BF5">
        <w:rPr>
          <w:rFonts w:asciiTheme="minorHAnsi" w:hAnsiTheme="minorHAnsi"/>
          <w:sz w:val="22"/>
        </w:rPr>
        <w:t>C</w:t>
      </w:r>
      <w:r w:rsidR="00AF4493">
        <w:rPr>
          <w:rFonts w:asciiTheme="minorHAnsi" w:hAnsiTheme="minorHAnsi"/>
          <w:sz w:val="22"/>
        </w:rPr>
        <w:t>.</w:t>
      </w:r>
      <w:r w:rsidR="00C31F10" w:rsidRPr="00140BF5">
        <w:rPr>
          <w:rFonts w:asciiTheme="minorHAnsi" w:hAnsiTheme="minorHAnsi"/>
          <w:sz w:val="22"/>
        </w:rPr>
        <w:t xml:space="preserve"> (2016)</w:t>
      </w:r>
      <w:r w:rsidR="00215C83" w:rsidRPr="00140BF5">
        <w:rPr>
          <w:rFonts w:asciiTheme="minorHAnsi" w:hAnsiTheme="minorHAnsi"/>
          <w:sz w:val="22"/>
        </w:rPr>
        <w:t xml:space="preserve"> </w:t>
      </w:r>
      <w:r w:rsidR="00AF4493">
        <w:rPr>
          <w:rFonts w:asciiTheme="minorHAnsi" w:hAnsiTheme="minorHAnsi"/>
          <w:sz w:val="22"/>
        </w:rPr>
        <w:t>‘</w:t>
      </w:r>
      <w:r w:rsidR="00215C83" w:rsidRPr="00140BF5">
        <w:rPr>
          <w:rFonts w:asciiTheme="minorHAnsi" w:hAnsiTheme="minorHAnsi"/>
          <w:sz w:val="22"/>
        </w:rPr>
        <w:t>Regulating class in the neoliberal era: the role of the state in the restructuring of work and employment relations</w:t>
      </w:r>
      <w:r w:rsidR="00AF4493">
        <w:rPr>
          <w:rFonts w:asciiTheme="minorHAnsi" w:hAnsiTheme="minorHAnsi"/>
          <w:sz w:val="22"/>
        </w:rPr>
        <w:t>’,</w:t>
      </w:r>
      <w:r w:rsidR="00215C83" w:rsidRPr="00140BF5">
        <w:rPr>
          <w:rFonts w:asciiTheme="minorHAnsi" w:hAnsiTheme="minorHAnsi"/>
          <w:sz w:val="22"/>
        </w:rPr>
        <w:t xml:space="preserve"> </w:t>
      </w:r>
      <w:r w:rsidR="00215C83" w:rsidRPr="00140BF5">
        <w:rPr>
          <w:rFonts w:asciiTheme="minorHAnsi" w:hAnsiTheme="minorHAnsi"/>
          <w:i/>
          <w:sz w:val="22"/>
        </w:rPr>
        <w:t>Work, employment and society</w:t>
      </w:r>
      <w:r w:rsidR="00215C83" w:rsidRPr="00140BF5">
        <w:rPr>
          <w:rFonts w:asciiTheme="minorHAnsi" w:hAnsiTheme="minorHAnsi"/>
          <w:sz w:val="22"/>
        </w:rPr>
        <w:t>, 30(4)</w:t>
      </w:r>
      <w:r w:rsidR="00106496" w:rsidRPr="00140BF5">
        <w:rPr>
          <w:rFonts w:asciiTheme="minorHAnsi" w:hAnsiTheme="minorHAnsi"/>
          <w:sz w:val="22"/>
        </w:rPr>
        <w:t>:</w:t>
      </w:r>
      <w:r w:rsidR="00215C83" w:rsidRPr="00140BF5">
        <w:rPr>
          <w:rFonts w:asciiTheme="minorHAnsi" w:hAnsiTheme="minorHAnsi"/>
          <w:sz w:val="22"/>
        </w:rPr>
        <w:t xml:space="preserve"> 573-589.</w:t>
      </w:r>
    </w:p>
    <w:p w14:paraId="0CA17309" w14:textId="33991680" w:rsidR="00373129" w:rsidRPr="00140BF5" w:rsidRDefault="00106496" w:rsidP="000C0834">
      <w:pPr>
        <w:pStyle w:val="Bibliographicalreference"/>
        <w:spacing w:line="480" w:lineRule="auto"/>
        <w:jc w:val="both"/>
        <w:rPr>
          <w:rFonts w:asciiTheme="minorHAnsi" w:hAnsiTheme="minorHAnsi"/>
          <w:sz w:val="22"/>
        </w:rPr>
      </w:pPr>
      <w:r w:rsidRPr="00140BF5">
        <w:rPr>
          <w:rFonts w:asciiTheme="minorHAnsi" w:hAnsiTheme="minorHAnsi"/>
          <w:sz w:val="22"/>
        </w:rPr>
        <w:t>Holley</w:t>
      </w:r>
      <w:r w:rsidR="00AF4493">
        <w:rPr>
          <w:rFonts w:asciiTheme="minorHAnsi" w:hAnsiTheme="minorHAnsi"/>
          <w:sz w:val="22"/>
        </w:rPr>
        <w:t>,</w:t>
      </w:r>
      <w:r w:rsidRPr="00140BF5">
        <w:rPr>
          <w:rFonts w:asciiTheme="minorHAnsi" w:hAnsiTheme="minorHAnsi"/>
          <w:sz w:val="22"/>
        </w:rPr>
        <w:t xml:space="preserve"> S</w:t>
      </w:r>
      <w:r w:rsidR="00AF4493">
        <w:rPr>
          <w:rFonts w:asciiTheme="minorHAnsi" w:hAnsiTheme="minorHAnsi"/>
          <w:sz w:val="22"/>
        </w:rPr>
        <w:t>.</w:t>
      </w:r>
      <w:r w:rsidRPr="00140BF5">
        <w:rPr>
          <w:rFonts w:asciiTheme="minorHAnsi" w:hAnsiTheme="minorHAnsi"/>
          <w:sz w:val="22"/>
        </w:rPr>
        <w:t>, Machonachie</w:t>
      </w:r>
      <w:r w:rsidR="00AF4493">
        <w:rPr>
          <w:rFonts w:asciiTheme="minorHAnsi" w:hAnsiTheme="minorHAnsi"/>
          <w:sz w:val="22"/>
        </w:rPr>
        <w:t>,</w:t>
      </w:r>
      <w:r w:rsidRPr="00140BF5">
        <w:rPr>
          <w:rFonts w:asciiTheme="minorHAnsi" w:hAnsiTheme="minorHAnsi"/>
          <w:sz w:val="22"/>
        </w:rPr>
        <w:t xml:space="preserve"> G</w:t>
      </w:r>
      <w:r w:rsidR="00AF4493">
        <w:rPr>
          <w:rFonts w:asciiTheme="minorHAnsi" w:hAnsiTheme="minorHAnsi"/>
          <w:sz w:val="22"/>
        </w:rPr>
        <w:t>.</w:t>
      </w:r>
      <w:r w:rsidRPr="00140BF5">
        <w:rPr>
          <w:rFonts w:asciiTheme="minorHAnsi" w:hAnsiTheme="minorHAnsi"/>
          <w:sz w:val="22"/>
        </w:rPr>
        <w:t xml:space="preserve"> </w:t>
      </w:r>
      <w:r w:rsidR="00117061" w:rsidRPr="00140BF5">
        <w:rPr>
          <w:rFonts w:asciiTheme="minorHAnsi" w:hAnsiTheme="minorHAnsi"/>
          <w:sz w:val="22"/>
        </w:rPr>
        <w:t xml:space="preserve">and </w:t>
      </w:r>
      <w:r w:rsidR="00373129" w:rsidRPr="00140BF5">
        <w:rPr>
          <w:rFonts w:asciiTheme="minorHAnsi" w:hAnsiTheme="minorHAnsi"/>
          <w:sz w:val="22"/>
        </w:rPr>
        <w:t>Goodwin</w:t>
      </w:r>
      <w:r w:rsidR="00AF4493">
        <w:rPr>
          <w:rFonts w:asciiTheme="minorHAnsi" w:hAnsiTheme="minorHAnsi"/>
          <w:sz w:val="22"/>
        </w:rPr>
        <w:t>,</w:t>
      </w:r>
      <w:r w:rsidR="00373129" w:rsidRPr="00140BF5">
        <w:rPr>
          <w:rFonts w:asciiTheme="minorHAnsi" w:hAnsiTheme="minorHAnsi"/>
          <w:sz w:val="22"/>
        </w:rPr>
        <w:t xml:space="preserve"> M</w:t>
      </w:r>
      <w:r w:rsidR="00AF4493">
        <w:rPr>
          <w:rFonts w:asciiTheme="minorHAnsi" w:hAnsiTheme="minorHAnsi"/>
          <w:sz w:val="22"/>
        </w:rPr>
        <w:t>.</w:t>
      </w:r>
      <w:r w:rsidR="00373129" w:rsidRPr="00140BF5">
        <w:rPr>
          <w:rFonts w:asciiTheme="minorHAnsi" w:hAnsiTheme="minorHAnsi"/>
          <w:sz w:val="22"/>
        </w:rPr>
        <w:t xml:space="preserve"> (2015) </w:t>
      </w:r>
      <w:r w:rsidR="00AF4493">
        <w:rPr>
          <w:rFonts w:asciiTheme="minorHAnsi" w:hAnsiTheme="minorHAnsi"/>
          <w:sz w:val="22"/>
        </w:rPr>
        <w:t>‘</w:t>
      </w:r>
      <w:r w:rsidR="00373129" w:rsidRPr="00140BF5">
        <w:rPr>
          <w:rFonts w:asciiTheme="minorHAnsi" w:hAnsiTheme="minorHAnsi"/>
          <w:sz w:val="22"/>
        </w:rPr>
        <w:t>Government procurement contracts and labour standards enforcement: Rhetoric, duplication and distraction?</w:t>
      </w:r>
      <w:r w:rsidR="00AF4493">
        <w:rPr>
          <w:rFonts w:asciiTheme="minorHAnsi" w:hAnsiTheme="minorHAnsi"/>
          <w:sz w:val="22"/>
        </w:rPr>
        <w:t>’,</w:t>
      </w:r>
      <w:r w:rsidR="00373129" w:rsidRPr="00140BF5">
        <w:rPr>
          <w:rFonts w:asciiTheme="minorHAnsi" w:hAnsiTheme="minorHAnsi"/>
          <w:sz w:val="22"/>
        </w:rPr>
        <w:t xml:space="preserve"> </w:t>
      </w:r>
      <w:r w:rsidR="00373129" w:rsidRPr="00140BF5">
        <w:rPr>
          <w:rFonts w:asciiTheme="minorHAnsi" w:hAnsiTheme="minorHAnsi"/>
          <w:i/>
          <w:sz w:val="22"/>
        </w:rPr>
        <w:t>Economic and Labour Relations Review</w:t>
      </w:r>
      <w:r w:rsidR="00373129" w:rsidRPr="00140BF5">
        <w:rPr>
          <w:rFonts w:asciiTheme="minorHAnsi" w:hAnsiTheme="minorHAnsi"/>
          <w:sz w:val="22"/>
        </w:rPr>
        <w:t xml:space="preserve"> 26</w:t>
      </w:r>
      <w:r w:rsidRPr="00140BF5">
        <w:rPr>
          <w:rFonts w:asciiTheme="minorHAnsi" w:hAnsiTheme="minorHAnsi"/>
          <w:sz w:val="22"/>
        </w:rPr>
        <w:t xml:space="preserve"> </w:t>
      </w:r>
      <w:r w:rsidR="00373129" w:rsidRPr="00140BF5">
        <w:rPr>
          <w:rFonts w:asciiTheme="minorHAnsi" w:hAnsiTheme="minorHAnsi"/>
          <w:sz w:val="22"/>
        </w:rPr>
        <w:t>(1): 43</w:t>
      </w:r>
      <w:r w:rsidR="00AF4493">
        <w:rPr>
          <w:rFonts w:asciiTheme="minorHAnsi" w:hAnsiTheme="minorHAnsi"/>
          <w:sz w:val="22"/>
        </w:rPr>
        <w:t>-</w:t>
      </w:r>
      <w:r w:rsidR="00373129" w:rsidRPr="00140BF5">
        <w:rPr>
          <w:rFonts w:asciiTheme="minorHAnsi" w:hAnsiTheme="minorHAnsi"/>
          <w:sz w:val="22"/>
        </w:rPr>
        <w:t>59.</w:t>
      </w:r>
    </w:p>
    <w:p w14:paraId="44D357C1" w14:textId="77777777" w:rsidR="004808F4" w:rsidRDefault="004808F4" w:rsidP="009C3F7F">
      <w:pPr>
        <w:pStyle w:val="Bibliographicalreference"/>
        <w:spacing w:line="480" w:lineRule="auto"/>
        <w:jc w:val="both"/>
        <w:rPr>
          <w:rFonts w:asciiTheme="minorHAnsi" w:hAnsiTheme="minorHAnsi"/>
          <w:sz w:val="22"/>
        </w:rPr>
      </w:pPr>
      <w:r w:rsidRPr="004808F4">
        <w:rPr>
          <w:rFonts w:asciiTheme="minorHAnsi" w:hAnsiTheme="minorHAnsi"/>
          <w:sz w:val="22"/>
        </w:rPr>
        <w:t xml:space="preserve">Jaehrling, K. (2015a) ‘The state as a ‘socially responsible customer’? Public procurement between market-making and market-embedding’, </w:t>
      </w:r>
      <w:r w:rsidRPr="004808F4">
        <w:rPr>
          <w:rFonts w:asciiTheme="minorHAnsi" w:hAnsiTheme="minorHAnsi"/>
          <w:i/>
          <w:sz w:val="22"/>
        </w:rPr>
        <w:t>European Journal of Industrial Relations</w:t>
      </w:r>
      <w:r w:rsidRPr="004808F4">
        <w:rPr>
          <w:rFonts w:asciiTheme="minorHAnsi" w:hAnsiTheme="minorHAnsi"/>
          <w:sz w:val="22"/>
        </w:rPr>
        <w:t xml:space="preserve"> 21(2): 149-164</w:t>
      </w:r>
    </w:p>
    <w:p w14:paraId="0B611290" w14:textId="77777777" w:rsidR="004808F4" w:rsidRDefault="004808F4" w:rsidP="009C3F7F">
      <w:pPr>
        <w:pStyle w:val="Bibliographicalreference"/>
        <w:spacing w:line="480" w:lineRule="auto"/>
        <w:jc w:val="both"/>
        <w:rPr>
          <w:rFonts w:asciiTheme="minorHAnsi" w:hAnsiTheme="minorHAnsi"/>
          <w:sz w:val="22"/>
        </w:rPr>
      </w:pPr>
      <w:r w:rsidRPr="0067495C">
        <w:rPr>
          <w:rFonts w:asciiTheme="minorHAnsi" w:hAnsiTheme="minorHAnsi"/>
          <w:sz w:val="22"/>
          <w:lang w:val="da-DK"/>
        </w:rPr>
        <w:lastRenderedPageBreak/>
        <w:t xml:space="preserve">Jaehrling, K. (2015b) ‚Öffentliche Auftragsvergabe – eine neue Arena der industriellen Beziehungen? </w:t>
      </w:r>
      <w:r w:rsidRPr="004808F4">
        <w:rPr>
          <w:rFonts w:asciiTheme="minorHAnsi" w:hAnsiTheme="minorHAnsi"/>
          <w:sz w:val="22"/>
        </w:rPr>
        <w:t xml:space="preserve">Konzeptionelle Überlegungen und erste empirische Befunde‘, </w:t>
      </w:r>
      <w:r w:rsidRPr="004808F4">
        <w:rPr>
          <w:rFonts w:asciiTheme="minorHAnsi" w:hAnsiTheme="minorHAnsi"/>
          <w:i/>
          <w:sz w:val="22"/>
        </w:rPr>
        <w:t>Industrielle Beziehungen</w:t>
      </w:r>
      <w:r w:rsidRPr="004808F4">
        <w:rPr>
          <w:rFonts w:asciiTheme="minorHAnsi" w:hAnsiTheme="minorHAnsi"/>
          <w:sz w:val="22"/>
        </w:rPr>
        <w:t xml:space="preserve"> 22(3-4): 325-344</w:t>
      </w:r>
    </w:p>
    <w:p w14:paraId="7C2887B1" w14:textId="77777777" w:rsidR="004808F4" w:rsidRDefault="004808F4" w:rsidP="004808F4">
      <w:pPr>
        <w:pStyle w:val="Bibliographicalreference"/>
        <w:spacing w:line="480" w:lineRule="auto"/>
        <w:jc w:val="both"/>
        <w:rPr>
          <w:rFonts w:asciiTheme="minorHAnsi" w:hAnsiTheme="minorHAnsi"/>
          <w:sz w:val="22"/>
        </w:rPr>
      </w:pPr>
      <w:r w:rsidRPr="004808F4">
        <w:rPr>
          <w:rFonts w:asciiTheme="minorHAnsi" w:hAnsiTheme="minorHAnsi"/>
          <w:sz w:val="22"/>
        </w:rPr>
        <w:t>Jaehrling, K</w:t>
      </w:r>
      <w:r>
        <w:rPr>
          <w:rFonts w:asciiTheme="minorHAnsi" w:hAnsiTheme="minorHAnsi"/>
          <w:sz w:val="22"/>
        </w:rPr>
        <w:t xml:space="preserve">., </w:t>
      </w:r>
      <w:r w:rsidRPr="004808F4">
        <w:rPr>
          <w:rFonts w:asciiTheme="minorHAnsi" w:hAnsiTheme="minorHAnsi"/>
          <w:sz w:val="22"/>
        </w:rPr>
        <w:t>Finnestrand, H</w:t>
      </w:r>
      <w:r>
        <w:rPr>
          <w:rFonts w:asciiTheme="minorHAnsi" w:hAnsiTheme="minorHAnsi"/>
          <w:sz w:val="22"/>
        </w:rPr>
        <w:t>.,</w:t>
      </w:r>
      <w:r w:rsidRPr="004808F4">
        <w:rPr>
          <w:rFonts w:asciiTheme="minorHAnsi" w:hAnsiTheme="minorHAnsi"/>
          <w:sz w:val="22"/>
        </w:rPr>
        <w:t xml:space="preserve"> Kirov, V</w:t>
      </w:r>
      <w:r>
        <w:rPr>
          <w:rFonts w:asciiTheme="minorHAnsi" w:hAnsiTheme="minorHAnsi"/>
          <w:sz w:val="22"/>
        </w:rPr>
        <w:t>. and</w:t>
      </w:r>
      <w:r w:rsidRPr="004808F4">
        <w:rPr>
          <w:rFonts w:asciiTheme="minorHAnsi" w:hAnsiTheme="minorHAnsi"/>
          <w:sz w:val="22"/>
        </w:rPr>
        <w:t xml:space="preserve"> Torvatn, H</w:t>
      </w:r>
      <w:r>
        <w:rPr>
          <w:rFonts w:asciiTheme="minorHAnsi" w:hAnsiTheme="minorHAnsi"/>
          <w:sz w:val="22"/>
        </w:rPr>
        <w:t>. (</w:t>
      </w:r>
      <w:r w:rsidRPr="004808F4">
        <w:rPr>
          <w:rFonts w:asciiTheme="minorHAnsi" w:hAnsiTheme="minorHAnsi"/>
          <w:sz w:val="22"/>
        </w:rPr>
        <w:t>2015</w:t>
      </w:r>
      <w:r>
        <w:rPr>
          <w:rFonts w:asciiTheme="minorHAnsi" w:hAnsiTheme="minorHAnsi"/>
          <w:sz w:val="22"/>
        </w:rPr>
        <w:t>) ‘</w:t>
      </w:r>
      <w:r w:rsidRPr="004808F4">
        <w:rPr>
          <w:rFonts w:asciiTheme="minorHAnsi" w:hAnsiTheme="minorHAnsi"/>
          <w:sz w:val="22"/>
        </w:rPr>
        <w:t>The (in)visible third party: De- and re-regulation of working conditions through public procurement</w:t>
      </w:r>
      <w:r>
        <w:rPr>
          <w:rFonts w:asciiTheme="minorHAnsi" w:hAnsiTheme="minorHAnsi"/>
          <w:sz w:val="22"/>
        </w:rPr>
        <w:t>’, i</w:t>
      </w:r>
      <w:r w:rsidRPr="004808F4">
        <w:rPr>
          <w:rFonts w:asciiTheme="minorHAnsi" w:hAnsiTheme="minorHAnsi"/>
          <w:sz w:val="22"/>
        </w:rPr>
        <w:t>n: Holtgrewe, U</w:t>
      </w:r>
      <w:r>
        <w:rPr>
          <w:rFonts w:asciiTheme="minorHAnsi" w:hAnsiTheme="minorHAnsi"/>
          <w:sz w:val="22"/>
        </w:rPr>
        <w:t xml:space="preserve">., </w:t>
      </w:r>
      <w:r w:rsidRPr="004808F4">
        <w:rPr>
          <w:rFonts w:asciiTheme="minorHAnsi" w:hAnsiTheme="minorHAnsi"/>
          <w:sz w:val="22"/>
        </w:rPr>
        <w:t xml:space="preserve"> Kirov, V</w:t>
      </w:r>
      <w:r>
        <w:rPr>
          <w:rFonts w:asciiTheme="minorHAnsi" w:hAnsiTheme="minorHAnsi"/>
          <w:sz w:val="22"/>
        </w:rPr>
        <w:t>. and</w:t>
      </w:r>
      <w:r w:rsidRPr="004808F4">
        <w:rPr>
          <w:rFonts w:asciiTheme="minorHAnsi" w:hAnsiTheme="minorHAnsi"/>
          <w:sz w:val="22"/>
        </w:rPr>
        <w:t xml:space="preserve"> Ramioul, M</w:t>
      </w:r>
      <w:r>
        <w:rPr>
          <w:rFonts w:asciiTheme="minorHAnsi" w:hAnsiTheme="minorHAnsi"/>
          <w:sz w:val="22"/>
        </w:rPr>
        <w:t xml:space="preserve">. </w:t>
      </w:r>
      <w:r w:rsidRPr="004808F4">
        <w:rPr>
          <w:rFonts w:asciiTheme="minorHAnsi" w:hAnsiTheme="minorHAnsi"/>
          <w:sz w:val="22"/>
        </w:rPr>
        <w:t xml:space="preserve">(eds.) </w:t>
      </w:r>
      <w:r w:rsidRPr="004808F4">
        <w:rPr>
          <w:rFonts w:asciiTheme="minorHAnsi" w:hAnsiTheme="minorHAnsi"/>
          <w:i/>
          <w:sz w:val="22"/>
        </w:rPr>
        <w:t>Hard work in new jobs. The quality of work and life in European Growth sectors</w:t>
      </w:r>
      <w:r w:rsidRPr="004808F4">
        <w:rPr>
          <w:rFonts w:asciiTheme="minorHAnsi" w:hAnsiTheme="minorHAnsi"/>
          <w:sz w:val="22"/>
        </w:rPr>
        <w:t>. Basingstoke: Palgrave Macmillian, pp. 130-148</w:t>
      </w:r>
    </w:p>
    <w:p w14:paraId="23F82FB0" w14:textId="39EA8A17" w:rsidR="004808F4" w:rsidRDefault="004808F4" w:rsidP="004808F4">
      <w:pPr>
        <w:pStyle w:val="Bibliographicalreference"/>
        <w:spacing w:line="480" w:lineRule="auto"/>
        <w:jc w:val="both"/>
        <w:rPr>
          <w:rFonts w:asciiTheme="minorHAnsi" w:hAnsiTheme="minorHAnsi"/>
          <w:sz w:val="22"/>
        </w:rPr>
      </w:pPr>
      <w:r w:rsidRPr="004808F4">
        <w:rPr>
          <w:rFonts w:asciiTheme="minorHAnsi" w:hAnsiTheme="minorHAnsi"/>
          <w:sz w:val="22"/>
        </w:rPr>
        <w:t>Johnson, M. (2017) ‚Implementing the living wage in UK local govern</w:t>
      </w:r>
      <w:r>
        <w:rPr>
          <w:rFonts w:asciiTheme="minorHAnsi" w:hAnsiTheme="minorHAnsi"/>
          <w:sz w:val="22"/>
        </w:rPr>
        <w:t xml:space="preserve">ment‘, </w:t>
      </w:r>
      <w:r w:rsidRPr="004808F4">
        <w:rPr>
          <w:rFonts w:asciiTheme="minorHAnsi" w:hAnsiTheme="minorHAnsi"/>
          <w:i/>
          <w:sz w:val="22"/>
        </w:rPr>
        <w:t>Employee Relations</w:t>
      </w:r>
      <w:r>
        <w:rPr>
          <w:rFonts w:asciiTheme="minorHAnsi" w:hAnsiTheme="minorHAnsi"/>
          <w:sz w:val="22"/>
        </w:rPr>
        <w:t xml:space="preserve"> 39(6):</w:t>
      </w:r>
      <w:r w:rsidRPr="004808F4">
        <w:rPr>
          <w:rFonts w:asciiTheme="minorHAnsi" w:hAnsiTheme="minorHAnsi"/>
          <w:sz w:val="22"/>
        </w:rPr>
        <w:t xml:space="preserve"> 840-849.</w:t>
      </w:r>
    </w:p>
    <w:p w14:paraId="28C6E85A" w14:textId="034A4331" w:rsidR="006834C6" w:rsidRPr="00140BF5" w:rsidRDefault="006834C6" w:rsidP="009C3F7F">
      <w:pPr>
        <w:pStyle w:val="Bibliographicalreference"/>
        <w:spacing w:line="480" w:lineRule="auto"/>
        <w:jc w:val="both"/>
        <w:rPr>
          <w:rFonts w:asciiTheme="minorHAnsi" w:hAnsiTheme="minorHAnsi"/>
          <w:sz w:val="22"/>
        </w:rPr>
      </w:pPr>
      <w:r w:rsidRPr="00140BF5">
        <w:rPr>
          <w:rFonts w:asciiTheme="minorHAnsi" w:hAnsiTheme="minorHAnsi"/>
          <w:sz w:val="22"/>
        </w:rPr>
        <w:t>Keulemans</w:t>
      </w:r>
      <w:r w:rsidR="00AF4493">
        <w:rPr>
          <w:rFonts w:asciiTheme="minorHAnsi" w:hAnsiTheme="minorHAnsi"/>
          <w:sz w:val="22"/>
        </w:rPr>
        <w:t>,</w:t>
      </w:r>
      <w:r w:rsidR="00106496" w:rsidRPr="00140BF5">
        <w:rPr>
          <w:rFonts w:asciiTheme="minorHAnsi" w:hAnsiTheme="minorHAnsi"/>
          <w:sz w:val="22"/>
        </w:rPr>
        <w:t xml:space="preserve"> S</w:t>
      </w:r>
      <w:r w:rsidR="00AF4493">
        <w:rPr>
          <w:rFonts w:asciiTheme="minorHAnsi" w:hAnsiTheme="minorHAnsi"/>
          <w:sz w:val="22"/>
        </w:rPr>
        <w:t>. and</w:t>
      </w:r>
      <w:r w:rsidR="00106496" w:rsidRPr="00140BF5">
        <w:rPr>
          <w:rFonts w:asciiTheme="minorHAnsi" w:hAnsiTheme="minorHAnsi"/>
          <w:sz w:val="22"/>
        </w:rPr>
        <w:t xml:space="preserve"> </w:t>
      </w:r>
      <w:r w:rsidRPr="00140BF5">
        <w:rPr>
          <w:rFonts w:asciiTheme="minorHAnsi" w:hAnsiTheme="minorHAnsi"/>
          <w:sz w:val="22"/>
        </w:rPr>
        <w:t>Van de Walle</w:t>
      </w:r>
      <w:r w:rsidR="00AF4493">
        <w:rPr>
          <w:rFonts w:asciiTheme="minorHAnsi" w:hAnsiTheme="minorHAnsi"/>
          <w:sz w:val="22"/>
        </w:rPr>
        <w:t>,</w:t>
      </w:r>
      <w:r w:rsidR="009C3F7F" w:rsidRPr="00140BF5">
        <w:rPr>
          <w:rFonts w:asciiTheme="minorHAnsi" w:hAnsiTheme="minorHAnsi"/>
          <w:sz w:val="22"/>
        </w:rPr>
        <w:t xml:space="preserve"> S</w:t>
      </w:r>
      <w:r w:rsidR="00AF4493">
        <w:rPr>
          <w:rFonts w:asciiTheme="minorHAnsi" w:hAnsiTheme="minorHAnsi"/>
          <w:sz w:val="22"/>
        </w:rPr>
        <w:t>.</w:t>
      </w:r>
      <w:r w:rsidRPr="00140BF5">
        <w:rPr>
          <w:rFonts w:asciiTheme="minorHAnsi" w:hAnsiTheme="minorHAnsi"/>
          <w:sz w:val="22"/>
        </w:rPr>
        <w:t xml:space="preserve"> (2017) </w:t>
      </w:r>
      <w:r w:rsidR="00AF4493">
        <w:rPr>
          <w:rFonts w:asciiTheme="minorHAnsi" w:hAnsiTheme="minorHAnsi"/>
          <w:sz w:val="22"/>
        </w:rPr>
        <w:t>‘</w:t>
      </w:r>
      <w:r w:rsidRPr="00140BF5">
        <w:rPr>
          <w:rFonts w:asciiTheme="minorHAnsi" w:hAnsiTheme="minorHAnsi"/>
          <w:sz w:val="22"/>
        </w:rPr>
        <w:t>Cost-effectiveness, domestic favouritism and sustainability in public procurement: A comparative study of public preferences</w:t>
      </w:r>
      <w:r w:rsidR="00AF4493">
        <w:rPr>
          <w:rFonts w:asciiTheme="minorHAnsi" w:hAnsiTheme="minorHAnsi"/>
          <w:sz w:val="22"/>
        </w:rPr>
        <w:t>’,</w:t>
      </w:r>
      <w:r w:rsidRPr="00140BF5">
        <w:rPr>
          <w:rFonts w:asciiTheme="minorHAnsi" w:hAnsiTheme="minorHAnsi"/>
          <w:sz w:val="22"/>
        </w:rPr>
        <w:t xml:space="preserve"> </w:t>
      </w:r>
      <w:r w:rsidRPr="00140BF5">
        <w:rPr>
          <w:rFonts w:asciiTheme="minorHAnsi" w:hAnsiTheme="minorHAnsi"/>
          <w:i/>
          <w:sz w:val="22"/>
        </w:rPr>
        <w:t>International Journal of Public Sector Management</w:t>
      </w:r>
      <w:r w:rsidRPr="00140BF5">
        <w:rPr>
          <w:rFonts w:asciiTheme="minorHAnsi" w:hAnsiTheme="minorHAnsi"/>
          <w:sz w:val="22"/>
        </w:rPr>
        <w:t xml:space="preserve"> 30 (4): 328-341.</w:t>
      </w:r>
    </w:p>
    <w:p w14:paraId="71CC947E" w14:textId="7AE7565F" w:rsidR="00890CAB" w:rsidRPr="00140BF5" w:rsidRDefault="00AF4493" w:rsidP="009C3F7F">
      <w:pPr>
        <w:pStyle w:val="Bibliographicalreference"/>
        <w:spacing w:line="480" w:lineRule="auto"/>
        <w:jc w:val="both"/>
        <w:rPr>
          <w:rFonts w:asciiTheme="minorHAnsi" w:hAnsiTheme="minorHAnsi"/>
          <w:sz w:val="22"/>
        </w:rPr>
      </w:pPr>
      <w:r>
        <w:rPr>
          <w:rFonts w:asciiTheme="minorHAnsi" w:hAnsiTheme="minorHAnsi"/>
          <w:sz w:val="22"/>
        </w:rPr>
        <w:t xml:space="preserve">Koukiadaki, </w:t>
      </w:r>
      <w:r w:rsidR="00890CAB" w:rsidRPr="00140BF5">
        <w:rPr>
          <w:rFonts w:asciiTheme="minorHAnsi" w:hAnsiTheme="minorHAnsi"/>
          <w:sz w:val="22"/>
        </w:rPr>
        <w:t>A</w:t>
      </w:r>
      <w:r>
        <w:rPr>
          <w:rFonts w:asciiTheme="minorHAnsi" w:hAnsiTheme="minorHAnsi"/>
          <w:sz w:val="22"/>
        </w:rPr>
        <w:t>.</w:t>
      </w:r>
      <w:r w:rsidR="00890CAB" w:rsidRPr="00140BF5">
        <w:rPr>
          <w:rFonts w:asciiTheme="minorHAnsi" w:hAnsiTheme="minorHAnsi"/>
          <w:sz w:val="22"/>
        </w:rPr>
        <w:t xml:space="preserve"> (2014) </w:t>
      </w:r>
      <w:r>
        <w:rPr>
          <w:rFonts w:asciiTheme="minorHAnsi" w:hAnsiTheme="minorHAnsi"/>
          <w:sz w:val="22"/>
        </w:rPr>
        <w:t>‘</w:t>
      </w:r>
      <w:r w:rsidR="00890CAB" w:rsidRPr="00140BF5">
        <w:rPr>
          <w:rFonts w:asciiTheme="minorHAnsi" w:hAnsiTheme="minorHAnsi"/>
          <w:sz w:val="22"/>
        </w:rPr>
        <w:t>The far-reaching implications of the Laval Quartet: the case of the UK living wage</w:t>
      </w:r>
      <w:r>
        <w:rPr>
          <w:rFonts w:asciiTheme="minorHAnsi" w:hAnsiTheme="minorHAnsi"/>
          <w:sz w:val="22"/>
        </w:rPr>
        <w:t>’,</w:t>
      </w:r>
      <w:r w:rsidR="00890CAB" w:rsidRPr="00140BF5">
        <w:rPr>
          <w:rFonts w:asciiTheme="minorHAnsi" w:hAnsiTheme="minorHAnsi"/>
          <w:sz w:val="22"/>
        </w:rPr>
        <w:t xml:space="preserve"> </w:t>
      </w:r>
      <w:r w:rsidR="00890CAB" w:rsidRPr="00140BF5">
        <w:rPr>
          <w:rFonts w:asciiTheme="minorHAnsi" w:hAnsiTheme="minorHAnsi"/>
          <w:i/>
          <w:sz w:val="22"/>
        </w:rPr>
        <w:t>Industrial Law Journal</w:t>
      </w:r>
      <w:r w:rsidR="00890CAB" w:rsidRPr="00140BF5">
        <w:rPr>
          <w:rFonts w:asciiTheme="minorHAnsi" w:hAnsiTheme="minorHAnsi"/>
          <w:sz w:val="22"/>
        </w:rPr>
        <w:t xml:space="preserve"> 43 (2): 91-121</w:t>
      </w:r>
      <w:r w:rsidR="00106496" w:rsidRPr="00140BF5">
        <w:rPr>
          <w:rFonts w:asciiTheme="minorHAnsi" w:hAnsiTheme="minorHAnsi"/>
          <w:sz w:val="22"/>
        </w:rPr>
        <w:t>.</w:t>
      </w:r>
    </w:p>
    <w:p w14:paraId="506990C5" w14:textId="19566957" w:rsidR="00373129" w:rsidRPr="00140BF5" w:rsidRDefault="00373129" w:rsidP="00373129">
      <w:pPr>
        <w:spacing w:after="0" w:line="480" w:lineRule="auto"/>
        <w:ind w:left="567" w:hanging="567"/>
        <w:jc w:val="both"/>
        <w:rPr>
          <w:rFonts w:eastAsia="Times New Roman" w:cs="Arial"/>
          <w:szCs w:val="20"/>
          <w:lang w:val="en-GB" w:eastAsia="en-GB"/>
        </w:rPr>
      </w:pPr>
      <w:r w:rsidRPr="00140BF5">
        <w:rPr>
          <w:rFonts w:eastAsia="Times New Roman" w:cs="Arial"/>
          <w:szCs w:val="20"/>
          <w:lang w:val="en-GB" w:eastAsia="en-GB"/>
        </w:rPr>
        <w:t>Ludlow</w:t>
      </w:r>
      <w:r w:rsidR="00AF4493">
        <w:rPr>
          <w:rFonts w:eastAsia="Times New Roman" w:cs="Arial"/>
          <w:szCs w:val="20"/>
          <w:lang w:val="en-GB" w:eastAsia="en-GB"/>
        </w:rPr>
        <w:t>,</w:t>
      </w:r>
      <w:r w:rsidRPr="00140BF5">
        <w:rPr>
          <w:rFonts w:eastAsia="Times New Roman" w:cs="Arial"/>
          <w:szCs w:val="20"/>
          <w:lang w:val="en-GB" w:eastAsia="en-GB"/>
        </w:rPr>
        <w:t xml:space="preserve"> A</w:t>
      </w:r>
      <w:r w:rsidR="00AF4493">
        <w:rPr>
          <w:rFonts w:eastAsia="Times New Roman" w:cs="Arial"/>
          <w:szCs w:val="20"/>
          <w:lang w:val="en-GB" w:eastAsia="en-GB"/>
        </w:rPr>
        <w:t>.</w:t>
      </w:r>
      <w:r w:rsidRPr="00140BF5">
        <w:rPr>
          <w:rFonts w:eastAsia="Times New Roman" w:cs="Arial"/>
          <w:szCs w:val="20"/>
          <w:lang w:val="en-GB" w:eastAsia="en-GB"/>
        </w:rPr>
        <w:t xml:space="preserve"> (2015) </w:t>
      </w:r>
      <w:r w:rsidRPr="00140BF5">
        <w:rPr>
          <w:rFonts w:eastAsia="Times New Roman" w:cs="Arial"/>
          <w:i/>
          <w:szCs w:val="20"/>
          <w:lang w:val="en-GB" w:eastAsia="en-GB"/>
        </w:rPr>
        <w:t>Privatising Public Prisons: Labour Law and the Public Procurement Process</w:t>
      </w:r>
      <w:r w:rsidR="00AF4493">
        <w:rPr>
          <w:rFonts w:eastAsia="Times New Roman" w:cs="Arial"/>
          <w:szCs w:val="20"/>
          <w:lang w:val="en-GB" w:eastAsia="en-GB"/>
        </w:rPr>
        <w:t>,</w:t>
      </w:r>
      <w:r w:rsidRPr="00140BF5">
        <w:rPr>
          <w:rFonts w:eastAsia="Times New Roman" w:cs="Arial"/>
          <w:szCs w:val="20"/>
          <w:lang w:val="en-GB" w:eastAsia="en-GB"/>
        </w:rPr>
        <w:t xml:space="preserve"> Oxford: Hart</w:t>
      </w:r>
      <w:r w:rsidR="00246B55" w:rsidRPr="00140BF5">
        <w:rPr>
          <w:rFonts w:eastAsia="Times New Roman" w:cs="Arial"/>
          <w:szCs w:val="20"/>
          <w:lang w:val="en-GB" w:eastAsia="en-GB"/>
        </w:rPr>
        <w:t xml:space="preserve"> Publishing</w:t>
      </w:r>
      <w:r w:rsidR="009E0E64" w:rsidRPr="00140BF5">
        <w:rPr>
          <w:rFonts w:eastAsia="Times New Roman" w:cs="Arial"/>
          <w:szCs w:val="20"/>
          <w:lang w:val="en-GB" w:eastAsia="en-GB"/>
        </w:rPr>
        <w:t>.</w:t>
      </w:r>
    </w:p>
    <w:p w14:paraId="7CE3BE17" w14:textId="073DF403" w:rsidR="009E0E64" w:rsidRPr="00140BF5" w:rsidRDefault="00106496" w:rsidP="009C3F7F">
      <w:pPr>
        <w:pStyle w:val="Bibliographicalreference"/>
        <w:spacing w:line="480" w:lineRule="auto"/>
        <w:jc w:val="both"/>
        <w:rPr>
          <w:rFonts w:asciiTheme="minorHAnsi" w:hAnsiTheme="minorHAnsi"/>
          <w:sz w:val="22"/>
        </w:rPr>
      </w:pPr>
      <w:r w:rsidRPr="00140BF5">
        <w:rPr>
          <w:rFonts w:asciiTheme="minorHAnsi" w:hAnsiTheme="minorHAnsi"/>
          <w:sz w:val="22"/>
        </w:rPr>
        <w:t>Mackenzie</w:t>
      </w:r>
      <w:r w:rsidR="009711EE">
        <w:rPr>
          <w:rFonts w:asciiTheme="minorHAnsi" w:hAnsiTheme="minorHAnsi"/>
          <w:sz w:val="22"/>
        </w:rPr>
        <w:t>,</w:t>
      </w:r>
      <w:r w:rsidRPr="00140BF5">
        <w:rPr>
          <w:rFonts w:asciiTheme="minorHAnsi" w:hAnsiTheme="minorHAnsi"/>
          <w:sz w:val="22"/>
        </w:rPr>
        <w:t xml:space="preserve"> R</w:t>
      </w:r>
      <w:r w:rsidR="009711EE">
        <w:rPr>
          <w:rFonts w:asciiTheme="minorHAnsi" w:hAnsiTheme="minorHAnsi"/>
          <w:sz w:val="22"/>
        </w:rPr>
        <w:t xml:space="preserve">. and </w:t>
      </w:r>
      <w:r w:rsidR="009E0E64" w:rsidRPr="00140BF5">
        <w:rPr>
          <w:rFonts w:asciiTheme="minorHAnsi" w:hAnsiTheme="minorHAnsi"/>
          <w:sz w:val="22"/>
        </w:rPr>
        <w:t>Martinez Lucio</w:t>
      </w:r>
      <w:r w:rsidR="009711EE">
        <w:rPr>
          <w:rFonts w:asciiTheme="minorHAnsi" w:hAnsiTheme="minorHAnsi"/>
          <w:sz w:val="22"/>
        </w:rPr>
        <w:t>,</w:t>
      </w:r>
      <w:r w:rsidR="009E0E64" w:rsidRPr="00140BF5">
        <w:rPr>
          <w:rFonts w:asciiTheme="minorHAnsi" w:hAnsiTheme="minorHAnsi"/>
          <w:sz w:val="22"/>
        </w:rPr>
        <w:t xml:space="preserve"> M</w:t>
      </w:r>
      <w:r w:rsidR="009711EE">
        <w:rPr>
          <w:rFonts w:asciiTheme="minorHAnsi" w:hAnsiTheme="minorHAnsi"/>
          <w:sz w:val="22"/>
        </w:rPr>
        <w:t>.</w:t>
      </w:r>
      <w:r w:rsidR="009E0E64" w:rsidRPr="00140BF5">
        <w:rPr>
          <w:rFonts w:asciiTheme="minorHAnsi" w:hAnsiTheme="minorHAnsi"/>
          <w:sz w:val="22"/>
        </w:rPr>
        <w:t xml:space="preserve"> (2005) </w:t>
      </w:r>
      <w:r w:rsidR="009711EE">
        <w:rPr>
          <w:rFonts w:asciiTheme="minorHAnsi" w:hAnsiTheme="minorHAnsi"/>
          <w:sz w:val="22"/>
        </w:rPr>
        <w:t>‘</w:t>
      </w:r>
      <w:r w:rsidR="009E0E64" w:rsidRPr="00140BF5">
        <w:rPr>
          <w:rFonts w:asciiTheme="minorHAnsi" w:hAnsiTheme="minorHAnsi"/>
          <w:sz w:val="22"/>
        </w:rPr>
        <w:t>The realities of regulatory change: Beyond the fetish of deregulation</w:t>
      </w:r>
      <w:r w:rsidR="009711EE">
        <w:rPr>
          <w:rFonts w:asciiTheme="minorHAnsi" w:hAnsiTheme="minorHAnsi"/>
          <w:sz w:val="22"/>
        </w:rPr>
        <w:t>’,</w:t>
      </w:r>
      <w:r w:rsidR="009E0E64" w:rsidRPr="00140BF5">
        <w:rPr>
          <w:rFonts w:asciiTheme="minorHAnsi" w:hAnsiTheme="minorHAnsi"/>
          <w:sz w:val="22"/>
        </w:rPr>
        <w:t xml:space="preserve"> </w:t>
      </w:r>
      <w:r w:rsidR="009E0E64" w:rsidRPr="00140BF5">
        <w:rPr>
          <w:rFonts w:asciiTheme="minorHAnsi" w:hAnsiTheme="minorHAnsi"/>
          <w:i/>
          <w:sz w:val="22"/>
        </w:rPr>
        <w:t>Sociology</w:t>
      </w:r>
      <w:r w:rsidR="009E0E64" w:rsidRPr="00140BF5">
        <w:rPr>
          <w:rFonts w:asciiTheme="minorHAnsi" w:hAnsiTheme="minorHAnsi"/>
          <w:sz w:val="22"/>
        </w:rPr>
        <w:t xml:space="preserve"> 39</w:t>
      </w:r>
      <w:r w:rsidR="00246B55" w:rsidRPr="00140BF5">
        <w:rPr>
          <w:rFonts w:asciiTheme="minorHAnsi" w:hAnsiTheme="minorHAnsi"/>
          <w:sz w:val="22"/>
        </w:rPr>
        <w:t xml:space="preserve"> </w:t>
      </w:r>
      <w:r w:rsidR="00323349">
        <w:rPr>
          <w:rFonts w:asciiTheme="minorHAnsi" w:hAnsiTheme="minorHAnsi"/>
          <w:sz w:val="22"/>
        </w:rPr>
        <w:t>(3): 499-</w:t>
      </w:r>
      <w:r w:rsidR="009E0E64" w:rsidRPr="00140BF5">
        <w:rPr>
          <w:rFonts w:asciiTheme="minorHAnsi" w:hAnsiTheme="minorHAnsi"/>
          <w:sz w:val="22"/>
        </w:rPr>
        <w:t xml:space="preserve">517. </w:t>
      </w:r>
    </w:p>
    <w:p w14:paraId="4800611B" w14:textId="43F04EE8" w:rsidR="00890CAB" w:rsidRPr="00140BF5" w:rsidRDefault="00890CAB" w:rsidP="009E0E64">
      <w:pPr>
        <w:pStyle w:val="Bibliographicalreference"/>
        <w:spacing w:before="0" w:line="480" w:lineRule="auto"/>
        <w:jc w:val="both"/>
        <w:rPr>
          <w:rFonts w:asciiTheme="minorHAnsi" w:hAnsiTheme="minorHAnsi"/>
          <w:sz w:val="22"/>
        </w:rPr>
      </w:pPr>
      <w:r w:rsidRPr="00140BF5">
        <w:rPr>
          <w:rFonts w:asciiTheme="minorHAnsi" w:hAnsiTheme="minorHAnsi"/>
          <w:sz w:val="22"/>
        </w:rPr>
        <w:t>McCrudden</w:t>
      </w:r>
      <w:r w:rsidR="009711EE">
        <w:rPr>
          <w:rFonts w:asciiTheme="minorHAnsi" w:hAnsiTheme="minorHAnsi"/>
          <w:sz w:val="22"/>
        </w:rPr>
        <w:t>,</w:t>
      </w:r>
      <w:r w:rsidRPr="00140BF5">
        <w:rPr>
          <w:rFonts w:asciiTheme="minorHAnsi" w:hAnsiTheme="minorHAnsi"/>
          <w:sz w:val="22"/>
        </w:rPr>
        <w:t xml:space="preserve"> C</w:t>
      </w:r>
      <w:r w:rsidR="009711EE">
        <w:rPr>
          <w:rFonts w:asciiTheme="minorHAnsi" w:hAnsiTheme="minorHAnsi"/>
          <w:sz w:val="22"/>
        </w:rPr>
        <w:t>.</w:t>
      </w:r>
      <w:r w:rsidRPr="00140BF5">
        <w:rPr>
          <w:rFonts w:asciiTheme="minorHAnsi" w:hAnsiTheme="minorHAnsi"/>
          <w:sz w:val="22"/>
        </w:rPr>
        <w:t xml:space="preserve"> (2007) </w:t>
      </w:r>
      <w:r w:rsidRPr="00140BF5">
        <w:rPr>
          <w:rFonts w:asciiTheme="minorHAnsi" w:hAnsiTheme="minorHAnsi"/>
          <w:i/>
          <w:sz w:val="22"/>
        </w:rPr>
        <w:t>Buying social justice</w:t>
      </w:r>
      <w:r w:rsidRPr="00140BF5">
        <w:rPr>
          <w:rFonts w:asciiTheme="minorHAnsi" w:hAnsiTheme="minorHAnsi"/>
          <w:sz w:val="22"/>
        </w:rPr>
        <w:t>. Oxford: Oxford University Press.</w:t>
      </w:r>
    </w:p>
    <w:p w14:paraId="519A2040" w14:textId="27D6A2F2" w:rsidR="00B32737" w:rsidRPr="00140BF5" w:rsidRDefault="006E12BF"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McCrudden</w:t>
      </w:r>
      <w:r w:rsidR="009711EE">
        <w:rPr>
          <w:rFonts w:asciiTheme="minorHAnsi" w:hAnsiTheme="minorHAnsi"/>
          <w:sz w:val="22"/>
        </w:rPr>
        <w:t>,</w:t>
      </w:r>
      <w:r w:rsidRPr="00140BF5">
        <w:rPr>
          <w:rFonts w:asciiTheme="minorHAnsi" w:hAnsiTheme="minorHAnsi"/>
          <w:sz w:val="22"/>
        </w:rPr>
        <w:t xml:space="preserve"> </w:t>
      </w:r>
      <w:r w:rsidR="00B32737" w:rsidRPr="00140BF5">
        <w:rPr>
          <w:rFonts w:asciiTheme="minorHAnsi" w:hAnsiTheme="minorHAnsi"/>
          <w:sz w:val="22"/>
        </w:rPr>
        <w:t>C</w:t>
      </w:r>
      <w:r w:rsidR="009711EE">
        <w:rPr>
          <w:rFonts w:asciiTheme="minorHAnsi" w:hAnsiTheme="minorHAnsi"/>
          <w:sz w:val="22"/>
        </w:rPr>
        <w:t>.</w:t>
      </w:r>
      <w:r w:rsidR="00B32737" w:rsidRPr="00140BF5">
        <w:rPr>
          <w:rFonts w:asciiTheme="minorHAnsi" w:hAnsiTheme="minorHAnsi"/>
          <w:sz w:val="22"/>
        </w:rPr>
        <w:t xml:space="preserve"> (</w:t>
      </w:r>
      <w:r w:rsidR="00122238" w:rsidRPr="00140BF5">
        <w:rPr>
          <w:rFonts w:asciiTheme="minorHAnsi" w:hAnsiTheme="minorHAnsi"/>
          <w:sz w:val="22"/>
        </w:rPr>
        <w:t>2011)</w:t>
      </w:r>
      <w:r w:rsidR="00B32737" w:rsidRPr="00140BF5">
        <w:rPr>
          <w:rFonts w:asciiTheme="minorHAnsi" w:hAnsiTheme="minorHAnsi"/>
          <w:sz w:val="22"/>
        </w:rPr>
        <w:t xml:space="preserve"> </w:t>
      </w:r>
      <w:r w:rsidR="009711EE">
        <w:rPr>
          <w:rFonts w:asciiTheme="minorHAnsi" w:hAnsiTheme="minorHAnsi"/>
          <w:sz w:val="22"/>
        </w:rPr>
        <w:t>‘</w:t>
      </w:r>
      <w:r w:rsidR="00B32737" w:rsidRPr="00140BF5">
        <w:rPr>
          <w:rFonts w:asciiTheme="minorHAnsi" w:hAnsiTheme="minorHAnsi"/>
          <w:sz w:val="22"/>
        </w:rPr>
        <w:t>The Rüffert Case and Public Procurement</w:t>
      </w:r>
      <w:r w:rsidR="009711EE">
        <w:rPr>
          <w:rFonts w:asciiTheme="minorHAnsi" w:hAnsiTheme="minorHAnsi"/>
          <w:sz w:val="22"/>
        </w:rPr>
        <w:t>’, i</w:t>
      </w:r>
      <w:r w:rsidR="00B32737" w:rsidRPr="00140BF5">
        <w:rPr>
          <w:rFonts w:asciiTheme="minorHAnsi" w:hAnsiTheme="minorHAnsi"/>
          <w:sz w:val="22"/>
        </w:rPr>
        <w:t>n: Cremona</w:t>
      </w:r>
      <w:r w:rsidR="009711EE">
        <w:rPr>
          <w:rFonts w:asciiTheme="minorHAnsi" w:hAnsiTheme="minorHAnsi"/>
          <w:sz w:val="22"/>
        </w:rPr>
        <w:t>,</w:t>
      </w:r>
      <w:r w:rsidR="00F102D3" w:rsidRPr="00140BF5">
        <w:rPr>
          <w:rFonts w:asciiTheme="minorHAnsi" w:hAnsiTheme="minorHAnsi"/>
          <w:sz w:val="22"/>
        </w:rPr>
        <w:t xml:space="preserve"> M.</w:t>
      </w:r>
      <w:r w:rsidR="00122238" w:rsidRPr="00140BF5">
        <w:rPr>
          <w:rFonts w:asciiTheme="minorHAnsi" w:hAnsiTheme="minorHAnsi"/>
          <w:sz w:val="22"/>
        </w:rPr>
        <w:t xml:space="preserve"> (ed.)</w:t>
      </w:r>
      <w:r w:rsidR="00B32737" w:rsidRPr="00140BF5">
        <w:rPr>
          <w:rFonts w:asciiTheme="minorHAnsi" w:hAnsiTheme="minorHAnsi"/>
          <w:sz w:val="22"/>
        </w:rPr>
        <w:t xml:space="preserve"> </w:t>
      </w:r>
      <w:r w:rsidR="00B32737" w:rsidRPr="00140BF5">
        <w:rPr>
          <w:rFonts w:asciiTheme="minorHAnsi" w:hAnsiTheme="minorHAnsi"/>
          <w:i/>
          <w:sz w:val="22"/>
        </w:rPr>
        <w:t>Market integration and public services in the European Union</w:t>
      </w:r>
      <w:r w:rsidR="00B32737" w:rsidRPr="00140BF5">
        <w:rPr>
          <w:rFonts w:asciiTheme="minorHAnsi" w:hAnsiTheme="minorHAnsi"/>
          <w:sz w:val="22"/>
        </w:rPr>
        <w:t xml:space="preserve">. Oxford: Oxford University Press, </w:t>
      </w:r>
      <w:r w:rsidR="009711EE">
        <w:rPr>
          <w:rFonts w:asciiTheme="minorHAnsi" w:hAnsiTheme="minorHAnsi"/>
          <w:sz w:val="22"/>
        </w:rPr>
        <w:t>pp 117-1</w:t>
      </w:r>
      <w:r w:rsidR="00B32737" w:rsidRPr="00140BF5">
        <w:rPr>
          <w:rFonts w:asciiTheme="minorHAnsi" w:hAnsiTheme="minorHAnsi"/>
          <w:sz w:val="22"/>
        </w:rPr>
        <w:t>48.</w:t>
      </w:r>
    </w:p>
    <w:p w14:paraId="20D4101E" w14:textId="0086F065" w:rsidR="00890CAB" w:rsidRPr="00140BF5" w:rsidRDefault="00704008"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Palier</w:t>
      </w:r>
      <w:r w:rsidR="009711EE">
        <w:rPr>
          <w:rFonts w:asciiTheme="minorHAnsi" w:hAnsiTheme="minorHAnsi"/>
          <w:sz w:val="22"/>
        </w:rPr>
        <w:t>,</w:t>
      </w:r>
      <w:r w:rsidRPr="00140BF5">
        <w:rPr>
          <w:rFonts w:asciiTheme="minorHAnsi" w:hAnsiTheme="minorHAnsi"/>
          <w:sz w:val="22"/>
        </w:rPr>
        <w:t xml:space="preserve"> B</w:t>
      </w:r>
      <w:r w:rsidR="009711EE">
        <w:rPr>
          <w:rFonts w:asciiTheme="minorHAnsi" w:hAnsiTheme="minorHAnsi"/>
          <w:sz w:val="22"/>
        </w:rPr>
        <w:t>. and</w:t>
      </w:r>
      <w:r w:rsidR="00106496" w:rsidRPr="00140BF5">
        <w:rPr>
          <w:rFonts w:asciiTheme="minorHAnsi" w:hAnsiTheme="minorHAnsi"/>
          <w:sz w:val="22"/>
        </w:rPr>
        <w:t xml:space="preserve"> </w:t>
      </w:r>
      <w:r w:rsidRPr="00140BF5">
        <w:rPr>
          <w:rFonts w:asciiTheme="minorHAnsi" w:hAnsiTheme="minorHAnsi"/>
          <w:sz w:val="22"/>
        </w:rPr>
        <w:t>T</w:t>
      </w:r>
      <w:r w:rsidR="009711EE">
        <w:rPr>
          <w:rFonts w:asciiTheme="minorHAnsi" w:hAnsiTheme="minorHAnsi"/>
          <w:sz w:val="22"/>
        </w:rPr>
        <w:t xml:space="preserve">helen, </w:t>
      </w:r>
      <w:r w:rsidR="00122238" w:rsidRPr="00140BF5">
        <w:rPr>
          <w:rFonts w:asciiTheme="minorHAnsi" w:hAnsiTheme="minorHAnsi"/>
          <w:sz w:val="22"/>
        </w:rPr>
        <w:t>K</w:t>
      </w:r>
      <w:r w:rsidR="009711EE">
        <w:rPr>
          <w:rFonts w:asciiTheme="minorHAnsi" w:hAnsiTheme="minorHAnsi"/>
          <w:sz w:val="22"/>
        </w:rPr>
        <w:t>.</w:t>
      </w:r>
      <w:r w:rsidR="00122238" w:rsidRPr="00140BF5">
        <w:rPr>
          <w:rFonts w:asciiTheme="minorHAnsi" w:hAnsiTheme="minorHAnsi"/>
          <w:sz w:val="22"/>
        </w:rPr>
        <w:t xml:space="preserve"> (2010)</w:t>
      </w:r>
      <w:r w:rsidRPr="00140BF5">
        <w:rPr>
          <w:rFonts w:asciiTheme="minorHAnsi" w:hAnsiTheme="minorHAnsi"/>
          <w:sz w:val="22"/>
        </w:rPr>
        <w:t xml:space="preserve"> </w:t>
      </w:r>
      <w:r w:rsidR="009711EE">
        <w:rPr>
          <w:rFonts w:asciiTheme="minorHAnsi" w:hAnsiTheme="minorHAnsi"/>
          <w:sz w:val="22"/>
        </w:rPr>
        <w:t>‘</w:t>
      </w:r>
      <w:r w:rsidRPr="00140BF5">
        <w:rPr>
          <w:rFonts w:asciiTheme="minorHAnsi" w:hAnsiTheme="minorHAnsi"/>
          <w:sz w:val="22"/>
        </w:rPr>
        <w:t>Institutionalizing Dualism: Complementarities and Change in France and Germany</w:t>
      </w:r>
      <w:r w:rsidR="009711EE">
        <w:rPr>
          <w:rFonts w:asciiTheme="minorHAnsi" w:hAnsiTheme="minorHAnsi"/>
          <w:sz w:val="22"/>
        </w:rPr>
        <w:t>’,</w:t>
      </w:r>
      <w:r w:rsidRPr="00140BF5">
        <w:rPr>
          <w:rFonts w:asciiTheme="minorHAnsi" w:hAnsiTheme="minorHAnsi"/>
          <w:sz w:val="22"/>
        </w:rPr>
        <w:t xml:space="preserve"> </w:t>
      </w:r>
      <w:r w:rsidRPr="00140BF5">
        <w:rPr>
          <w:rFonts w:asciiTheme="minorHAnsi" w:hAnsiTheme="minorHAnsi"/>
          <w:i/>
          <w:sz w:val="22"/>
        </w:rPr>
        <w:t>Politics and Society</w:t>
      </w:r>
      <w:r w:rsidRPr="00140BF5">
        <w:rPr>
          <w:rFonts w:asciiTheme="minorHAnsi" w:hAnsiTheme="minorHAnsi"/>
          <w:sz w:val="22"/>
        </w:rPr>
        <w:t xml:space="preserve"> 38</w:t>
      </w:r>
      <w:r w:rsidR="00106496" w:rsidRPr="00140BF5">
        <w:rPr>
          <w:rFonts w:asciiTheme="minorHAnsi" w:hAnsiTheme="minorHAnsi"/>
          <w:sz w:val="22"/>
        </w:rPr>
        <w:t xml:space="preserve"> (2)</w:t>
      </w:r>
      <w:r w:rsidRPr="00140BF5">
        <w:rPr>
          <w:rFonts w:asciiTheme="minorHAnsi" w:hAnsiTheme="minorHAnsi"/>
          <w:sz w:val="22"/>
        </w:rPr>
        <w:t>: 119-148</w:t>
      </w:r>
      <w:r w:rsidR="00122238" w:rsidRPr="00140BF5">
        <w:rPr>
          <w:rFonts w:asciiTheme="minorHAnsi" w:hAnsiTheme="minorHAnsi"/>
          <w:sz w:val="22"/>
        </w:rPr>
        <w:t>.</w:t>
      </w:r>
      <w:r w:rsidRPr="00140BF5">
        <w:rPr>
          <w:rFonts w:asciiTheme="minorHAnsi" w:hAnsiTheme="minorHAnsi"/>
          <w:sz w:val="22"/>
        </w:rPr>
        <w:t xml:space="preserve"> </w:t>
      </w:r>
    </w:p>
    <w:p w14:paraId="027B12B6" w14:textId="1762CB85" w:rsidR="00890CAB" w:rsidRPr="00140BF5" w:rsidRDefault="00617703"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lastRenderedPageBreak/>
        <w:t>Peters</w:t>
      </w:r>
      <w:r w:rsidR="009711EE">
        <w:rPr>
          <w:rFonts w:asciiTheme="minorHAnsi" w:hAnsiTheme="minorHAnsi"/>
          <w:sz w:val="22"/>
        </w:rPr>
        <w:t>,</w:t>
      </w:r>
      <w:r w:rsidR="00890CAB" w:rsidRPr="00140BF5">
        <w:rPr>
          <w:rFonts w:asciiTheme="minorHAnsi" w:hAnsiTheme="minorHAnsi"/>
          <w:sz w:val="22"/>
        </w:rPr>
        <w:t xml:space="preserve"> J</w:t>
      </w:r>
      <w:r w:rsidR="009711EE">
        <w:rPr>
          <w:rFonts w:asciiTheme="minorHAnsi" w:hAnsiTheme="minorHAnsi"/>
          <w:sz w:val="22"/>
        </w:rPr>
        <w:t>.</w:t>
      </w:r>
      <w:r w:rsidR="00890CAB" w:rsidRPr="00140BF5">
        <w:rPr>
          <w:rFonts w:asciiTheme="minorHAnsi" w:hAnsiTheme="minorHAnsi"/>
          <w:sz w:val="22"/>
        </w:rPr>
        <w:t xml:space="preserve"> (2012) </w:t>
      </w:r>
      <w:r w:rsidR="009711EE">
        <w:rPr>
          <w:rFonts w:asciiTheme="minorHAnsi" w:hAnsiTheme="minorHAnsi"/>
          <w:sz w:val="22"/>
        </w:rPr>
        <w:t>‘</w:t>
      </w:r>
      <w:r w:rsidR="00890CAB" w:rsidRPr="00140BF5">
        <w:rPr>
          <w:rFonts w:asciiTheme="minorHAnsi" w:hAnsiTheme="minorHAnsi"/>
          <w:sz w:val="22"/>
        </w:rPr>
        <w:t>Neoliberal convergence in North America and Western Europe: Fiscal austerity, privatization, and public sector reform</w:t>
      </w:r>
      <w:r w:rsidR="009711EE">
        <w:rPr>
          <w:rFonts w:asciiTheme="minorHAnsi" w:hAnsiTheme="minorHAnsi"/>
          <w:sz w:val="22"/>
        </w:rPr>
        <w:t>’,</w:t>
      </w:r>
      <w:r w:rsidR="00890CAB" w:rsidRPr="00140BF5">
        <w:rPr>
          <w:rFonts w:asciiTheme="minorHAnsi" w:hAnsiTheme="minorHAnsi"/>
          <w:sz w:val="22"/>
        </w:rPr>
        <w:t xml:space="preserve"> </w:t>
      </w:r>
      <w:r w:rsidR="00890CAB" w:rsidRPr="00140BF5">
        <w:rPr>
          <w:rFonts w:asciiTheme="minorHAnsi" w:hAnsiTheme="minorHAnsi"/>
          <w:i/>
          <w:sz w:val="22"/>
        </w:rPr>
        <w:t>Review of International Political Economy</w:t>
      </w:r>
      <w:r w:rsidR="00106496" w:rsidRPr="00140BF5">
        <w:rPr>
          <w:rFonts w:asciiTheme="minorHAnsi" w:hAnsiTheme="minorHAnsi"/>
          <w:sz w:val="22"/>
        </w:rPr>
        <w:t xml:space="preserve"> 19 (2):</w:t>
      </w:r>
      <w:r w:rsidR="00890CAB" w:rsidRPr="00140BF5">
        <w:rPr>
          <w:rFonts w:asciiTheme="minorHAnsi" w:hAnsiTheme="minorHAnsi"/>
          <w:sz w:val="22"/>
        </w:rPr>
        <w:t xml:space="preserve"> 208-235.</w:t>
      </w:r>
      <w:r w:rsidR="00DD2F27" w:rsidRPr="00140BF5">
        <w:rPr>
          <w:rFonts w:asciiTheme="minorHAnsi" w:hAnsiTheme="minorHAnsi"/>
          <w:sz w:val="22"/>
        </w:rPr>
        <w:t xml:space="preserve"> </w:t>
      </w:r>
    </w:p>
    <w:p w14:paraId="4689925B" w14:textId="61D9619D" w:rsidR="00373129" w:rsidRPr="00140BF5" w:rsidRDefault="00106496" w:rsidP="000C0834">
      <w:pPr>
        <w:pStyle w:val="Bibliographicalreference"/>
        <w:spacing w:line="480" w:lineRule="auto"/>
        <w:jc w:val="both"/>
        <w:rPr>
          <w:rFonts w:asciiTheme="minorHAnsi" w:hAnsiTheme="minorHAnsi"/>
          <w:sz w:val="22"/>
        </w:rPr>
      </w:pPr>
      <w:r w:rsidRPr="00140BF5">
        <w:rPr>
          <w:rFonts w:asciiTheme="minorHAnsi" w:hAnsiTheme="minorHAnsi"/>
          <w:sz w:val="22"/>
        </w:rPr>
        <w:t>Ravenswood</w:t>
      </w:r>
      <w:r w:rsidR="009711EE">
        <w:rPr>
          <w:rFonts w:asciiTheme="minorHAnsi" w:hAnsiTheme="minorHAnsi"/>
          <w:sz w:val="22"/>
        </w:rPr>
        <w:t>,</w:t>
      </w:r>
      <w:r w:rsidRPr="00140BF5">
        <w:rPr>
          <w:rFonts w:asciiTheme="minorHAnsi" w:hAnsiTheme="minorHAnsi"/>
          <w:sz w:val="22"/>
        </w:rPr>
        <w:t xml:space="preserve"> K</w:t>
      </w:r>
      <w:r w:rsidR="009711EE">
        <w:rPr>
          <w:rFonts w:asciiTheme="minorHAnsi" w:hAnsiTheme="minorHAnsi"/>
          <w:sz w:val="22"/>
        </w:rPr>
        <w:t>. and</w:t>
      </w:r>
      <w:r w:rsidRPr="00140BF5">
        <w:rPr>
          <w:rFonts w:asciiTheme="minorHAnsi" w:hAnsiTheme="minorHAnsi"/>
          <w:sz w:val="22"/>
        </w:rPr>
        <w:t xml:space="preserve"> </w:t>
      </w:r>
      <w:r w:rsidR="00373129" w:rsidRPr="00140BF5">
        <w:rPr>
          <w:rFonts w:asciiTheme="minorHAnsi" w:hAnsiTheme="minorHAnsi"/>
          <w:sz w:val="22"/>
        </w:rPr>
        <w:t>Kaine</w:t>
      </w:r>
      <w:r w:rsidR="009711EE">
        <w:rPr>
          <w:rFonts w:asciiTheme="minorHAnsi" w:hAnsiTheme="minorHAnsi"/>
          <w:sz w:val="22"/>
        </w:rPr>
        <w:t>,</w:t>
      </w:r>
      <w:r w:rsidR="00373129" w:rsidRPr="00140BF5">
        <w:rPr>
          <w:rFonts w:asciiTheme="minorHAnsi" w:hAnsiTheme="minorHAnsi"/>
          <w:sz w:val="22"/>
        </w:rPr>
        <w:t xml:space="preserve"> S</w:t>
      </w:r>
      <w:r w:rsidR="009711EE">
        <w:rPr>
          <w:rFonts w:asciiTheme="minorHAnsi" w:hAnsiTheme="minorHAnsi"/>
          <w:sz w:val="22"/>
        </w:rPr>
        <w:t>.</w:t>
      </w:r>
      <w:r w:rsidR="00373129" w:rsidRPr="00140BF5">
        <w:rPr>
          <w:rFonts w:asciiTheme="minorHAnsi" w:hAnsiTheme="minorHAnsi"/>
          <w:sz w:val="22"/>
        </w:rPr>
        <w:t xml:space="preserve"> (2015) </w:t>
      </w:r>
      <w:r w:rsidR="009711EE">
        <w:rPr>
          <w:rFonts w:asciiTheme="minorHAnsi" w:hAnsiTheme="minorHAnsi"/>
          <w:sz w:val="22"/>
        </w:rPr>
        <w:t>‘</w:t>
      </w:r>
      <w:r w:rsidR="00373129" w:rsidRPr="00140BF5">
        <w:rPr>
          <w:rFonts w:asciiTheme="minorHAnsi" w:hAnsiTheme="minorHAnsi"/>
          <w:sz w:val="22"/>
        </w:rPr>
        <w:t>The role of government in influencing labour conditions through the procurement of services: Some political challenges</w:t>
      </w:r>
      <w:r w:rsidR="009711EE">
        <w:rPr>
          <w:rFonts w:asciiTheme="minorHAnsi" w:hAnsiTheme="minorHAnsi"/>
          <w:sz w:val="22"/>
        </w:rPr>
        <w:t>’,</w:t>
      </w:r>
      <w:r w:rsidR="00373129" w:rsidRPr="00140BF5">
        <w:rPr>
          <w:rFonts w:asciiTheme="minorHAnsi" w:hAnsiTheme="minorHAnsi"/>
          <w:sz w:val="22"/>
        </w:rPr>
        <w:t xml:space="preserve"> </w:t>
      </w:r>
      <w:r w:rsidR="00373129" w:rsidRPr="009711EE">
        <w:rPr>
          <w:rFonts w:asciiTheme="minorHAnsi" w:hAnsiTheme="minorHAnsi"/>
          <w:i/>
          <w:sz w:val="22"/>
        </w:rPr>
        <w:t>Journal of Industrial Relations</w:t>
      </w:r>
      <w:r w:rsidR="00373129" w:rsidRPr="00140BF5">
        <w:rPr>
          <w:rFonts w:asciiTheme="minorHAnsi" w:hAnsiTheme="minorHAnsi"/>
          <w:sz w:val="22"/>
        </w:rPr>
        <w:t xml:space="preserve"> </w:t>
      </w:r>
      <w:r w:rsidR="009711EE">
        <w:rPr>
          <w:rFonts w:asciiTheme="minorHAnsi" w:hAnsiTheme="minorHAnsi"/>
          <w:sz w:val="22"/>
        </w:rPr>
        <w:t>57(4): 544-</w:t>
      </w:r>
      <w:r w:rsidR="00373129" w:rsidRPr="00140BF5">
        <w:rPr>
          <w:rFonts w:asciiTheme="minorHAnsi" w:hAnsiTheme="minorHAnsi"/>
          <w:sz w:val="22"/>
        </w:rPr>
        <w:t>562</w:t>
      </w:r>
      <w:r w:rsidRPr="00140BF5">
        <w:rPr>
          <w:rFonts w:asciiTheme="minorHAnsi" w:hAnsiTheme="minorHAnsi"/>
          <w:sz w:val="22"/>
        </w:rPr>
        <w:t>.</w:t>
      </w:r>
    </w:p>
    <w:p w14:paraId="26C0766B" w14:textId="1F2232CF" w:rsidR="00890CAB" w:rsidRPr="00140BF5" w:rsidRDefault="00890CAB"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Rödl</w:t>
      </w:r>
      <w:r w:rsidR="009711EE">
        <w:rPr>
          <w:rFonts w:asciiTheme="minorHAnsi" w:hAnsiTheme="minorHAnsi"/>
          <w:sz w:val="22"/>
        </w:rPr>
        <w:t>,</w:t>
      </w:r>
      <w:r w:rsidRPr="00140BF5">
        <w:rPr>
          <w:rFonts w:asciiTheme="minorHAnsi" w:hAnsiTheme="minorHAnsi"/>
          <w:sz w:val="22"/>
        </w:rPr>
        <w:t xml:space="preserve"> F</w:t>
      </w:r>
      <w:r w:rsidR="009711EE">
        <w:rPr>
          <w:rFonts w:asciiTheme="minorHAnsi" w:hAnsiTheme="minorHAnsi"/>
          <w:sz w:val="22"/>
        </w:rPr>
        <w:t>.</w:t>
      </w:r>
      <w:r w:rsidR="00617703" w:rsidRPr="00140BF5">
        <w:rPr>
          <w:rFonts w:asciiTheme="minorHAnsi" w:hAnsiTheme="minorHAnsi"/>
          <w:sz w:val="22"/>
        </w:rPr>
        <w:t xml:space="preserve"> (2009) </w:t>
      </w:r>
      <w:r w:rsidR="009711EE">
        <w:rPr>
          <w:rFonts w:asciiTheme="minorHAnsi" w:hAnsiTheme="minorHAnsi"/>
          <w:sz w:val="22"/>
        </w:rPr>
        <w:t>‘</w:t>
      </w:r>
      <w:r w:rsidRPr="00140BF5">
        <w:rPr>
          <w:rFonts w:asciiTheme="minorHAnsi" w:hAnsiTheme="minorHAnsi"/>
          <w:sz w:val="22"/>
        </w:rPr>
        <w:t>The ECJ’s Rüffert-judgement: a case for “undistorted” wage competition’</w:t>
      </w:r>
      <w:r w:rsidR="009711EE">
        <w:rPr>
          <w:rFonts w:asciiTheme="minorHAnsi" w:hAnsiTheme="minorHAnsi"/>
          <w:sz w:val="22"/>
        </w:rPr>
        <w:t>,</w:t>
      </w:r>
      <w:r w:rsidR="00DD2F27" w:rsidRPr="00140BF5">
        <w:rPr>
          <w:rFonts w:asciiTheme="minorHAnsi" w:hAnsiTheme="minorHAnsi"/>
          <w:i/>
          <w:sz w:val="22"/>
        </w:rPr>
        <w:t xml:space="preserve"> </w:t>
      </w:r>
      <w:r w:rsidRPr="00140BF5">
        <w:rPr>
          <w:rFonts w:asciiTheme="minorHAnsi" w:hAnsiTheme="minorHAnsi"/>
          <w:i/>
          <w:sz w:val="22"/>
        </w:rPr>
        <w:t>Harvard European Law Working Pape</w:t>
      </w:r>
      <w:r w:rsidRPr="00140BF5">
        <w:rPr>
          <w:rFonts w:asciiTheme="minorHAnsi" w:hAnsiTheme="minorHAnsi"/>
          <w:sz w:val="22"/>
        </w:rPr>
        <w:t>r</w:t>
      </w:r>
      <w:r w:rsidR="00617703" w:rsidRPr="00140BF5">
        <w:rPr>
          <w:rFonts w:asciiTheme="minorHAnsi" w:hAnsiTheme="minorHAnsi"/>
          <w:sz w:val="22"/>
        </w:rPr>
        <w:t xml:space="preserve"> 01/2009. </w:t>
      </w:r>
      <w:r w:rsidRPr="00140BF5">
        <w:rPr>
          <w:rFonts w:asciiTheme="minorHAnsi" w:hAnsiTheme="minorHAnsi"/>
          <w:sz w:val="22"/>
        </w:rPr>
        <w:t xml:space="preserve">Cambridge. </w:t>
      </w:r>
    </w:p>
    <w:p w14:paraId="408BAAAE" w14:textId="369D5E50" w:rsidR="009C3F7F" w:rsidRPr="00140BF5" w:rsidRDefault="009C3F7F"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Rueda</w:t>
      </w:r>
      <w:r w:rsidR="009711EE">
        <w:rPr>
          <w:rFonts w:asciiTheme="minorHAnsi" w:hAnsiTheme="minorHAnsi"/>
          <w:sz w:val="22"/>
        </w:rPr>
        <w:t>,</w:t>
      </w:r>
      <w:r w:rsidRPr="00140BF5">
        <w:rPr>
          <w:rFonts w:asciiTheme="minorHAnsi" w:hAnsiTheme="minorHAnsi"/>
          <w:sz w:val="22"/>
        </w:rPr>
        <w:t xml:space="preserve"> D</w:t>
      </w:r>
      <w:r w:rsidR="009711EE">
        <w:rPr>
          <w:rFonts w:asciiTheme="minorHAnsi" w:hAnsiTheme="minorHAnsi"/>
          <w:sz w:val="22"/>
        </w:rPr>
        <w:t>.</w:t>
      </w:r>
      <w:r w:rsidRPr="00140BF5">
        <w:rPr>
          <w:rFonts w:asciiTheme="minorHAnsi" w:hAnsiTheme="minorHAnsi"/>
          <w:sz w:val="22"/>
        </w:rPr>
        <w:t xml:space="preserve"> (2014) </w:t>
      </w:r>
      <w:r w:rsidR="009711EE">
        <w:rPr>
          <w:rFonts w:asciiTheme="minorHAnsi" w:hAnsiTheme="minorHAnsi"/>
          <w:sz w:val="22"/>
        </w:rPr>
        <w:t>‘</w:t>
      </w:r>
      <w:r w:rsidRPr="00140BF5">
        <w:rPr>
          <w:rFonts w:asciiTheme="minorHAnsi" w:hAnsiTheme="minorHAnsi"/>
          <w:sz w:val="22"/>
        </w:rPr>
        <w:t>Dualization, Crisis and the Welfare State</w:t>
      </w:r>
      <w:r w:rsidR="009711EE">
        <w:rPr>
          <w:rFonts w:asciiTheme="minorHAnsi" w:hAnsiTheme="minorHAnsi"/>
          <w:sz w:val="22"/>
        </w:rPr>
        <w:t>’,</w:t>
      </w:r>
      <w:r w:rsidRPr="00140BF5">
        <w:rPr>
          <w:rFonts w:asciiTheme="minorHAnsi" w:hAnsiTheme="minorHAnsi"/>
          <w:sz w:val="22"/>
        </w:rPr>
        <w:t xml:space="preserve"> </w:t>
      </w:r>
      <w:r w:rsidRPr="009711EE">
        <w:rPr>
          <w:rFonts w:asciiTheme="minorHAnsi" w:hAnsiTheme="minorHAnsi"/>
          <w:i/>
          <w:sz w:val="22"/>
        </w:rPr>
        <w:t>Socio-Economic Review</w:t>
      </w:r>
      <w:r w:rsidRPr="00140BF5">
        <w:rPr>
          <w:rFonts w:asciiTheme="minorHAnsi" w:hAnsiTheme="minorHAnsi"/>
          <w:sz w:val="22"/>
        </w:rPr>
        <w:t xml:space="preserve"> 12 (2): 381–407.</w:t>
      </w:r>
    </w:p>
    <w:p w14:paraId="491FBDD0" w14:textId="153E2521" w:rsidR="00890CAB" w:rsidRPr="00140BF5" w:rsidRDefault="00106496"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Sack</w:t>
      </w:r>
      <w:r w:rsidR="009711EE">
        <w:rPr>
          <w:rFonts w:asciiTheme="minorHAnsi" w:hAnsiTheme="minorHAnsi"/>
          <w:sz w:val="22"/>
        </w:rPr>
        <w:t>,</w:t>
      </w:r>
      <w:r w:rsidRPr="00140BF5">
        <w:rPr>
          <w:rFonts w:asciiTheme="minorHAnsi" w:hAnsiTheme="minorHAnsi"/>
          <w:sz w:val="22"/>
        </w:rPr>
        <w:t xml:space="preserve"> D</w:t>
      </w:r>
      <w:r w:rsidR="009711EE">
        <w:rPr>
          <w:rFonts w:asciiTheme="minorHAnsi" w:hAnsiTheme="minorHAnsi"/>
          <w:sz w:val="22"/>
        </w:rPr>
        <w:t>. and</w:t>
      </w:r>
      <w:r w:rsidRPr="00140BF5">
        <w:rPr>
          <w:rFonts w:asciiTheme="minorHAnsi" w:hAnsiTheme="minorHAnsi"/>
          <w:sz w:val="22"/>
        </w:rPr>
        <w:t xml:space="preserve"> </w:t>
      </w:r>
      <w:r w:rsidR="00890CAB" w:rsidRPr="00140BF5">
        <w:rPr>
          <w:rFonts w:asciiTheme="minorHAnsi" w:hAnsiTheme="minorHAnsi"/>
          <w:sz w:val="22"/>
        </w:rPr>
        <w:t>Sarter</w:t>
      </w:r>
      <w:r w:rsidR="009711EE">
        <w:rPr>
          <w:rFonts w:asciiTheme="minorHAnsi" w:hAnsiTheme="minorHAnsi"/>
          <w:sz w:val="22"/>
        </w:rPr>
        <w:t>,</w:t>
      </w:r>
      <w:r w:rsidR="00890CAB" w:rsidRPr="00140BF5">
        <w:rPr>
          <w:rFonts w:asciiTheme="minorHAnsi" w:hAnsiTheme="minorHAnsi"/>
          <w:sz w:val="22"/>
        </w:rPr>
        <w:t xml:space="preserve"> K</w:t>
      </w:r>
      <w:r w:rsidR="009711EE">
        <w:rPr>
          <w:rFonts w:asciiTheme="minorHAnsi" w:hAnsiTheme="minorHAnsi"/>
          <w:sz w:val="22"/>
        </w:rPr>
        <w:t>.</w:t>
      </w:r>
      <w:r w:rsidR="00890CAB" w:rsidRPr="00140BF5">
        <w:rPr>
          <w:rFonts w:asciiTheme="minorHAnsi" w:hAnsiTheme="minorHAnsi"/>
          <w:sz w:val="22"/>
        </w:rPr>
        <w:t xml:space="preserve"> (2016): </w:t>
      </w:r>
      <w:r w:rsidR="009711EE">
        <w:rPr>
          <w:rFonts w:asciiTheme="minorHAnsi" w:hAnsiTheme="minorHAnsi"/>
          <w:sz w:val="22"/>
        </w:rPr>
        <w:t>‘</w:t>
      </w:r>
      <w:r w:rsidR="00890CAB" w:rsidRPr="00140BF5">
        <w:rPr>
          <w:rFonts w:asciiTheme="minorHAnsi" w:hAnsiTheme="minorHAnsi"/>
          <w:sz w:val="22"/>
        </w:rPr>
        <w:t>Der Europäische Gerichtshof und die deutschen Bundesländer – Sozialpolitisierung und Rechtsunsicherheit</w:t>
      </w:r>
      <w:r w:rsidR="00617703" w:rsidRPr="00140BF5">
        <w:rPr>
          <w:rFonts w:asciiTheme="minorHAnsi" w:hAnsiTheme="minorHAnsi"/>
          <w:sz w:val="22"/>
        </w:rPr>
        <w:t xml:space="preserve"> im europäisierten Föderalismus</w:t>
      </w:r>
      <w:r w:rsidR="009711EE">
        <w:rPr>
          <w:rFonts w:asciiTheme="minorHAnsi" w:hAnsiTheme="minorHAnsi"/>
          <w:sz w:val="22"/>
        </w:rPr>
        <w:t>’, i</w:t>
      </w:r>
      <w:r w:rsidR="00890CAB" w:rsidRPr="00140BF5">
        <w:rPr>
          <w:rFonts w:asciiTheme="minorHAnsi" w:hAnsiTheme="minorHAnsi"/>
          <w:sz w:val="22"/>
        </w:rPr>
        <w:t>n</w:t>
      </w:r>
      <w:r w:rsidR="003E13B5" w:rsidRPr="00140BF5">
        <w:rPr>
          <w:rFonts w:asciiTheme="minorHAnsi" w:hAnsiTheme="minorHAnsi"/>
          <w:sz w:val="22"/>
        </w:rPr>
        <w:t>:</w:t>
      </w:r>
      <w:r w:rsidR="003D0CB7" w:rsidRPr="00140BF5">
        <w:rPr>
          <w:rFonts w:asciiTheme="minorHAnsi" w:hAnsiTheme="minorHAnsi"/>
          <w:sz w:val="22"/>
        </w:rPr>
        <w:t xml:space="preserve"> </w:t>
      </w:r>
      <w:r w:rsidR="00C831F4" w:rsidRPr="00140BF5">
        <w:rPr>
          <w:rFonts w:asciiTheme="minorHAnsi" w:hAnsiTheme="minorHAnsi"/>
          <w:sz w:val="22"/>
        </w:rPr>
        <w:t>Rehder</w:t>
      </w:r>
      <w:r w:rsidR="009711EE">
        <w:rPr>
          <w:rFonts w:asciiTheme="minorHAnsi" w:hAnsiTheme="minorHAnsi"/>
          <w:sz w:val="22"/>
        </w:rPr>
        <w:t>,</w:t>
      </w:r>
      <w:r w:rsidR="00C831F4" w:rsidRPr="00140BF5">
        <w:rPr>
          <w:rFonts w:asciiTheme="minorHAnsi" w:hAnsiTheme="minorHAnsi"/>
          <w:sz w:val="22"/>
        </w:rPr>
        <w:t xml:space="preserve"> B</w:t>
      </w:r>
      <w:r w:rsidR="009711EE">
        <w:rPr>
          <w:rFonts w:asciiTheme="minorHAnsi" w:hAnsiTheme="minorHAnsi"/>
          <w:sz w:val="22"/>
        </w:rPr>
        <w:t>. and</w:t>
      </w:r>
      <w:r w:rsidR="003E13B5" w:rsidRPr="00140BF5">
        <w:rPr>
          <w:rFonts w:asciiTheme="minorHAnsi" w:hAnsiTheme="minorHAnsi"/>
          <w:sz w:val="22"/>
        </w:rPr>
        <w:t xml:space="preserve"> </w:t>
      </w:r>
      <w:r w:rsidR="00C831F4" w:rsidRPr="00140BF5">
        <w:rPr>
          <w:rFonts w:asciiTheme="minorHAnsi" w:hAnsiTheme="minorHAnsi"/>
          <w:sz w:val="22"/>
        </w:rPr>
        <w:t>Schneider</w:t>
      </w:r>
      <w:r w:rsidR="009711EE">
        <w:rPr>
          <w:rFonts w:asciiTheme="minorHAnsi" w:hAnsiTheme="minorHAnsi"/>
          <w:sz w:val="22"/>
        </w:rPr>
        <w:t>,</w:t>
      </w:r>
      <w:r w:rsidR="00C831F4" w:rsidRPr="00140BF5">
        <w:rPr>
          <w:rFonts w:asciiTheme="minorHAnsi" w:hAnsiTheme="minorHAnsi"/>
          <w:sz w:val="22"/>
        </w:rPr>
        <w:t xml:space="preserve"> I</w:t>
      </w:r>
      <w:r w:rsidR="009711EE">
        <w:rPr>
          <w:rFonts w:asciiTheme="minorHAnsi" w:hAnsiTheme="minorHAnsi"/>
          <w:sz w:val="22"/>
        </w:rPr>
        <w:t>.</w:t>
      </w:r>
      <w:r w:rsidR="00C831F4" w:rsidRPr="00140BF5">
        <w:rPr>
          <w:rFonts w:asciiTheme="minorHAnsi" w:hAnsiTheme="minorHAnsi"/>
          <w:sz w:val="22"/>
        </w:rPr>
        <w:t xml:space="preserve"> (eds.</w:t>
      </w:r>
      <w:r w:rsidR="00122238" w:rsidRPr="00140BF5">
        <w:rPr>
          <w:rFonts w:asciiTheme="minorHAnsi" w:hAnsiTheme="minorHAnsi"/>
          <w:sz w:val="22"/>
        </w:rPr>
        <w:t>)</w:t>
      </w:r>
      <w:r w:rsidR="00C831F4" w:rsidRPr="00140BF5">
        <w:rPr>
          <w:rFonts w:asciiTheme="minorHAnsi" w:hAnsiTheme="minorHAnsi"/>
          <w:sz w:val="22"/>
        </w:rPr>
        <w:t xml:space="preserve"> </w:t>
      </w:r>
      <w:r w:rsidR="00C831F4" w:rsidRPr="00140BF5">
        <w:rPr>
          <w:rFonts w:asciiTheme="minorHAnsi" w:hAnsiTheme="minorHAnsi"/>
          <w:i/>
          <w:sz w:val="22"/>
        </w:rPr>
        <w:t>Gerichtsverbünde, Grundrechte und Politikfelder in Europa</w:t>
      </w:r>
      <w:r w:rsidR="00C831F4" w:rsidRPr="00140BF5">
        <w:rPr>
          <w:rFonts w:asciiTheme="minorHAnsi" w:hAnsiTheme="minorHAnsi"/>
          <w:sz w:val="22"/>
        </w:rPr>
        <w:t>. Baden-Baden: Nomos,</w:t>
      </w:r>
      <w:r w:rsidR="009711EE">
        <w:rPr>
          <w:rFonts w:asciiTheme="minorHAnsi" w:hAnsiTheme="minorHAnsi"/>
          <w:sz w:val="22"/>
        </w:rPr>
        <w:t xml:space="preserve"> pp.</w:t>
      </w:r>
      <w:r w:rsidR="00C831F4" w:rsidRPr="00140BF5">
        <w:rPr>
          <w:rFonts w:asciiTheme="minorHAnsi" w:hAnsiTheme="minorHAnsi"/>
          <w:sz w:val="22"/>
        </w:rPr>
        <w:t xml:space="preserve"> 343-366</w:t>
      </w:r>
      <w:r w:rsidR="00F102D3" w:rsidRPr="00140BF5">
        <w:rPr>
          <w:rFonts w:asciiTheme="minorHAnsi" w:hAnsiTheme="minorHAnsi"/>
          <w:sz w:val="22"/>
        </w:rPr>
        <w:t>.</w:t>
      </w:r>
    </w:p>
    <w:p w14:paraId="61C19DEA" w14:textId="0C6F08A4" w:rsidR="00890CAB" w:rsidRPr="00140BF5" w:rsidRDefault="00890CAB" w:rsidP="0011084D">
      <w:pPr>
        <w:pStyle w:val="Bibliographicalreference"/>
        <w:spacing w:before="0" w:line="480" w:lineRule="auto"/>
        <w:jc w:val="both"/>
        <w:rPr>
          <w:rFonts w:asciiTheme="minorHAnsi" w:hAnsiTheme="minorHAnsi"/>
          <w:noProof/>
          <w:sz w:val="22"/>
          <w:szCs w:val="20"/>
        </w:rPr>
      </w:pPr>
      <w:r w:rsidRPr="00140BF5">
        <w:rPr>
          <w:rFonts w:asciiTheme="minorHAnsi" w:hAnsiTheme="minorHAnsi"/>
          <w:noProof/>
          <w:sz w:val="22"/>
          <w:szCs w:val="20"/>
        </w:rPr>
        <w:t>Schulten</w:t>
      </w:r>
      <w:r w:rsidR="009711EE">
        <w:rPr>
          <w:rFonts w:asciiTheme="minorHAnsi" w:hAnsiTheme="minorHAnsi"/>
          <w:noProof/>
          <w:sz w:val="22"/>
          <w:szCs w:val="20"/>
        </w:rPr>
        <w:t>,</w:t>
      </w:r>
      <w:r w:rsidRPr="00140BF5">
        <w:rPr>
          <w:rFonts w:asciiTheme="minorHAnsi" w:hAnsiTheme="minorHAnsi"/>
          <w:noProof/>
          <w:sz w:val="22"/>
          <w:szCs w:val="20"/>
        </w:rPr>
        <w:t xml:space="preserve"> T</w:t>
      </w:r>
      <w:r w:rsidR="009711EE">
        <w:rPr>
          <w:rFonts w:asciiTheme="minorHAnsi" w:hAnsiTheme="minorHAnsi"/>
          <w:noProof/>
          <w:sz w:val="22"/>
          <w:szCs w:val="20"/>
        </w:rPr>
        <w:t>. and</w:t>
      </w:r>
      <w:r w:rsidR="00106496" w:rsidRPr="00140BF5">
        <w:rPr>
          <w:rFonts w:asciiTheme="minorHAnsi" w:hAnsiTheme="minorHAnsi"/>
          <w:noProof/>
          <w:sz w:val="22"/>
          <w:szCs w:val="20"/>
        </w:rPr>
        <w:t xml:space="preserve"> </w:t>
      </w:r>
      <w:r w:rsidR="00122238" w:rsidRPr="00140BF5">
        <w:rPr>
          <w:rFonts w:asciiTheme="minorHAnsi" w:hAnsiTheme="minorHAnsi"/>
          <w:noProof/>
          <w:sz w:val="22"/>
          <w:szCs w:val="20"/>
        </w:rPr>
        <w:t>Schulze-Buschoff</w:t>
      </w:r>
      <w:r w:rsidR="009711EE">
        <w:rPr>
          <w:rFonts w:asciiTheme="minorHAnsi" w:hAnsiTheme="minorHAnsi"/>
          <w:noProof/>
          <w:sz w:val="22"/>
          <w:szCs w:val="20"/>
        </w:rPr>
        <w:t>,</w:t>
      </w:r>
      <w:r w:rsidRPr="00140BF5">
        <w:rPr>
          <w:rFonts w:asciiTheme="minorHAnsi" w:hAnsiTheme="minorHAnsi"/>
          <w:noProof/>
          <w:sz w:val="22"/>
          <w:szCs w:val="20"/>
        </w:rPr>
        <w:t xml:space="preserve"> K</w:t>
      </w:r>
      <w:r w:rsidR="009711EE">
        <w:rPr>
          <w:rFonts w:asciiTheme="minorHAnsi" w:hAnsiTheme="minorHAnsi"/>
          <w:noProof/>
          <w:sz w:val="22"/>
          <w:szCs w:val="20"/>
        </w:rPr>
        <w:t>.</w:t>
      </w:r>
      <w:r w:rsidRPr="00140BF5">
        <w:rPr>
          <w:rFonts w:asciiTheme="minorHAnsi" w:hAnsiTheme="minorHAnsi"/>
          <w:noProof/>
          <w:sz w:val="22"/>
          <w:szCs w:val="20"/>
        </w:rPr>
        <w:t xml:space="preserve"> (2015) </w:t>
      </w:r>
      <w:r w:rsidR="009711EE">
        <w:rPr>
          <w:rFonts w:asciiTheme="minorHAnsi" w:hAnsiTheme="minorHAnsi"/>
          <w:noProof/>
          <w:sz w:val="22"/>
          <w:szCs w:val="20"/>
        </w:rPr>
        <w:t>‘</w:t>
      </w:r>
      <w:r w:rsidRPr="00140BF5">
        <w:rPr>
          <w:rFonts w:asciiTheme="minorHAnsi" w:hAnsiTheme="minorHAnsi"/>
          <w:noProof/>
          <w:sz w:val="22"/>
          <w:szCs w:val="20"/>
        </w:rPr>
        <w:t>Sector-level strategies against precarious employment in Germany: Evidence from construction, commercial cleaning, hospitals and temporary agency work</w:t>
      </w:r>
      <w:r w:rsidR="009711EE">
        <w:rPr>
          <w:rFonts w:asciiTheme="minorHAnsi" w:hAnsiTheme="minorHAnsi"/>
          <w:noProof/>
          <w:sz w:val="22"/>
          <w:szCs w:val="20"/>
        </w:rPr>
        <w:t>’</w:t>
      </w:r>
      <w:r w:rsidRPr="00140BF5">
        <w:rPr>
          <w:rFonts w:asciiTheme="minorHAnsi" w:hAnsiTheme="minorHAnsi"/>
          <w:noProof/>
          <w:sz w:val="22"/>
          <w:szCs w:val="20"/>
        </w:rPr>
        <w:t xml:space="preserve">. </w:t>
      </w:r>
      <w:r w:rsidRPr="00140BF5">
        <w:rPr>
          <w:rFonts w:asciiTheme="minorHAnsi" w:hAnsiTheme="minorHAnsi"/>
          <w:i/>
          <w:noProof/>
          <w:sz w:val="22"/>
          <w:szCs w:val="20"/>
        </w:rPr>
        <w:t>WSI-Diskussionspapier</w:t>
      </w:r>
      <w:r w:rsidR="00617703" w:rsidRPr="00140BF5">
        <w:rPr>
          <w:rFonts w:asciiTheme="minorHAnsi" w:hAnsiTheme="minorHAnsi"/>
          <w:noProof/>
          <w:sz w:val="22"/>
          <w:szCs w:val="20"/>
        </w:rPr>
        <w:t xml:space="preserve"> </w:t>
      </w:r>
      <w:r w:rsidR="00146BFF" w:rsidRPr="00140BF5">
        <w:rPr>
          <w:rFonts w:asciiTheme="minorHAnsi" w:hAnsiTheme="minorHAnsi"/>
          <w:noProof/>
          <w:sz w:val="22"/>
          <w:szCs w:val="20"/>
        </w:rPr>
        <w:t xml:space="preserve">No. 197. </w:t>
      </w:r>
      <w:r w:rsidR="00617703" w:rsidRPr="00140BF5">
        <w:rPr>
          <w:rFonts w:asciiTheme="minorHAnsi" w:hAnsiTheme="minorHAnsi"/>
          <w:noProof/>
          <w:sz w:val="22"/>
          <w:szCs w:val="20"/>
        </w:rPr>
        <w:t>Düsseldorf: WSI</w:t>
      </w:r>
      <w:r w:rsidR="00106496" w:rsidRPr="00140BF5">
        <w:rPr>
          <w:rFonts w:asciiTheme="minorHAnsi" w:hAnsiTheme="minorHAnsi"/>
          <w:noProof/>
          <w:sz w:val="22"/>
          <w:szCs w:val="20"/>
        </w:rPr>
        <w:t>.</w:t>
      </w:r>
    </w:p>
    <w:p w14:paraId="5BD4138A" w14:textId="0044D944" w:rsidR="00890CAB" w:rsidRPr="00140BF5" w:rsidRDefault="00890CAB"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Schulten</w:t>
      </w:r>
      <w:r w:rsidR="009711EE">
        <w:rPr>
          <w:rFonts w:asciiTheme="minorHAnsi" w:hAnsiTheme="minorHAnsi"/>
          <w:sz w:val="22"/>
        </w:rPr>
        <w:t>,</w:t>
      </w:r>
      <w:r w:rsidRPr="00140BF5">
        <w:rPr>
          <w:rFonts w:asciiTheme="minorHAnsi" w:hAnsiTheme="minorHAnsi"/>
          <w:sz w:val="22"/>
        </w:rPr>
        <w:t xml:space="preserve"> T</w:t>
      </w:r>
      <w:r w:rsidR="009711EE">
        <w:rPr>
          <w:rFonts w:asciiTheme="minorHAnsi" w:hAnsiTheme="minorHAnsi"/>
          <w:sz w:val="22"/>
        </w:rPr>
        <w:t xml:space="preserve">., </w:t>
      </w:r>
      <w:r w:rsidRPr="00140BF5">
        <w:rPr>
          <w:rFonts w:asciiTheme="minorHAnsi" w:hAnsiTheme="minorHAnsi"/>
          <w:sz w:val="22"/>
        </w:rPr>
        <w:t>Alsos</w:t>
      </w:r>
      <w:r w:rsidR="009711EE">
        <w:rPr>
          <w:rFonts w:asciiTheme="minorHAnsi" w:hAnsiTheme="minorHAnsi"/>
          <w:sz w:val="22"/>
        </w:rPr>
        <w:t>,</w:t>
      </w:r>
      <w:r w:rsidRPr="00140BF5">
        <w:rPr>
          <w:rFonts w:asciiTheme="minorHAnsi" w:hAnsiTheme="minorHAnsi"/>
          <w:sz w:val="22"/>
        </w:rPr>
        <w:t xml:space="preserve"> K</w:t>
      </w:r>
      <w:r w:rsidR="009711EE">
        <w:rPr>
          <w:rFonts w:asciiTheme="minorHAnsi" w:hAnsiTheme="minorHAnsi"/>
          <w:sz w:val="22"/>
        </w:rPr>
        <w:t>.</w:t>
      </w:r>
      <w:r w:rsidRPr="00140BF5">
        <w:rPr>
          <w:rFonts w:asciiTheme="minorHAnsi" w:hAnsiTheme="minorHAnsi"/>
          <w:sz w:val="22"/>
        </w:rPr>
        <w:t xml:space="preserve">, </w:t>
      </w:r>
      <w:r w:rsidR="00122238" w:rsidRPr="00140BF5">
        <w:rPr>
          <w:rFonts w:asciiTheme="minorHAnsi" w:hAnsiTheme="minorHAnsi"/>
          <w:sz w:val="22"/>
        </w:rPr>
        <w:t>Burgess</w:t>
      </w:r>
      <w:r w:rsidR="009711EE">
        <w:rPr>
          <w:rFonts w:asciiTheme="minorHAnsi" w:hAnsiTheme="minorHAnsi"/>
          <w:sz w:val="22"/>
        </w:rPr>
        <w:t>,</w:t>
      </w:r>
      <w:r w:rsidR="00122238" w:rsidRPr="00140BF5">
        <w:rPr>
          <w:rFonts w:asciiTheme="minorHAnsi" w:hAnsiTheme="minorHAnsi"/>
          <w:sz w:val="22"/>
        </w:rPr>
        <w:t xml:space="preserve"> P</w:t>
      </w:r>
      <w:r w:rsidR="009711EE">
        <w:rPr>
          <w:rFonts w:asciiTheme="minorHAnsi" w:hAnsiTheme="minorHAnsi"/>
          <w:sz w:val="22"/>
        </w:rPr>
        <w:t>.</w:t>
      </w:r>
      <w:r w:rsidRPr="00140BF5">
        <w:rPr>
          <w:rFonts w:asciiTheme="minorHAnsi" w:hAnsiTheme="minorHAnsi"/>
          <w:sz w:val="22"/>
        </w:rPr>
        <w:t xml:space="preserve"> </w:t>
      </w:r>
      <w:r w:rsidR="00117061" w:rsidRPr="00140BF5">
        <w:rPr>
          <w:rFonts w:asciiTheme="minorHAnsi" w:hAnsiTheme="minorHAnsi"/>
          <w:sz w:val="22"/>
        </w:rPr>
        <w:t xml:space="preserve">and </w:t>
      </w:r>
      <w:r w:rsidR="00122238" w:rsidRPr="00140BF5">
        <w:rPr>
          <w:rFonts w:asciiTheme="minorHAnsi" w:hAnsiTheme="minorHAnsi"/>
          <w:sz w:val="22"/>
        </w:rPr>
        <w:t>Pedersen</w:t>
      </w:r>
      <w:r w:rsidR="009711EE">
        <w:rPr>
          <w:rFonts w:asciiTheme="minorHAnsi" w:hAnsiTheme="minorHAnsi"/>
          <w:sz w:val="22"/>
        </w:rPr>
        <w:t>,</w:t>
      </w:r>
      <w:r w:rsidR="00122238" w:rsidRPr="00140BF5">
        <w:rPr>
          <w:rFonts w:asciiTheme="minorHAnsi" w:hAnsiTheme="minorHAnsi"/>
          <w:sz w:val="22"/>
        </w:rPr>
        <w:t xml:space="preserve"> K</w:t>
      </w:r>
      <w:r w:rsidR="009711EE">
        <w:rPr>
          <w:rFonts w:asciiTheme="minorHAnsi" w:hAnsiTheme="minorHAnsi"/>
          <w:sz w:val="22"/>
        </w:rPr>
        <w:t>.</w:t>
      </w:r>
      <w:r w:rsidR="00122238" w:rsidRPr="00140BF5">
        <w:rPr>
          <w:rFonts w:asciiTheme="minorHAnsi" w:hAnsiTheme="minorHAnsi"/>
          <w:sz w:val="22"/>
        </w:rPr>
        <w:t xml:space="preserve"> </w:t>
      </w:r>
      <w:r w:rsidRPr="00140BF5">
        <w:rPr>
          <w:rFonts w:asciiTheme="minorHAnsi" w:hAnsiTheme="minorHAnsi"/>
          <w:sz w:val="22"/>
        </w:rPr>
        <w:t>(2012</w:t>
      </w:r>
      <w:r w:rsidRPr="00140BF5">
        <w:rPr>
          <w:rFonts w:asciiTheme="minorHAnsi" w:hAnsiTheme="minorHAnsi"/>
          <w:i/>
          <w:sz w:val="22"/>
        </w:rPr>
        <w:t>) Pay and other social clauses in European public procurement</w:t>
      </w:r>
      <w:r w:rsidRPr="00140BF5">
        <w:rPr>
          <w:rFonts w:asciiTheme="minorHAnsi" w:hAnsiTheme="minorHAnsi"/>
          <w:sz w:val="22"/>
        </w:rPr>
        <w:t>.</w:t>
      </w:r>
      <w:r w:rsidR="003E13B5" w:rsidRPr="00140BF5">
        <w:rPr>
          <w:rFonts w:asciiTheme="minorHAnsi" w:hAnsiTheme="minorHAnsi"/>
          <w:sz w:val="22"/>
        </w:rPr>
        <w:t xml:space="preserve"> </w:t>
      </w:r>
      <w:r w:rsidRPr="00140BF5">
        <w:rPr>
          <w:rFonts w:asciiTheme="minorHAnsi" w:hAnsiTheme="minorHAnsi"/>
          <w:sz w:val="22"/>
        </w:rPr>
        <w:t>Düsseldorf</w:t>
      </w:r>
      <w:r w:rsidR="003E13B5" w:rsidRPr="00140BF5">
        <w:rPr>
          <w:rFonts w:asciiTheme="minorHAnsi" w:hAnsiTheme="minorHAnsi"/>
          <w:sz w:val="22"/>
        </w:rPr>
        <w:t>:</w:t>
      </w:r>
      <w:r w:rsidR="00E25188" w:rsidRPr="00140BF5">
        <w:rPr>
          <w:rFonts w:asciiTheme="minorHAnsi" w:hAnsiTheme="minorHAnsi"/>
          <w:sz w:val="22"/>
        </w:rPr>
        <w:t xml:space="preserve"> </w:t>
      </w:r>
      <w:r w:rsidR="003E13B5" w:rsidRPr="00140BF5">
        <w:rPr>
          <w:rFonts w:asciiTheme="minorHAnsi" w:hAnsiTheme="minorHAnsi"/>
          <w:sz w:val="22"/>
        </w:rPr>
        <w:t>WSI</w:t>
      </w:r>
      <w:r w:rsidRPr="00140BF5">
        <w:rPr>
          <w:rFonts w:asciiTheme="minorHAnsi" w:hAnsiTheme="minorHAnsi"/>
          <w:sz w:val="22"/>
        </w:rPr>
        <w:t>.</w:t>
      </w:r>
    </w:p>
    <w:p w14:paraId="4C862F01" w14:textId="446D4303" w:rsidR="00890CAB" w:rsidRPr="00140BF5" w:rsidRDefault="00890CAB"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Vrangbæk</w:t>
      </w:r>
      <w:r w:rsidR="009711EE">
        <w:rPr>
          <w:rFonts w:asciiTheme="minorHAnsi" w:hAnsiTheme="minorHAnsi"/>
          <w:sz w:val="22"/>
        </w:rPr>
        <w:t>,</w:t>
      </w:r>
      <w:r w:rsidRPr="00140BF5">
        <w:rPr>
          <w:rFonts w:asciiTheme="minorHAnsi" w:hAnsiTheme="minorHAnsi"/>
          <w:sz w:val="22"/>
        </w:rPr>
        <w:t xml:space="preserve"> K</w:t>
      </w:r>
      <w:r w:rsidR="009711EE">
        <w:rPr>
          <w:rFonts w:asciiTheme="minorHAnsi" w:hAnsiTheme="minorHAnsi"/>
          <w:sz w:val="22"/>
        </w:rPr>
        <w:t>.</w:t>
      </w:r>
      <w:r w:rsidRPr="00140BF5">
        <w:rPr>
          <w:rFonts w:asciiTheme="minorHAnsi" w:hAnsiTheme="minorHAnsi"/>
          <w:sz w:val="22"/>
        </w:rPr>
        <w:t>, Petersen</w:t>
      </w:r>
      <w:r w:rsidR="009711EE">
        <w:rPr>
          <w:rFonts w:asciiTheme="minorHAnsi" w:hAnsiTheme="minorHAnsi"/>
          <w:sz w:val="22"/>
        </w:rPr>
        <w:t>,</w:t>
      </w:r>
      <w:r w:rsidRPr="00140BF5">
        <w:rPr>
          <w:rFonts w:asciiTheme="minorHAnsi" w:hAnsiTheme="minorHAnsi"/>
          <w:sz w:val="22"/>
        </w:rPr>
        <w:t xml:space="preserve"> O</w:t>
      </w:r>
      <w:r w:rsidR="009711EE">
        <w:rPr>
          <w:rFonts w:asciiTheme="minorHAnsi" w:hAnsiTheme="minorHAnsi"/>
          <w:sz w:val="22"/>
        </w:rPr>
        <w:t>. and</w:t>
      </w:r>
      <w:r w:rsidRPr="00140BF5">
        <w:rPr>
          <w:rFonts w:asciiTheme="minorHAnsi" w:hAnsiTheme="minorHAnsi"/>
          <w:sz w:val="22"/>
        </w:rPr>
        <w:t xml:space="preserve"> Hjelmar</w:t>
      </w:r>
      <w:r w:rsidR="009711EE">
        <w:rPr>
          <w:rFonts w:asciiTheme="minorHAnsi" w:hAnsiTheme="minorHAnsi"/>
          <w:sz w:val="22"/>
        </w:rPr>
        <w:t>,</w:t>
      </w:r>
      <w:r w:rsidRPr="00140BF5">
        <w:rPr>
          <w:rFonts w:asciiTheme="minorHAnsi" w:hAnsiTheme="minorHAnsi"/>
          <w:sz w:val="22"/>
        </w:rPr>
        <w:t xml:space="preserve"> U</w:t>
      </w:r>
      <w:r w:rsidR="00DD2F27" w:rsidRPr="00140BF5">
        <w:rPr>
          <w:rFonts w:asciiTheme="minorHAnsi" w:hAnsiTheme="minorHAnsi"/>
          <w:sz w:val="22"/>
        </w:rPr>
        <w:t>.</w:t>
      </w:r>
      <w:r w:rsidRPr="00140BF5">
        <w:rPr>
          <w:rFonts w:asciiTheme="minorHAnsi" w:hAnsiTheme="minorHAnsi"/>
          <w:sz w:val="22"/>
        </w:rPr>
        <w:t xml:space="preserve"> (2015) </w:t>
      </w:r>
      <w:r w:rsidR="009711EE">
        <w:rPr>
          <w:rFonts w:asciiTheme="minorHAnsi" w:hAnsiTheme="minorHAnsi"/>
          <w:sz w:val="22"/>
        </w:rPr>
        <w:t>‘</w:t>
      </w:r>
      <w:r w:rsidRPr="00140BF5">
        <w:rPr>
          <w:rFonts w:asciiTheme="minorHAnsi" w:hAnsiTheme="minorHAnsi"/>
          <w:sz w:val="22"/>
        </w:rPr>
        <w:t xml:space="preserve">Is contracting out good or bad for employees? </w:t>
      </w:r>
      <w:r w:rsidR="003E13B5" w:rsidRPr="00140BF5">
        <w:rPr>
          <w:rFonts w:asciiTheme="minorHAnsi" w:hAnsiTheme="minorHAnsi"/>
          <w:sz w:val="22"/>
        </w:rPr>
        <w:t>A</w:t>
      </w:r>
      <w:r w:rsidRPr="00140BF5">
        <w:rPr>
          <w:rFonts w:asciiTheme="minorHAnsi" w:hAnsiTheme="minorHAnsi"/>
          <w:sz w:val="22"/>
        </w:rPr>
        <w:t xml:space="preserve"> review of international experience</w:t>
      </w:r>
      <w:r w:rsidR="009711EE">
        <w:rPr>
          <w:rFonts w:asciiTheme="minorHAnsi" w:hAnsiTheme="minorHAnsi"/>
          <w:sz w:val="22"/>
        </w:rPr>
        <w:t>’,</w:t>
      </w:r>
      <w:r w:rsidRPr="00140BF5">
        <w:rPr>
          <w:rFonts w:asciiTheme="minorHAnsi" w:hAnsiTheme="minorHAnsi"/>
          <w:sz w:val="22"/>
        </w:rPr>
        <w:t xml:space="preserve"> </w:t>
      </w:r>
      <w:r w:rsidRPr="00140BF5">
        <w:rPr>
          <w:rFonts w:asciiTheme="minorHAnsi" w:hAnsiTheme="minorHAnsi"/>
          <w:i/>
          <w:sz w:val="22"/>
        </w:rPr>
        <w:t>Review of Public Personnel Administration</w:t>
      </w:r>
      <w:r w:rsidRPr="00140BF5">
        <w:rPr>
          <w:rFonts w:asciiTheme="minorHAnsi" w:hAnsiTheme="minorHAnsi"/>
          <w:sz w:val="22"/>
        </w:rPr>
        <w:t xml:space="preserve"> 35(1)</w:t>
      </w:r>
      <w:r w:rsidR="00106496" w:rsidRPr="00140BF5">
        <w:rPr>
          <w:rFonts w:asciiTheme="minorHAnsi" w:hAnsiTheme="minorHAnsi"/>
          <w:sz w:val="22"/>
        </w:rPr>
        <w:t>:</w:t>
      </w:r>
      <w:r w:rsidR="00323349">
        <w:rPr>
          <w:rFonts w:asciiTheme="minorHAnsi" w:hAnsiTheme="minorHAnsi"/>
          <w:sz w:val="22"/>
        </w:rPr>
        <w:t xml:space="preserve"> 3-</w:t>
      </w:r>
      <w:r w:rsidRPr="00140BF5">
        <w:rPr>
          <w:rFonts w:asciiTheme="minorHAnsi" w:hAnsiTheme="minorHAnsi"/>
          <w:sz w:val="22"/>
        </w:rPr>
        <w:t>23.</w:t>
      </w:r>
    </w:p>
    <w:p w14:paraId="12DE8EF2" w14:textId="5DB19330" w:rsidR="006718E7" w:rsidRPr="00140BF5" w:rsidRDefault="006718E7" w:rsidP="009711EE">
      <w:pPr>
        <w:pStyle w:val="Bibliographicalreference"/>
        <w:spacing w:line="480" w:lineRule="auto"/>
        <w:jc w:val="both"/>
        <w:rPr>
          <w:rFonts w:asciiTheme="minorHAnsi" w:hAnsiTheme="minorHAnsi"/>
          <w:sz w:val="22"/>
        </w:rPr>
      </w:pPr>
      <w:r w:rsidRPr="00140BF5">
        <w:rPr>
          <w:rFonts w:asciiTheme="minorHAnsi" w:hAnsiTheme="minorHAnsi"/>
          <w:sz w:val="22"/>
        </w:rPr>
        <w:t>Wills</w:t>
      </w:r>
      <w:r w:rsidR="009711EE">
        <w:rPr>
          <w:rFonts w:asciiTheme="minorHAnsi" w:hAnsiTheme="minorHAnsi"/>
          <w:sz w:val="22"/>
        </w:rPr>
        <w:t>,</w:t>
      </w:r>
      <w:r w:rsidRPr="00140BF5">
        <w:rPr>
          <w:rFonts w:asciiTheme="minorHAnsi" w:hAnsiTheme="minorHAnsi"/>
          <w:sz w:val="22"/>
        </w:rPr>
        <w:t xml:space="preserve"> J</w:t>
      </w:r>
      <w:r w:rsidR="009711EE">
        <w:rPr>
          <w:rFonts w:asciiTheme="minorHAnsi" w:hAnsiTheme="minorHAnsi"/>
          <w:sz w:val="22"/>
        </w:rPr>
        <w:t>.</w:t>
      </w:r>
      <w:r w:rsidRPr="00140BF5">
        <w:rPr>
          <w:rFonts w:asciiTheme="minorHAnsi" w:hAnsiTheme="minorHAnsi"/>
          <w:sz w:val="22"/>
        </w:rPr>
        <w:t xml:space="preserve"> (2008) </w:t>
      </w:r>
      <w:r w:rsidR="009711EE">
        <w:rPr>
          <w:rFonts w:asciiTheme="minorHAnsi" w:hAnsiTheme="minorHAnsi"/>
          <w:sz w:val="22"/>
        </w:rPr>
        <w:t>‘</w:t>
      </w:r>
      <w:r w:rsidRPr="00140BF5">
        <w:rPr>
          <w:rFonts w:asciiTheme="minorHAnsi" w:hAnsiTheme="minorHAnsi"/>
          <w:sz w:val="22"/>
        </w:rPr>
        <w:t>Making Class Politics Possible: Organizing Contract Cleaners in London</w:t>
      </w:r>
      <w:r w:rsidR="009711EE">
        <w:rPr>
          <w:rFonts w:asciiTheme="minorHAnsi" w:hAnsiTheme="minorHAnsi"/>
          <w:sz w:val="22"/>
        </w:rPr>
        <w:t xml:space="preserve">’, </w:t>
      </w:r>
      <w:r w:rsidRPr="00140BF5">
        <w:rPr>
          <w:rFonts w:asciiTheme="minorHAnsi" w:hAnsiTheme="minorHAnsi"/>
          <w:i/>
          <w:sz w:val="22"/>
        </w:rPr>
        <w:t>International Journal of Urban and Regional Research</w:t>
      </w:r>
      <w:r w:rsidRPr="00140BF5">
        <w:rPr>
          <w:rFonts w:asciiTheme="minorHAnsi" w:hAnsiTheme="minorHAnsi"/>
          <w:sz w:val="22"/>
        </w:rPr>
        <w:t xml:space="preserve"> 32</w:t>
      </w:r>
      <w:r w:rsidR="00106496" w:rsidRPr="00140BF5">
        <w:rPr>
          <w:rFonts w:asciiTheme="minorHAnsi" w:hAnsiTheme="minorHAnsi"/>
          <w:sz w:val="22"/>
        </w:rPr>
        <w:t xml:space="preserve"> </w:t>
      </w:r>
      <w:r w:rsidR="00EA659D" w:rsidRPr="00140BF5">
        <w:rPr>
          <w:rFonts w:asciiTheme="minorHAnsi" w:hAnsiTheme="minorHAnsi"/>
          <w:sz w:val="22"/>
        </w:rPr>
        <w:t>(</w:t>
      </w:r>
      <w:r w:rsidRPr="00140BF5">
        <w:rPr>
          <w:rFonts w:asciiTheme="minorHAnsi" w:hAnsiTheme="minorHAnsi"/>
          <w:sz w:val="22"/>
        </w:rPr>
        <w:t>2</w:t>
      </w:r>
      <w:r w:rsidR="00EA659D" w:rsidRPr="00140BF5">
        <w:rPr>
          <w:rFonts w:asciiTheme="minorHAnsi" w:hAnsiTheme="minorHAnsi"/>
          <w:sz w:val="22"/>
        </w:rPr>
        <w:t>):</w:t>
      </w:r>
      <w:r w:rsidR="00323349">
        <w:rPr>
          <w:rFonts w:asciiTheme="minorHAnsi" w:hAnsiTheme="minorHAnsi"/>
          <w:sz w:val="22"/>
        </w:rPr>
        <w:t xml:space="preserve"> 305-</w:t>
      </w:r>
      <w:r w:rsidRPr="00140BF5">
        <w:rPr>
          <w:rFonts w:asciiTheme="minorHAnsi" w:hAnsiTheme="minorHAnsi"/>
          <w:sz w:val="22"/>
        </w:rPr>
        <w:t>323.</w:t>
      </w:r>
    </w:p>
    <w:p w14:paraId="7F1E9E52" w14:textId="1BEF117E" w:rsidR="00890CAB" w:rsidRPr="00140BF5" w:rsidRDefault="00122238" w:rsidP="0011084D">
      <w:pPr>
        <w:pStyle w:val="Bibliographicalreference"/>
        <w:spacing w:before="0" w:line="480" w:lineRule="auto"/>
        <w:jc w:val="both"/>
        <w:rPr>
          <w:rFonts w:asciiTheme="minorHAnsi" w:hAnsiTheme="minorHAnsi"/>
          <w:sz w:val="22"/>
        </w:rPr>
      </w:pPr>
      <w:r w:rsidRPr="00140BF5">
        <w:rPr>
          <w:rFonts w:asciiTheme="minorHAnsi" w:hAnsiTheme="minorHAnsi"/>
          <w:sz w:val="22"/>
        </w:rPr>
        <w:t>Wollmann</w:t>
      </w:r>
      <w:r w:rsidR="009711EE">
        <w:rPr>
          <w:rFonts w:asciiTheme="minorHAnsi" w:hAnsiTheme="minorHAnsi"/>
          <w:sz w:val="22"/>
        </w:rPr>
        <w:t>,</w:t>
      </w:r>
      <w:r w:rsidR="00890CAB" w:rsidRPr="00140BF5">
        <w:rPr>
          <w:rFonts w:asciiTheme="minorHAnsi" w:hAnsiTheme="minorHAnsi"/>
          <w:sz w:val="22"/>
        </w:rPr>
        <w:t xml:space="preserve"> H</w:t>
      </w:r>
      <w:r w:rsidR="009711EE">
        <w:rPr>
          <w:rFonts w:asciiTheme="minorHAnsi" w:hAnsiTheme="minorHAnsi"/>
          <w:sz w:val="22"/>
        </w:rPr>
        <w:t>.,</w:t>
      </w:r>
      <w:r w:rsidR="00890CAB" w:rsidRPr="00140BF5">
        <w:rPr>
          <w:rFonts w:asciiTheme="minorHAnsi" w:hAnsiTheme="minorHAnsi"/>
          <w:sz w:val="22"/>
        </w:rPr>
        <w:t xml:space="preserve"> Kopr</w:t>
      </w:r>
      <w:r w:rsidR="006E12BF" w:rsidRPr="00140BF5">
        <w:rPr>
          <w:rFonts w:asciiTheme="minorHAnsi" w:hAnsiTheme="minorHAnsi"/>
          <w:sz w:val="22"/>
        </w:rPr>
        <w:t>ic</w:t>
      </w:r>
      <w:r w:rsidR="009711EE">
        <w:rPr>
          <w:rFonts w:asciiTheme="minorHAnsi" w:hAnsiTheme="minorHAnsi"/>
          <w:sz w:val="22"/>
        </w:rPr>
        <w:t>, I.</w:t>
      </w:r>
      <w:r w:rsidR="006E12BF" w:rsidRPr="00140BF5">
        <w:rPr>
          <w:rFonts w:asciiTheme="minorHAnsi" w:hAnsiTheme="minorHAnsi"/>
          <w:sz w:val="22"/>
        </w:rPr>
        <w:t xml:space="preserve"> </w:t>
      </w:r>
      <w:r w:rsidR="00117061" w:rsidRPr="00140BF5">
        <w:rPr>
          <w:rFonts w:asciiTheme="minorHAnsi" w:hAnsiTheme="minorHAnsi"/>
          <w:sz w:val="22"/>
        </w:rPr>
        <w:t xml:space="preserve">and </w:t>
      </w:r>
      <w:r w:rsidR="006E12BF" w:rsidRPr="00140BF5">
        <w:rPr>
          <w:rFonts w:asciiTheme="minorHAnsi" w:hAnsiTheme="minorHAnsi"/>
          <w:sz w:val="22"/>
        </w:rPr>
        <w:t>Marcou</w:t>
      </w:r>
      <w:r w:rsidR="009711EE">
        <w:rPr>
          <w:rFonts w:asciiTheme="minorHAnsi" w:hAnsiTheme="minorHAnsi"/>
          <w:sz w:val="22"/>
        </w:rPr>
        <w:t>,</w:t>
      </w:r>
      <w:r w:rsidR="006E12BF" w:rsidRPr="00140BF5">
        <w:rPr>
          <w:rFonts w:asciiTheme="minorHAnsi" w:hAnsiTheme="minorHAnsi"/>
          <w:sz w:val="22"/>
        </w:rPr>
        <w:t xml:space="preserve"> G</w:t>
      </w:r>
      <w:r w:rsidR="009711EE">
        <w:rPr>
          <w:rFonts w:asciiTheme="minorHAnsi" w:hAnsiTheme="minorHAnsi"/>
          <w:sz w:val="22"/>
        </w:rPr>
        <w:t>.</w:t>
      </w:r>
      <w:r w:rsidR="006E12BF" w:rsidRPr="00140BF5">
        <w:rPr>
          <w:rFonts w:asciiTheme="minorHAnsi" w:hAnsiTheme="minorHAnsi"/>
          <w:sz w:val="22"/>
        </w:rPr>
        <w:t xml:space="preserve"> (eds</w:t>
      </w:r>
      <w:r w:rsidR="009711EE">
        <w:rPr>
          <w:rFonts w:asciiTheme="minorHAnsi" w:hAnsiTheme="minorHAnsi"/>
          <w:sz w:val="22"/>
        </w:rPr>
        <w:t>.</w:t>
      </w:r>
      <w:r w:rsidR="006E12BF" w:rsidRPr="00140BF5">
        <w:rPr>
          <w:rFonts w:asciiTheme="minorHAnsi" w:hAnsiTheme="minorHAnsi"/>
          <w:sz w:val="22"/>
        </w:rPr>
        <w:t>) (2016)</w:t>
      </w:r>
      <w:r w:rsidR="00890CAB" w:rsidRPr="00140BF5">
        <w:rPr>
          <w:rFonts w:asciiTheme="minorHAnsi" w:hAnsiTheme="minorHAnsi"/>
          <w:sz w:val="22"/>
        </w:rPr>
        <w:t xml:space="preserve"> </w:t>
      </w:r>
      <w:r w:rsidR="00890CAB" w:rsidRPr="00140BF5">
        <w:rPr>
          <w:rFonts w:asciiTheme="minorHAnsi" w:hAnsiTheme="minorHAnsi"/>
          <w:i/>
          <w:sz w:val="22"/>
        </w:rPr>
        <w:t>Public and Social Services in Europe: From Public and Municipal to Private Sector Provision</w:t>
      </w:r>
      <w:r w:rsidR="00890CAB" w:rsidRPr="00140BF5">
        <w:rPr>
          <w:rFonts w:asciiTheme="minorHAnsi" w:hAnsiTheme="minorHAnsi"/>
          <w:sz w:val="22"/>
        </w:rPr>
        <w:t xml:space="preserve">. </w:t>
      </w:r>
      <w:r w:rsidR="00934729" w:rsidRPr="00140BF5">
        <w:rPr>
          <w:rFonts w:asciiTheme="minorHAnsi" w:hAnsiTheme="minorHAnsi"/>
          <w:sz w:val="22"/>
        </w:rPr>
        <w:t xml:space="preserve">Basingstoke: </w:t>
      </w:r>
      <w:r w:rsidR="00890CAB" w:rsidRPr="00140BF5">
        <w:rPr>
          <w:rFonts w:asciiTheme="minorHAnsi" w:hAnsiTheme="minorHAnsi"/>
          <w:sz w:val="22"/>
        </w:rPr>
        <w:t>Palgrave.</w:t>
      </w:r>
    </w:p>
    <w:p w14:paraId="6E9FDDD2" w14:textId="616C13F4" w:rsidR="00BD308B" w:rsidRDefault="00BD308B">
      <w:pPr>
        <w:rPr>
          <w:rFonts w:eastAsia="Times New Roman" w:cs="Arial"/>
          <w:b/>
          <w:szCs w:val="18"/>
          <w:lang w:val="en-GB" w:eastAsia="de-DE"/>
        </w:rPr>
      </w:pPr>
    </w:p>
    <w:p w14:paraId="54ACA9C5" w14:textId="7D5630ED" w:rsidR="0011084D" w:rsidRDefault="003C28BF" w:rsidP="0011084D">
      <w:pPr>
        <w:pStyle w:val="Bibliographicalreference"/>
        <w:spacing w:before="0" w:line="480" w:lineRule="auto"/>
        <w:jc w:val="both"/>
        <w:rPr>
          <w:rFonts w:asciiTheme="minorHAnsi" w:hAnsiTheme="minorHAnsi"/>
          <w:b/>
          <w:sz w:val="22"/>
        </w:rPr>
      </w:pPr>
      <w:r>
        <w:rPr>
          <w:rFonts w:asciiTheme="minorHAnsi" w:hAnsiTheme="minorHAnsi"/>
          <w:b/>
          <w:sz w:val="22"/>
        </w:rPr>
        <w:t>Author biographies</w:t>
      </w:r>
    </w:p>
    <w:p w14:paraId="157A4AAC" w14:textId="1202492C" w:rsidR="003C28BF" w:rsidRPr="003C28BF" w:rsidRDefault="003C28BF" w:rsidP="003C28BF">
      <w:pPr>
        <w:spacing w:before="60" w:after="60" w:line="480" w:lineRule="auto"/>
        <w:jc w:val="both"/>
        <w:rPr>
          <w:lang w:val="en-GB"/>
        </w:rPr>
      </w:pPr>
      <w:r w:rsidRPr="003C28BF">
        <w:rPr>
          <w:u w:val="single"/>
          <w:lang w:val="en-GB"/>
        </w:rPr>
        <w:lastRenderedPageBreak/>
        <w:t>Karen Jaehrling</w:t>
      </w:r>
      <w:r w:rsidRPr="003C28BF">
        <w:rPr>
          <w:lang w:val="en-GB"/>
        </w:rPr>
        <w:t xml:space="preserve"> works as a senior researcher at the Institute for Work, Skills and Training (Institut Arbeit und Qualifikation), University of Duisburg-Essen, Germany. Her main research interests include issues in the area of sociology of work, labour market and social policy, with a particular focus on the low-pay / low-skilled segments of the labour market. </w:t>
      </w:r>
      <w:r w:rsidR="004A5168">
        <w:rPr>
          <w:lang w:val="en-GB"/>
        </w:rPr>
        <w:t>A recent publication includes ‘</w:t>
      </w:r>
      <w:r w:rsidRPr="003C28BF">
        <w:rPr>
          <w:lang w:val="en-GB"/>
        </w:rPr>
        <w:t>The atypical and gendered ‘employment miracle’ in Germany</w:t>
      </w:r>
      <w:r w:rsidR="004A5168">
        <w:rPr>
          <w:lang w:val="en-GB"/>
        </w:rPr>
        <w:t xml:space="preserve">’, </w:t>
      </w:r>
      <w:r w:rsidRPr="003C28BF">
        <w:rPr>
          <w:lang w:val="en-GB"/>
        </w:rPr>
        <w:t>In A Piasna, M Myant (eds), My</w:t>
      </w:r>
      <w:r w:rsidR="004A5168">
        <w:rPr>
          <w:lang w:val="en-GB"/>
        </w:rPr>
        <w:t xml:space="preserve">ths of employment deregulation, </w:t>
      </w:r>
      <w:r w:rsidRPr="003C28BF">
        <w:rPr>
          <w:lang w:val="en-GB"/>
        </w:rPr>
        <w:t>Brussels 2017.  Research in 2017 included a Horizon2020 project on the interrelationship between innovation and job quality (quinne.eu).</w:t>
      </w:r>
    </w:p>
    <w:p w14:paraId="0F8F5585" w14:textId="77777777" w:rsidR="003C28BF" w:rsidRDefault="003C28BF" w:rsidP="003C28BF">
      <w:pPr>
        <w:spacing w:before="60" w:after="60" w:line="480" w:lineRule="auto"/>
        <w:jc w:val="both"/>
        <w:rPr>
          <w:u w:val="single"/>
          <w:lang w:val="en-GB"/>
        </w:rPr>
      </w:pPr>
    </w:p>
    <w:p w14:paraId="25244F2A" w14:textId="5298D6AB" w:rsidR="003C28BF" w:rsidRPr="003C28BF" w:rsidRDefault="003C28BF" w:rsidP="003C28BF">
      <w:pPr>
        <w:spacing w:before="60" w:after="60" w:line="480" w:lineRule="auto"/>
        <w:jc w:val="both"/>
        <w:rPr>
          <w:lang w:val="en-GB"/>
        </w:rPr>
      </w:pPr>
      <w:r w:rsidRPr="003C28BF">
        <w:rPr>
          <w:u w:val="single"/>
          <w:lang w:val="en-GB"/>
        </w:rPr>
        <w:t>Mathew Johnson</w:t>
      </w:r>
      <w:r w:rsidRPr="003C28BF">
        <w:rPr>
          <w:lang w:val="en-GB"/>
        </w:rPr>
        <w:t xml:space="preserve"> is a research associate at the European Work and Employment Research Centre at Alliance Manchester Business  School University of Manchester.  His research interests include public sector pay, living wages and trade union responses to precarious work. A recent publication includes: Grimshaw, D., Johnson, M., Marino, S., &amp; Rubery, J. (2016). Towards more disorganised decentralization?: Collective bargaining in the public sector under pay restraint. Industrial Relations Journal.</w:t>
      </w:r>
    </w:p>
    <w:p w14:paraId="343CA45D" w14:textId="77777777" w:rsidR="003C28BF" w:rsidRDefault="003C28BF" w:rsidP="003C28BF">
      <w:pPr>
        <w:spacing w:before="60" w:after="60" w:line="480" w:lineRule="auto"/>
        <w:jc w:val="both"/>
        <w:rPr>
          <w:u w:val="single"/>
          <w:lang w:val="en-GB"/>
        </w:rPr>
      </w:pPr>
    </w:p>
    <w:p w14:paraId="72C4701D" w14:textId="4195A694" w:rsidR="003C28BF" w:rsidRPr="003C28BF" w:rsidRDefault="003C28BF" w:rsidP="003C28BF">
      <w:pPr>
        <w:spacing w:before="60" w:after="60" w:line="480" w:lineRule="auto"/>
        <w:jc w:val="both"/>
        <w:rPr>
          <w:lang w:val="en-GB"/>
        </w:rPr>
      </w:pPr>
      <w:r w:rsidRPr="003C28BF">
        <w:rPr>
          <w:u w:val="single"/>
          <w:lang w:val="en-GB"/>
        </w:rPr>
        <w:t>Trine Pernille Larsen</w:t>
      </w:r>
      <w:r w:rsidRPr="003C28BF">
        <w:rPr>
          <w:lang w:val="en-GB"/>
        </w:rPr>
        <w:t xml:space="preserve"> is an Associate Professor at the Employment Relations Research Center, at the University of Copenhagen. Her research interests include precarious employment, collective bargaining, social partners responses to labour market segmentation, work-life balance and equal pay. Recent published work include : Larsen T. P. and Navrbjerg, S. E. (2017) Bargaining for equal pay and work-life balance in Danish companies- Does Gender matter, published in Journal of Industrial Relations; Ilsøe, A, Larsen, T.P and Felbo-Kolding J. (2017) Living hours under Pressure- Flexibility loopholes in the Danish bargaining model published in Employee relations; the edited book Larsen TP. and Ilsøe, A.  (2016) The Danish Bargaining Model- inside and out, DJØF publishing.</w:t>
      </w:r>
    </w:p>
    <w:p w14:paraId="7FB63B77" w14:textId="77777777" w:rsidR="003C28BF" w:rsidRDefault="003C28BF" w:rsidP="003C28BF">
      <w:pPr>
        <w:spacing w:before="60" w:after="60" w:line="480" w:lineRule="auto"/>
        <w:jc w:val="both"/>
        <w:rPr>
          <w:lang w:val="en-GB"/>
        </w:rPr>
      </w:pPr>
    </w:p>
    <w:p w14:paraId="750DF70D" w14:textId="504199CD" w:rsidR="003C28BF" w:rsidRDefault="003C28BF" w:rsidP="003C28BF">
      <w:pPr>
        <w:spacing w:before="60" w:after="60" w:line="480" w:lineRule="auto"/>
        <w:jc w:val="both"/>
        <w:rPr>
          <w:lang w:val="en-GB"/>
        </w:rPr>
      </w:pPr>
      <w:r w:rsidRPr="003C28BF">
        <w:rPr>
          <w:u w:val="single"/>
          <w:lang w:val="en-GB"/>
        </w:rPr>
        <w:t>Bjarke Refslund</w:t>
      </w:r>
      <w:r w:rsidRPr="003C28BF">
        <w:rPr>
          <w:lang w:val="en-GB"/>
        </w:rPr>
        <w:t xml:space="preserve"> is post.doctoral researcher at Section for Sustainable Production, Department of Materials and Production at Aalborg University, Copenhagen. His main research areas include </w:t>
      </w:r>
      <w:r w:rsidRPr="003C28BF">
        <w:rPr>
          <w:lang w:val="en-GB"/>
        </w:rPr>
        <w:lastRenderedPageBreak/>
        <w:t>precarious employment, work organisation, unions, labour migration as well as occupational health and safety. Recently published work include: Sectoral variation in consequences of intra-European labour migration: How unions and structural conditions matter in Comparative Social Research, 2016, Islands in the stream? Challenges and resilience of the Danish industrial relations model in a liberalising world in Industrial Relations Journal (2016, with Ole Henning Sørensen) and Understanding the diverging trajectories of slaughterhouse work in Denmark and Germany: A power resource approach in European Journal of Industrial Relations (2016 with Ines Wagner).</w:t>
      </w:r>
    </w:p>
    <w:p w14:paraId="1232BF57" w14:textId="77777777" w:rsidR="00BD308B" w:rsidRDefault="00BD308B" w:rsidP="003C28BF">
      <w:pPr>
        <w:spacing w:before="60" w:after="60" w:line="480" w:lineRule="auto"/>
        <w:jc w:val="both"/>
        <w:rPr>
          <w:lang w:val="en-GB"/>
        </w:rPr>
      </w:pPr>
    </w:p>
    <w:p w14:paraId="7FB0910A" w14:textId="5439D25E" w:rsidR="003C28BF" w:rsidRPr="003C28BF" w:rsidRDefault="003C28BF" w:rsidP="003C28BF">
      <w:pPr>
        <w:spacing w:before="60" w:after="60" w:line="480" w:lineRule="auto"/>
        <w:jc w:val="both"/>
        <w:rPr>
          <w:lang w:val="en-GB"/>
        </w:rPr>
      </w:pPr>
      <w:r w:rsidRPr="003C28BF">
        <w:rPr>
          <w:u w:val="single"/>
          <w:lang w:val="en-GB"/>
        </w:rPr>
        <w:t>Damian Grimshaw</w:t>
      </w:r>
      <w:r w:rsidRPr="003C28BF">
        <w:rPr>
          <w:lang w:val="en-GB"/>
        </w:rPr>
        <w:t xml:space="preserve"> is Professor of Employment Studies and Director of the European Work and Employment Research Centre at the Alliance Manchester Business School. He has recently published on precarious work (Reducing Precarious Work: Protective Gaps and the Role of Social Dialogue in Europe, Report for the European Commission, 2016), minimum wages (Minimum Wages, Pay Equity and Comparative Industrial Relations, Routledge 2013), subcontracting (‘Does better quality contracting improve pay and HR practices?’, Journal of Industrial Relations 2015) and inequalities (‘Inequality at work in the UK: How perforated industrial relations worsen inequalities and hold back progress on equalities’, in D. Vaughan-Whitehead (ed.) Industrial Relations and Inequalities in Europe, Geneva: ILO, 2017). Research in 2016 included a six-country study on Reducing precarious work in Europe through social dialogue (European Commission), a report for the ILO ‘Global study on wages in major garment producing countries’ and a project on ‘Just Work in Greater Manchester’.</w:t>
      </w:r>
    </w:p>
    <w:p w14:paraId="3FE33151" w14:textId="77777777" w:rsidR="00BD308B" w:rsidRDefault="00BD308B" w:rsidP="0011084D">
      <w:pPr>
        <w:pStyle w:val="Bibliographicalreference"/>
        <w:spacing w:before="0" w:line="480" w:lineRule="auto"/>
        <w:jc w:val="both"/>
        <w:rPr>
          <w:rFonts w:asciiTheme="minorHAnsi" w:hAnsiTheme="minorHAnsi"/>
          <w:b/>
          <w:sz w:val="22"/>
        </w:rPr>
      </w:pPr>
    </w:p>
    <w:p w14:paraId="7EF9DFAD" w14:textId="6A8C52A5" w:rsidR="003D4142" w:rsidRPr="00140BF5" w:rsidRDefault="0011084D" w:rsidP="0011084D">
      <w:pPr>
        <w:pStyle w:val="Bibliographicalreference"/>
        <w:spacing w:before="0" w:line="480" w:lineRule="auto"/>
        <w:jc w:val="both"/>
        <w:rPr>
          <w:rFonts w:asciiTheme="minorHAnsi" w:hAnsiTheme="minorHAnsi"/>
          <w:b/>
          <w:sz w:val="22"/>
        </w:rPr>
      </w:pPr>
      <w:r w:rsidRPr="00140BF5">
        <w:rPr>
          <w:rFonts w:asciiTheme="minorHAnsi" w:hAnsiTheme="minorHAnsi"/>
          <w:b/>
          <w:sz w:val="22"/>
        </w:rPr>
        <w:t>Tables</w:t>
      </w:r>
    </w:p>
    <w:p w14:paraId="5306EC61" w14:textId="77777777" w:rsidR="001731EF" w:rsidRPr="00140BF5" w:rsidRDefault="001731EF" w:rsidP="0011084D">
      <w:pPr>
        <w:spacing w:before="60" w:after="60" w:line="480" w:lineRule="auto"/>
        <w:jc w:val="both"/>
        <w:rPr>
          <w:i/>
          <w:lang w:val="en-GB"/>
        </w:rPr>
      </w:pPr>
      <w:r w:rsidRPr="00140BF5">
        <w:rPr>
          <w:i/>
          <w:lang w:val="en-GB"/>
        </w:rPr>
        <w:t>Table 1 – the form, level and coverage of labour clauses across the three cases</w:t>
      </w:r>
    </w:p>
    <w:tbl>
      <w:tblPr>
        <w:tblStyle w:val="EinfacheTabelle211"/>
        <w:tblW w:w="0" w:type="auto"/>
        <w:tblLook w:val="04A0" w:firstRow="1" w:lastRow="0" w:firstColumn="1" w:lastColumn="0" w:noHBand="0" w:noVBand="1"/>
      </w:tblPr>
      <w:tblGrid>
        <w:gridCol w:w="2928"/>
        <w:gridCol w:w="44"/>
        <w:gridCol w:w="2884"/>
        <w:gridCol w:w="93"/>
        <w:gridCol w:w="2835"/>
      </w:tblGrid>
      <w:tr w:rsidR="001731EF" w:rsidRPr="00140BF5" w14:paraId="3582EBA3" w14:textId="77777777" w:rsidTr="00A71BC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28" w:type="dxa"/>
            <w:vAlign w:val="bottom"/>
          </w:tcPr>
          <w:p w14:paraId="4BA71AE2" w14:textId="77777777" w:rsidR="001731EF" w:rsidRPr="00140BF5" w:rsidRDefault="001731EF" w:rsidP="0011084D">
            <w:pPr>
              <w:spacing w:before="60" w:after="60" w:line="480" w:lineRule="auto"/>
              <w:jc w:val="center"/>
              <w:rPr>
                <w:b w:val="0"/>
                <w:bCs w:val="0"/>
                <w:i/>
                <w:sz w:val="20"/>
                <w:szCs w:val="20"/>
                <w:lang w:val="en-GB"/>
              </w:rPr>
            </w:pPr>
            <w:r w:rsidRPr="00140BF5">
              <w:rPr>
                <w:i/>
                <w:sz w:val="20"/>
                <w:szCs w:val="20"/>
                <w:lang w:val="en-GB"/>
              </w:rPr>
              <w:t>Bremen</w:t>
            </w:r>
          </w:p>
        </w:tc>
        <w:tc>
          <w:tcPr>
            <w:tcW w:w="2928" w:type="dxa"/>
            <w:gridSpan w:val="2"/>
            <w:vAlign w:val="bottom"/>
          </w:tcPr>
          <w:p w14:paraId="64BF1B2E" w14:textId="77777777" w:rsidR="001731EF" w:rsidRPr="00140BF5" w:rsidRDefault="001731EF" w:rsidP="0011084D">
            <w:pPr>
              <w:spacing w:before="60" w:after="60" w:line="480" w:lineRule="auto"/>
              <w:jc w:val="center"/>
              <w:cnfStyle w:val="100000000000" w:firstRow="1" w:lastRow="0" w:firstColumn="0" w:lastColumn="0" w:oddVBand="0" w:evenVBand="0" w:oddHBand="0" w:evenHBand="0" w:firstRowFirstColumn="0" w:firstRowLastColumn="0" w:lastRowFirstColumn="0" w:lastRowLastColumn="0"/>
              <w:rPr>
                <w:bCs w:val="0"/>
                <w:i/>
                <w:sz w:val="20"/>
                <w:szCs w:val="20"/>
                <w:lang w:val="en-GB"/>
              </w:rPr>
            </w:pPr>
            <w:r w:rsidRPr="00140BF5">
              <w:rPr>
                <w:i/>
                <w:sz w:val="20"/>
                <w:szCs w:val="20"/>
                <w:lang w:val="en-GB"/>
              </w:rPr>
              <w:t>Copenhagen</w:t>
            </w:r>
          </w:p>
        </w:tc>
        <w:tc>
          <w:tcPr>
            <w:tcW w:w="2928" w:type="dxa"/>
            <w:gridSpan w:val="2"/>
            <w:vAlign w:val="bottom"/>
          </w:tcPr>
          <w:p w14:paraId="12828DB4" w14:textId="77777777" w:rsidR="001731EF" w:rsidRPr="00140BF5" w:rsidRDefault="001731EF" w:rsidP="0011084D">
            <w:pPr>
              <w:spacing w:before="60" w:after="60" w:line="480" w:lineRule="auto"/>
              <w:jc w:val="center"/>
              <w:cnfStyle w:val="100000000000" w:firstRow="1" w:lastRow="0" w:firstColumn="0" w:lastColumn="0" w:oddVBand="0" w:evenVBand="0" w:oddHBand="0" w:evenHBand="0" w:firstRowFirstColumn="0" w:firstRowLastColumn="0" w:lastRowFirstColumn="0" w:lastRowLastColumn="0"/>
              <w:rPr>
                <w:i/>
                <w:sz w:val="20"/>
                <w:szCs w:val="20"/>
                <w:lang w:val="en-GB"/>
              </w:rPr>
            </w:pPr>
            <w:r w:rsidRPr="00140BF5">
              <w:rPr>
                <w:i/>
                <w:sz w:val="20"/>
                <w:szCs w:val="20"/>
                <w:lang w:val="en-GB"/>
              </w:rPr>
              <w:t>Leeds</w:t>
            </w:r>
          </w:p>
        </w:tc>
      </w:tr>
      <w:tr w:rsidR="001731EF" w:rsidRPr="00140BF5" w14:paraId="7F1FC7C2" w14:textId="77777777" w:rsidTr="00A71BC8">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8784" w:type="dxa"/>
            <w:gridSpan w:val="5"/>
            <w:vAlign w:val="bottom"/>
          </w:tcPr>
          <w:p w14:paraId="7A969D5C" w14:textId="77777777" w:rsidR="001731EF" w:rsidRPr="00140BF5" w:rsidRDefault="001731EF" w:rsidP="0011084D">
            <w:pPr>
              <w:spacing w:before="60" w:after="60" w:line="480" w:lineRule="auto"/>
              <w:jc w:val="center"/>
              <w:rPr>
                <w:b w:val="0"/>
                <w:i/>
                <w:sz w:val="20"/>
                <w:szCs w:val="20"/>
                <w:lang w:val="en-GB"/>
              </w:rPr>
            </w:pPr>
            <w:r w:rsidRPr="00140BF5">
              <w:rPr>
                <w:i/>
                <w:sz w:val="20"/>
                <w:szCs w:val="20"/>
                <w:lang w:val="en-GB"/>
              </w:rPr>
              <w:t>Levels of protection</w:t>
            </w:r>
          </w:p>
        </w:tc>
      </w:tr>
      <w:tr w:rsidR="001731EF" w:rsidRPr="00140BF5" w14:paraId="15BCBB31" w14:textId="77777777" w:rsidTr="00A71BC8">
        <w:trPr>
          <w:trHeight w:val="1265"/>
        </w:trPr>
        <w:tc>
          <w:tcPr>
            <w:cnfStyle w:val="001000000000" w:firstRow="0" w:lastRow="0" w:firstColumn="1" w:lastColumn="0" w:oddVBand="0" w:evenVBand="0" w:oddHBand="0" w:evenHBand="0" w:firstRowFirstColumn="0" w:firstRowLastColumn="0" w:lastRowFirstColumn="0" w:lastRowLastColumn="0"/>
            <w:tcW w:w="2972" w:type="dxa"/>
            <w:gridSpan w:val="2"/>
            <w:vAlign w:val="center"/>
          </w:tcPr>
          <w:p w14:paraId="013F48B4" w14:textId="77777777" w:rsidR="001731EF" w:rsidRPr="00140BF5" w:rsidRDefault="001731EF" w:rsidP="0011084D">
            <w:pPr>
              <w:spacing w:before="60" w:after="60" w:line="480" w:lineRule="auto"/>
              <w:jc w:val="center"/>
              <w:rPr>
                <w:b w:val="0"/>
                <w:sz w:val="20"/>
                <w:szCs w:val="20"/>
                <w:lang w:val="en-GB"/>
              </w:rPr>
            </w:pPr>
            <w:r w:rsidRPr="00140BF5">
              <w:rPr>
                <w:b w:val="0"/>
                <w:sz w:val="20"/>
                <w:szCs w:val="20"/>
                <w:lang w:val="en-GB"/>
              </w:rPr>
              <w:lastRenderedPageBreak/>
              <w:t>Collectively agreed minimum wage rates declared generally binding</w:t>
            </w:r>
          </w:p>
          <w:p w14:paraId="73D4D22B" w14:textId="77777777" w:rsidR="001731EF" w:rsidRPr="00140BF5" w:rsidRDefault="001731EF" w:rsidP="0011084D">
            <w:pPr>
              <w:spacing w:before="60" w:after="60" w:line="480" w:lineRule="auto"/>
              <w:jc w:val="center"/>
              <w:rPr>
                <w:b w:val="0"/>
                <w:sz w:val="20"/>
                <w:szCs w:val="20"/>
                <w:lang w:val="en-GB"/>
              </w:rPr>
            </w:pPr>
            <w:r w:rsidRPr="00140BF5">
              <w:rPr>
                <w:b w:val="0"/>
                <w:sz w:val="20"/>
                <w:szCs w:val="20"/>
                <w:lang w:val="en-GB"/>
              </w:rPr>
              <w:t>Procurement specific regional minimum wage (2009-2016)</w:t>
            </w:r>
          </w:p>
          <w:p w14:paraId="468F9EFA" w14:textId="77777777" w:rsidR="001731EF" w:rsidRPr="00140BF5" w:rsidRDefault="001731EF" w:rsidP="0011084D">
            <w:pPr>
              <w:spacing w:before="60" w:after="60" w:line="480" w:lineRule="auto"/>
              <w:jc w:val="center"/>
              <w:rPr>
                <w:b w:val="0"/>
                <w:sz w:val="20"/>
                <w:szCs w:val="20"/>
                <w:lang w:val="en-GB"/>
              </w:rPr>
            </w:pPr>
            <w:r w:rsidRPr="00140BF5">
              <w:rPr>
                <w:b w:val="0"/>
                <w:sz w:val="20"/>
                <w:szCs w:val="20"/>
                <w:lang w:val="en-GB"/>
              </w:rPr>
              <w:t>‘most representative’ collective agreement in construction + public transport (since 2016), but only in cases of restricted tenders/direct awards</w:t>
            </w:r>
          </w:p>
        </w:tc>
        <w:tc>
          <w:tcPr>
            <w:tcW w:w="2977" w:type="dxa"/>
            <w:gridSpan w:val="2"/>
            <w:vAlign w:val="center"/>
          </w:tcPr>
          <w:p w14:paraId="0ED2BCA8" w14:textId="77777777" w:rsidR="001731EF" w:rsidRPr="00140BF5" w:rsidRDefault="001731EF" w:rsidP="0011084D">
            <w:pPr>
              <w:spacing w:before="60" w:after="60"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140BF5">
              <w:rPr>
                <w:sz w:val="20"/>
                <w:szCs w:val="20"/>
                <w:lang w:val="en-GB"/>
              </w:rPr>
              <w:t>Employers have to abide by  ‘most representative’ collective agreement in each industry (conf. to ILO conv. 94, §1); covers pay and non-pay terms and conditions at all levels of job grade</w:t>
            </w:r>
          </w:p>
          <w:p w14:paraId="459C38B8" w14:textId="77777777" w:rsidR="001731EF" w:rsidRPr="00140BF5" w:rsidRDefault="001731EF" w:rsidP="0011084D">
            <w:pPr>
              <w:spacing w:before="60" w:after="60"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2835" w:type="dxa"/>
            <w:vAlign w:val="center"/>
          </w:tcPr>
          <w:p w14:paraId="1538D3D2" w14:textId="77777777" w:rsidR="001731EF" w:rsidRPr="00140BF5" w:rsidRDefault="001731EF" w:rsidP="0011084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140BF5">
              <w:rPr>
                <w:sz w:val="20"/>
                <w:szCs w:val="20"/>
                <w:lang w:val="en-GB"/>
              </w:rPr>
              <w:t xml:space="preserve">Higher wage rate </w:t>
            </w:r>
          </w:p>
          <w:p w14:paraId="4022E51F" w14:textId="77777777" w:rsidR="001731EF" w:rsidRPr="00140BF5" w:rsidRDefault="001731EF" w:rsidP="0011084D">
            <w:pPr>
              <w:spacing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140BF5">
              <w:rPr>
                <w:sz w:val="20"/>
                <w:szCs w:val="20"/>
                <w:lang w:val="en-GB"/>
              </w:rPr>
              <w:t>pay for travel times Replacement of zero hour contracts with full-or part-time positions</w:t>
            </w:r>
          </w:p>
        </w:tc>
      </w:tr>
      <w:tr w:rsidR="001731EF" w:rsidRPr="00140BF5" w14:paraId="5B193B1B" w14:textId="77777777" w:rsidTr="00A71BC8">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8784" w:type="dxa"/>
            <w:gridSpan w:val="5"/>
            <w:vAlign w:val="bottom"/>
          </w:tcPr>
          <w:p w14:paraId="046613FB" w14:textId="77777777" w:rsidR="001731EF" w:rsidRPr="00140BF5" w:rsidRDefault="001731EF" w:rsidP="0011084D">
            <w:pPr>
              <w:spacing w:before="60" w:after="60" w:line="480" w:lineRule="auto"/>
              <w:jc w:val="center"/>
              <w:rPr>
                <w:i/>
                <w:sz w:val="20"/>
                <w:szCs w:val="20"/>
                <w:lang w:val="en-GB"/>
              </w:rPr>
            </w:pPr>
            <w:r w:rsidRPr="00140BF5">
              <w:rPr>
                <w:i/>
                <w:sz w:val="20"/>
                <w:szCs w:val="20"/>
                <w:lang w:val="en-GB"/>
              </w:rPr>
              <w:t>Coverage</w:t>
            </w:r>
          </w:p>
        </w:tc>
      </w:tr>
      <w:tr w:rsidR="001731EF" w:rsidRPr="00140BF5" w14:paraId="77D95183" w14:textId="77777777" w:rsidTr="00A71BC8">
        <w:trPr>
          <w:trHeight w:val="708"/>
        </w:trPr>
        <w:tc>
          <w:tcPr>
            <w:cnfStyle w:val="001000000000" w:firstRow="0" w:lastRow="0" w:firstColumn="1" w:lastColumn="0" w:oddVBand="0" w:evenVBand="0" w:oddHBand="0" w:evenHBand="0" w:firstRowFirstColumn="0" w:firstRowLastColumn="0" w:lastRowFirstColumn="0" w:lastRowLastColumn="0"/>
            <w:tcW w:w="2972" w:type="dxa"/>
            <w:gridSpan w:val="2"/>
            <w:vAlign w:val="center"/>
          </w:tcPr>
          <w:p w14:paraId="71FD5A1D" w14:textId="77777777" w:rsidR="001731EF" w:rsidRPr="00140BF5" w:rsidRDefault="001731EF" w:rsidP="0011084D">
            <w:pPr>
              <w:spacing w:before="60" w:after="60" w:line="480" w:lineRule="auto"/>
              <w:jc w:val="center"/>
              <w:rPr>
                <w:b w:val="0"/>
                <w:sz w:val="20"/>
                <w:szCs w:val="20"/>
                <w:lang w:val="en-GB"/>
              </w:rPr>
            </w:pPr>
            <w:r w:rsidRPr="00140BF5">
              <w:rPr>
                <w:b w:val="0"/>
                <w:sz w:val="20"/>
                <w:szCs w:val="20"/>
                <w:lang w:val="en-GB"/>
              </w:rPr>
              <w:t>Universally  applied in public procured work</w:t>
            </w:r>
          </w:p>
        </w:tc>
        <w:tc>
          <w:tcPr>
            <w:tcW w:w="2977" w:type="dxa"/>
            <w:gridSpan w:val="2"/>
            <w:vAlign w:val="center"/>
          </w:tcPr>
          <w:p w14:paraId="1F770C8A" w14:textId="77777777" w:rsidR="001731EF" w:rsidRPr="00140BF5" w:rsidRDefault="001731EF" w:rsidP="0011084D">
            <w:pPr>
              <w:spacing w:before="60" w:after="60"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140BF5">
              <w:rPr>
                <w:sz w:val="20"/>
                <w:szCs w:val="20"/>
                <w:lang w:val="en-GB"/>
              </w:rPr>
              <w:t>Universally applied in public procured work</w:t>
            </w:r>
          </w:p>
        </w:tc>
        <w:tc>
          <w:tcPr>
            <w:tcW w:w="2835" w:type="dxa"/>
            <w:vAlign w:val="center"/>
          </w:tcPr>
          <w:p w14:paraId="3528C34E" w14:textId="77777777" w:rsidR="001731EF" w:rsidRPr="00140BF5" w:rsidRDefault="001731EF" w:rsidP="0011084D">
            <w:pPr>
              <w:spacing w:before="60" w:after="60"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140BF5">
              <w:rPr>
                <w:sz w:val="20"/>
                <w:szCs w:val="20"/>
                <w:lang w:val="en-GB"/>
              </w:rPr>
              <w:t>Social care for elderly</w:t>
            </w:r>
          </w:p>
        </w:tc>
      </w:tr>
      <w:tr w:rsidR="001731EF" w:rsidRPr="00140BF5" w14:paraId="46569F22" w14:textId="77777777" w:rsidTr="00A71B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84" w:type="dxa"/>
            <w:gridSpan w:val="5"/>
            <w:vAlign w:val="bottom"/>
          </w:tcPr>
          <w:p w14:paraId="6719080C" w14:textId="77777777" w:rsidR="001731EF" w:rsidRPr="00140BF5" w:rsidRDefault="001731EF" w:rsidP="0011084D">
            <w:pPr>
              <w:spacing w:before="60" w:after="60" w:line="480" w:lineRule="auto"/>
              <w:jc w:val="center"/>
              <w:rPr>
                <w:i/>
                <w:sz w:val="20"/>
                <w:szCs w:val="20"/>
                <w:lang w:val="en-GB"/>
              </w:rPr>
            </w:pPr>
            <w:r w:rsidRPr="00140BF5">
              <w:rPr>
                <w:i/>
                <w:sz w:val="20"/>
                <w:szCs w:val="20"/>
                <w:lang w:val="en-GB"/>
              </w:rPr>
              <w:t>Chain liability</w:t>
            </w:r>
          </w:p>
        </w:tc>
      </w:tr>
      <w:tr w:rsidR="001731EF" w:rsidRPr="00140BF5" w14:paraId="62130CBA" w14:textId="77777777" w:rsidTr="00A71BC8">
        <w:trPr>
          <w:trHeight w:val="717"/>
        </w:trPr>
        <w:tc>
          <w:tcPr>
            <w:cnfStyle w:val="001000000000" w:firstRow="0" w:lastRow="0" w:firstColumn="1" w:lastColumn="0" w:oddVBand="0" w:evenVBand="0" w:oddHBand="0" w:evenHBand="0" w:firstRowFirstColumn="0" w:firstRowLastColumn="0" w:lastRowFirstColumn="0" w:lastRowLastColumn="0"/>
            <w:tcW w:w="2972" w:type="dxa"/>
            <w:gridSpan w:val="2"/>
            <w:vAlign w:val="center"/>
          </w:tcPr>
          <w:p w14:paraId="0423AEFA" w14:textId="77777777" w:rsidR="001731EF" w:rsidRPr="00140BF5" w:rsidRDefault="001731EF" w:rsidP="0011084D">
            <w:pPr>
              <w:spacing w:before="60" w:after="60" w:line="480" w:lineRule="auto"/>
              <w:jc w:val="center"/>
              <w:rPr>
                <w:b w:val="0"/>
                <w:sz w:val="20"/>
                <w:szCs w:val="20"/>
                <w:lang w:val="en-GB"/>
              </w:rPr>
            </w:pPr>
            <w:r w:rsidRPr="00140BF5">
              <w:rPr>
                <w:b w:val="0"/>
                <w:sz w:val="20"/>
                <w:szCs w:val="20"/>
                <w:lang w:val="en-GB"/>
              </w:rPr>
              <w:t>Apply chain liability</w:t>
            </w:r>
          </w:p>
        </w:tc>
        <w:tc>
          <w:tcPr>
            <w:tcW w:w="2977" w:type="dxa"/>
            <w:gridSpan w:val="2"/>
            <w:vAlign w:val="center"/>
          </w:tcPr>
          <w:p w14:paraId="67FC5534" w14:textId="77777777" w:rsidR="001731EF" w:rsidRPr="00140BF5" w:rsidRDefault="001731EF" w:rsidP="0011084D">
            <w:pPr>
              <w:spacing w:before="60" w:after="60"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140BF5">
              <w:rPr>
                <w:sz w:val="20"/>
                <w:szCs w:val="20"/>
                <w:lang w:val="en-GB"/>
              </w:rPr>
              <w:t>Apply chain liability</w:t>
            </w:r>
          </w:p>
        </w:tc>
        <w:tc>
          <w:tcPr>
            <w:tcW w:w="2835" w:type="dxa"/>
            <w:vAlign w:val="center"/>
          </w:tcPr>
          <w:p w14:paraId="565DA86C" w14:textId="77777777" w:rsidR="001731EF" w:rsidRPr="00140BF5" w:rsidRDefault="001731EF" w:rsidP="0011084D">
            <w:pPr>
              <w:spacing w:before="60" w:after="60" w:line="480" w:lineRule="auto"/>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140BF5">
              <w:rPr>
                <w:sz w:val="20"/>
                <w:szCs w:val="20"/>
                <w:lang w:val="en-GB"/>
              </w:rPr>
              <w:t>No subcontractors allowed</w:t>
            </w:r>
          </w:p>
        </w:tc>
      </w:tr>
    </w:tbl>
    <w:p w14:paraId="0FDC1F14" w14:textId="77777777" w:rsidR="001731EF" w:rsidRPr="00140BF5" w:rsidRDefault="001731EF" w:rsidP="0011084D">
      <w:pPr>
        <w:pStyle w:val="Bibliographicalreference"/>
        <w:spacing w:before="0" w:line="480" w:lineRule="auto"/>
        <w:jc w:val="both"/>
        <w:rPr>
          <w:rFonts w:asciiTheme="minorHAnsi" w:hAnsiTheme="minorHAnsi"/>
          <w:sz w:val="22"/>
        </w:rPr>
      </w:pPr>
    </w:p>
    <w:sectPr w:rsidR="001731EF" w:rsidRPr="00140BF5" w:rsidSect="00FF00C4">
      <w:endnotePr>
        <w:numFmt w:val="decimal"/>
      </w:end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C7B5" w14:textId="77777777" w:rsidR="00265F87" w:rsidRDefault="00265F87" w:rsidP="00684750">
      <w:pPr>
        <w:spacing w:after="0" w:line="240" w:lineRule="auto"/>
      </w:pPr>
      <w:r>
        <w:separator/>
      </w:r>
    </w:p>
  </w:endnote>
  <w:endnote w:type="continuationSeparator" w:id="0">
    <w:p w14:paraId="6888A80C" w14:textId="77777777" w:rsidR="00265F87" w:rsidRDefault="00265F87" w:rsidP="00684750">
      <w:pPr>
        <w:spacing w:after="0" w:line="240" w:lineRule="auto"/>
      </w:pPr>
      <w:r>
        <w:continuationSeparator/>
      </w:r>
    </w:p>
  </w:endnote>
  <w:endnote w:type="continuationNotice" w:id="1">
    <w:p w14:paraId="6E8387FC" w14:textId="77777777" w:rsidR="00265F87" w:rsidRDefault="00265F87">
      <w:pPr>
        <w:spacing w:after="0" w:line="240" w:lineRule="auto"/>
      </w:pPr>
    </w:p>
  </w:endnote>
  <w:endnote w:id="2">
    <w:p w14:paraId="3EABCAB6" w14:textId="5F8508A9" w:rsidR="00FF00C4" w:rsidRDefault="00FF00C4">
      <w:pPr>
        <w:pStyle w:val="Slutnotetekst"/>
      </w:pPr>
      <w:r>
        <w:rPr>
          <w:rStyle w:val="Slutnotehenvisning"/>
        </w:rPr>
        <w:endnoteRef/>
      </w:r>
      <w:r>
        <w:t xml:space="preserve"> </w:t>
      </w:r>
      <w:r w:rsidRPr="0017683D">
        <w:rPr>
          <w:sz w:val="18"/>
          <w:lang w:val="en-GB"/>
        </w:rPr>
        <w:t>As defined by the International Labour Organisation convention No. 94,</w:t>
      </w:r>
      <w:r>
        <w:rPr>
          <w:sz w:val="18"/>
          <w:lang w:val="en-GB"/>
        </w:rPr>
        <w:t xml:space="preserve"> a labour clause in public procurement requires subcontractors to meet prescribed social and labour standards in bids for public contracts, with the aim of upholding the best locally established working conditions.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5D8B">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596834"/>
      <w:docPartObj>
        <w:docPartGallery w:val="Page Numbers (Bottom of Page)"/>
        <w:docPartUnique/>
      </w:docPartObj>
    </w:sdtPr>
    <w:sdtEndPr>
      <w:rPr>
        <w:noProof/>
      </w:rPr>
    </w:sdtEndPr>
    <w:sdtContent>
      <w:p w14:paraId="73C1DCD2" w14:textId="75630E57" w:rsidR="00FD59F4" w:rsidRDefault="00FD59F4">
        <w:pPr>
          <w:pStyle w:val="Sidefod"/>
          <w:jc w:val="right"/>
        </w:pPr>
        <w:r>
          <w:fldChar w:fldCharType="begin"/>
        </w:r>
        <w:r>
          <w:instrText xml:space="preserve"> PAGE   \* MERGEFORMAT </w:instrText>
        </w:r>
        <w:r>
          <w:fldChar w:fldCharType="separate"/>
        </w:r>
        <w:r w:rsidR="00B005CD">
          <w:rPr>
            <w:noProof/>
          </w:rPr>
          <w:t>3</w:t>
        </w:r>
        <w:r>
          <w:rPr>
            <w:noProof/>
          </w:rPr>
          <w:fldChar w:fldCharType="end"/>
        </w:r>
      </w:p>
    </w:sdtContent>
  </w:sdt>
  <w:p w14:paraId="6F4157D3" w14:textId="77777777" w:rsidR="00FD59F4" w:rsidRDefault="00FD59F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7E431" w14:textId="77777777" w:rsidR="00265F87" w:rsidRDefault="00265F87" w:rsidP="00684750">
      <w:pPr>
        <w:spacing w:after="0" w:line="240" w:lineRule="auto"/>
      </w:pPr>
      <w:r>
        <w:separator/>
      </w:r>
    </w:p>
  </w:footnote>
  <w:footnote w:type="continuationSeparator" w:id="0">
    <w:p w14:paraId="0AD09476" w14:textId="77777777" w:rsidR="00265F87" w:rsidRDefault="00265F87" w:rsidP="00684750">
      <w:pPr>
        <w:spacing w:after="0" w:line="240" w:lineRule="auto"/>
      </w:pPr>
      <w:r>
        <w:continuationSeparator/>
      </w:r>
    </w:p>
  </w:footnote>
  <w:footnote w:type="continuationNotice" w:id="1">
    <w:p w14:paraId="5CC0C645" w14:textId="77777777" w:rsidR="00265F87" w:rsidRDefault="00265F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2074" w14:textId="77777777" w:rsidR="00FD59F4" w:rsidRDefault="00FD59F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AFD"/>
    <w:multiLevelType w:val="hybridMultilevel"/>
    <w:tmpl w:val="1E8A15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EE3297"/>
    <w:multiLevelType w:val="hybridMultilevel"/>
    <w:tmpl w:val="C20AAF3C"/>
    <w:lvl w:ilvl="0" w:tplc="BA246816">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01120"/>
    <w:multiLevelType w:val="hybridMultilevel"/>
    <w:tmpl w:val="1778DB40"/>
    <w:lvl w:ilvl="0" w:tplc="B4E4FE5C">
      <w:start w:val="2"/>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9011CE8"/>
    <w:multiLevelType w:val="hybridMultilevel"/>
    <w:tmpl w:val="019C37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FF4524"/>
    <w:multiLevelType w:val="hybridMultilevel"/>
    <w:tmpl w:val="77EE5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4B6810"/>
    <w:multiLevelType w:val="hybridMultilevel"/>
    <w:tmpl w:val="0EAE8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956A2A"/>
    <w:multiLevelType w:val="hybridMultilevel"/>
    <w:tmpl w:val="45FC6B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6140FB2"/>
    <w:multiLevelType w:val="hybridMultilevel"/>
    <w:tmpl w:val="BA26F1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B6F6CA9"/>
    <w:multiLevelType w:val="hybridMultilevel"/>
    <w:tmpl w:val="BF7A6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E0699D"/>
    <w:multiLevelType w:val="hybridMultilevel"/>
    <w:tmpl w:val="0F0ED3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D375DD6"/>
    <w:multiLevelType w:val="hybridMultilevel"/>
    <w:tmpl w:val="DCCE8B80"/>
    <w:lvl w:ilvl="0" w:tplc="935A8F66">
      <w:start w:val="1"/>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BE6ED4"/>
    <w:multiLevelType w:val="hybridMultilevel"/>
    <w:tmpl w:val="1FCAF548"/>
    <w:lvl w:ilvl="0" w:tplc="4CA0FE72">
      <w:start w:val="1"/>
      <w:numFmt w:val="bullet"/>
      <w:lvlText w:val=""/>
      <w:lvlJc w:val="left"/>
      <w:pPr>
        <w:ind w:left="360" w:hanging="360"/>
      </w:pPr>
      <w:rPr>
        <w:rFonts w:ascii="Wingdings" w:eastAsiaTheme="minorHAnsi" w:hAnsi="Wingdings" w:cs="AdvP5D8B"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2907009"/>
    <w:multiLevelType w:val="hybridMultilevel"/>
    <w:tmpl w:val="98125C08"/>
    <w:lvl w:ilvl="0" w:tplc="B4E4FE5C">
      <w:start w:val="2"/>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2CA363D"/>
    <w:multiLevelType w:val="hybridMultilevel"/>
    <w:tmpl w:val="FB34C70A"/>
    <w:lvl w:ilvl="0" w:tplc="66F4252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935591"/>
    <w:multiLevelType w:val="hybridMultilevel"/>
    <w:tmpl w:val="11DEBFB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8BA7542"/>
    <w:multiLevelType w:val="hybridMultilevel"/>
    <w:tmpl w:val="906C0AF2"/>
    <w:lvl w:ilvl="0" w:tplc="BA246816">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A6B48E0"/>
    <w:multiLevelType w:val="multilevel"/>
    <w:tmpl w:val="947CE048"/>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EE93246"/>
    <w:multiLevelType w:val="hybridMultilevel"/>
    <w:tmpl w:val="C0028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3444D5"/>
    <w:multiLevelType w:val="hybridMultilevel"/>
    <w:tmpl w:val="C08AE0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6A30C77"/>
    <w:multiLevelType w:val="hybridMultilevel"/>
    <w:tmpl w:val="B0BCC484"/>
    <w:lvl w:ilvl="0" w:tplc="BA246816">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B420C3"/>
    <w:multiLevelType w:val="multilevel"/>
    <w:tmpl w:val="5FCEE94A"/>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F5B15EC"/>
    <w:multiLevelType w:val="hybridMultilevel"/>
    <w:tmpl w:val="DC5675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2A5457C"/>
    <w:multiLevelType w:val="hybridMultilevel"/>
    <w:tmpl w:val="5F20E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561FE3"/>
    <w:multiLevelType w:val="hybridMultilevel"/>
    <w:tmpl w:val="6A969E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8CA1503"/>
    <w:multiLevelType w:val="hybridMultilevel"/>
    <w:tmpl w:val="AC12E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B72C79"/>
    <w:multiLevelType w:val="hybridMultilevel"/>
    <w:tmpl w:val="947CE048"/>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FB145AF"/>
    <w:multiLevelType w:val="hybridMultilevel"/>
    <w:tmpl w:val="026078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1A25A03"/>
    <w:multiLevelType w:val="hybridMultilevel"/>
    <w:tmpl w:val="EEFA8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3563452"/>
    <w:multiLevelType w:val="hybridMultilevel"/>
    <w:tmpl w:val="D070F98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9" w15:restartNumberingAfterBreak="0">
    <w:nsid w:val="64FE3711"/>
    <w:multiLevelType w:val="hybridMultilevel"/>
    <w:tmpl w:val="BB240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C34C16"/>
    <w:multiLevelType w:val="hybridMultilevel"/>
    <w:tmpl w:val="356E46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D743A28"/>
    <w:multiLevelType w:val="hybridMultilevel"/>
    <w:tmpl w:val="AB16D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232D13"/>
    <w:multiLevelType w:val="hybridMultilevel"/>
    <w:tmpl w:val="E2127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4355879"/>
    <w:multiLevelType w:val="hybridMultilevel"/>
    <w:tmpl w:val="A6A6AE66"/>
    <w:lvl w:ilvl="0" w:tplc="BA246816">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C6400C"/>
    <w:multiLevelType w:val="hybridMultilevel"/>
    <w:tmpl w:val="A6C086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6"/>
  </w:num>
  <w:num w:numId="2">
    <w:abstractNumId w:val="22"/>
  </w:num>
  <w:num w:numId="3">
    <w:abstractNumId w:val="28"/>
  </w:num>
  <w:num w:numId="4">
    <w:abstractNumId w:val="31"/>
  </w:num>
  <w:num w:numId="5">
    <w:abstractNumId w:val="10"/>
  </w:num>
  <w:num w:numId="6">
    <w:abstractNumId w:val="11"/>
  </w:num>
  <w:num w:numId="7">
    <w:abstractNumId w:val="18"/>
  </w:num>
  <w:num w:numId="8">
    <w:abstractNumId w:val="0"/>
  </w:num>
  <w:num w:numId="9">
    <w:abstractNumId w:val="20"/>
  </w:num>
  <w:num w:numId="10">
    <w:abstractNumId w:val="25"/>
  </w:num>
  <w:num w:numId="11">
    <w:abstractNumId w:val="2"/>
  </w:num>
  <w:num w:numId="12">
    <w:abstractNumId w:val="13"/>
  </w:num>
  <w:num w:numId="13">
    <w:abstractNumId w:val="12"/>
  </w:num>
  <w:num w:numId="14">
    <w:abstractNumId w:val="14"/>
  </w:num>
  <w:num w:numId="15">
    <w:abstractNumId w:val="16"/>
  </w:num>
  <w:num w:numId="16">
    <w:abstractNumId w:val="3"/>
  </w:num>
  <w:num w:numId="17">
    <w:abstractNumId w:val="32"/>
  </w:num>
  <w:num w:numId="18">
    <w:abstractNumId w:val="23"/>
  </w:num>
  <w:num w:numId="19">
    <w:abstractNumId w:val="5"/>
  </w:num>
  <w:num w:numId="20">
    <w:abstractNumId w:val="24"/>
  </w:num>
  <w:num w:numId="21">
    <w:abstractNumId w:val="8"/>
  </w:num>
  <w:num w:numId="22">
    <w:abstractNumId w:val="4"/>
  </w:num>
  <w:num w:numId="23">
    <w:abstractNumId w:val="34"/>
  </w:num>
  <w:num w:numId="24">
    <w:abstractNumId w:val="9"/>
  </w:num>
  <w:num w:numId="25">
    <w:abstractNumId w:val="7"/>
  </w:num>
  <w:num w:numId="26">
    <w:abstractNumId w:val="30"/>
  </w:num>
  <w:num w:numId="27">
    <w:abstractNumId w:val="27"/>
  </w:num>
  <w:num w:numId="28">
    <w:abstractNumId w:val="17"/>
  </w:num>
  <w:num w:numId="29">
    <w:abstractNumId w:val="21"/>
  </w:num>
  <w:num w:numId="30">
    <w:abstractNumId w:val="6"/>
  </w:num>
  <w:num w:numId="31">
    <w:abstractNumId w:val="29"/>
  </w:num>
  <w:num w:numId="32">
    <w:abstractNumId w:val="15"/>
  </w:num>
  <w:num w:numId="33">
    <w:abstractNumId w:val="33"/>
  </w:num>
  <w:num w:numId="34">
    <w:abstractNumId w:val="1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a-DK" w:vendorID="64" w:dllVersion="131078" w:nlCheck="1" w:checkStyle="0"/>
  <w:defaultTabStop w:val="708"/>
  <w:hyphenationZone w:val="425"/>
  <w:characterSpacingControl w:val="doNotCompres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06"/>
    <w:rsid w:val="000021FE"/>
    <w:rsid w:val="00002ABC"/>
    <w:rsid w:val="00002FEF"/>
    <w:rsid w:val="00003C73"/>
    <w:rsid w:val="00006F29"/>
    <w:rsid w:val="0000716F"/>
    <w:rsid w:val="00007DC0"/>
    <w:rsid w:val="000100F9"/>
    <w:rsid w:val="00014274"/>
    <w:rsid w:val="0001476A"/>
    <w:rsid w:val="00015E8F"/>
    <w:rsid w:val="000160AD"/>
    <w:rsid w:val="00020494"/>
    <w:rsid w:val="0002156B"/>
    <w:rsid w:val="00021842"/>
    <w:rsid w:val="00023E37"/>
    <w:rsid w:val="0002468A"/>
    <w:rsid w:val="0002569F"/>
    <w:rsid w:val="00027A7D"/>
    <w:rsid w:val="00030EF9"/>
    <w:rsid w:val="000328C6"/>
    <w:rsid w:val="00032E89"/>
    <w:rsid w:val="00033884"/>
    <w:rsid w:val="00034240"/>
    <w:rsid w:val="00037B69"/>
    <w:rsid w:val="00040CD7"/>
    <w:rsid w:val="0004409A"/>
    <w:rsid w:val="00045133"/>
    <w:rsid w:val="00045DC7"/>
    <w:rsid w:val="00046B23"/>
    <w:rsid w:val="00047BFF"/>
    <w:rsid w:val="00053BEF"/>
    <w:rsid w:val="000546F5"/>
    <w:rsid w:val="00054A55"/>
    <w:rsid w:val="00057192"/>
    <w:rsid w:val="000579BF"/>
    <w:rsid w:val="00061026"/>
    <w:rsid w:val="00062B9B"/>
    <w:rsid w:val="00064AE7"/>
    <w:rsid w:val="00064E06"/>
    <w:rsid w:val="00065451"/>
    <w:rsid w:val="00066753"/>
    <w:rsid w:val="00067777"/>
    <w:rsid w:val="0007005B"/>
    <w:rsid w:val="000709DE"/>
    <w:rsid w:val="00070BE2"/>
    <w:rsid w:val="00071C3B"/>
    <w:rsid w:val="00073EC1"/>
    <w:rsid w:val="0007407B"/>
    <w:rsid w:val="00074ED9"/>
    <w:rsid w:val="00077EF4"/>
    <w:rsid w:val="00080513"/>
    <w:rsid w:val="00080622"/>
    <w:rsid w:val="00081C63"/>
    <w:rsid w:val="0009172B"/>
    <w:rsid w:val="00092587"/>
    <w:rsid w:val="00094230"/>
    <w:rsid w:val="00095C37"/>
    <w:rsid w:val="000A5428"/>
    <w:rsid w:val="000A54E2"/>
    <w:rsid w:val="000A5D07"/>
    <w:rsid w:val="000A6309"/>
    <w:rsid w:val="000B0B55"/>
    <w:rsid w:val="000B16D4"/>
    <w:rsid w:val="000B2B04"/>
    <w:rsid w:val="000B465F"/>
    <w:rsid w:val="000B5D78"/>
    <w:rsid w:val="000C0424"/>
    <w:rsid w:val="000C0834"/>
    <w:rsid w:val="000C133A"/>
    <w:rsid w:val="000C2286"/>
    <w:rsid w:val="000C2EF2"/>
    <w:rsid w:val="000C4102"/>
    <w:rsid w:val="000C785D"/>
    <w:rsid w:val="000D01BF"/>
    <w:rsid w:val="000D1323"/>
    <w:rsid w:val="000D1ECD"/>
    <w:rsid w:val="000D23E5"/>
    <w:rsid w:val="000D2C03"/>
    <w:rsid w:val="000D2EDF"/>
    <w:rsid w:val="000D31EA"/>
    <w:rsid w:val="000D3C1E"/>
    <w:rsid w:val="000D42F1"/>
    <w:rsid w:val="000D5BEC"/>
    <w:rsid w:val="000D6057"/>
    <w:rsid w:val="000D6DC5"/>
    <w:rsid w:val="000D740B"/>
    <w:rsid w:val="000E00DC"/>
    <w:rsid w:val="000E13ED"/>
    <w:rsid w:val="000E1AB9"/>
    <w:rsid w:val="000E1B53"/>
    <w:rsid w:val="000E1FEE"/>
    <w:rsid w:val="000E2555"/>
    <w:rsid w:val="000E5270"/>
    <w:rsid w:val="000E662F"/>
    <w:rsid w:val="000F018B"/>
    <w:rsid w:val="000F223A"/>
    <w:rsid w:val="000F23A9"/>
    <w:rsid w:val="000F47A7"/>
    <w:rsid w:val="000F4AE9"/>
    <w:rsid w:val="000F4E64"/>
    <w:rsid w:val="000F7A93"/>
    <w:rsid w:val="00100F32"/>
    <w:rsid w:val="00101EFD"/>
    <w:rsid w:val="00106496"/>
    <w:rsid w:val="00106B28"/>
    <w:rsid w:val="00106E42"/>
    <w:rsid w:val="0011084D"/>
    <w:rsid w:val="00111D60"/>
    <w:rsid w:val="0011218C"/>
    <w:rsid w:val="00117061"/>
    <w:rsid w:val="00117671"/>
    <w:rsid w:val="00120EC7"/>
    <w:rsid w:val="0012153F"/>
    <w:rsid w:val="00122238"/>
    <w:rsid w:val="0012324F"/>
    <w:rsid w:val="00124FAE"/>
    <w:rsid w:val="001256A2"/>
    <w:rsid w:val="0012715A"/>
    <w:rsid w:val="00130632"/>
    <w:rsid w:val="001366B8"/>
    <w:rsid w:val="00140BF5"/>
    <w:rsid w:val="001427A4"/>
    <w:rsid w:val="00142E3A"/>
    <w:rsid w:val="00145FA1"/>
    <w:rsid w:val="00146BFF"/>
    <w:rsid w:val="0014742A"/>
    <w:rsid w:val="00147E3F"/>
    <w:rsid w:val="001509B6"/>
    <w:rsid w:val="0015150E"/>
    <w:rsid w:val="00154226"/>
    <w:rsid w:val="001544C0"/>
    <w:rsid w:val="00154745"/>
    <w:rsid w:val="00156ED6"/>
    <w:rsid w:val="001602FA"/>
    <w:rsid w:val="00160947"/>
    <w:rsid w:val="001649A7"/>
    <w:rsid w:val="001651E1"/>
    <w:rsid w:val="00167B4A"/>
    <w:rsid w:val="00170685"/>
    <w:rsid w:val="001731EF"/>
    <w:rsid w:val="0017683D"/>
    <w:rsid w:val="00177532"/>
    <w:rsid w:val="0017795E"/>
    <w:rsid w:val="001810D4"/>
    <w:rsid w:val="00182A80"/>
    <w:rsid w:val="00182BEA"/>
    <w:rsid w:val="00185F0A"/>
    <w:rsid w:val="001864DC"/>
    <w:rsid w:val="00187574"/>
    <w:rsid w:val="00190171"/>
    <w:rsid w:val="0019387F"/>
    <w:rsid w:val="001A0700"/>
    <w:rsid w:val="001A111A"/>
    <w:rsid w:val="001A2201"/>
    <w:rsid w:val="001A3300"/>
    <w:rsid w:val="001A358D"/>
    <w:rsid w:val="001A3C53"/>
    <w:rsid w:val="001A55F2"/>
    <w:rsid w:val="001A5611"/>
    <w:rsid w:val="001B0BB3"/>
    <w:rsid w:val="001B172D"/>
    <w:rsid w:val="001B3D79"/>
    <w:rsid w:val="001B5EE2"/>
    <w:rsid w:val="001C063A"/>
    <w:rsid w:val="001C065F"/>
    <w:rsid w:val="001C0CC8"/>
    <w:rsid w:val="001C1029"/>
    <w:rsid w:val="001D262F"/>
    <w:rsid w:val="001D3542"/>
    <w:rsid w:val="001D35A5"/>
    <w:rsid w:val="001D3971"/>
    <w:rsid w:val="001D5829"/>
    <w:rsid w:val="001E25F5"/>
    <w:rsid w:val="001E31A4"/>
    <w:rsid w:val="001E4873"/>
    <w:rsid w:val="001E7B4A"/>
    <w:rsid w:val="001F1291"/>
    <w:rsid w:val="001F1D16"/>
    <w:rsid w:val="001F3162"/>
    <w:rsid w:val="001F3E47"/>
    <w:rsid w:val="001F436E"/>
    <w:rsid w:val="001F69D6"/>
    <w:rsid w:val="001F6F81"/>
    <w:rsid w:val="001F71A9"/>
    <w:rsid w:val="0020145E"/>
    <w:rsid w:val="0020174B"/>
    <w:rsid w:val="00201D82"/>
    <w:rsid w:val="00203B61"/>
    <w:rsid w:val="002049C2"/>
    <w:rsid w:val="002061E3"/>
    <w:rsid w:val="0021090E"/>
    <w:rsid w:val="00211EDE"/>
    <w:rsid w:val="002136FA"/>
    <w:rsid w:val="00214EFF"/>
    <w:rsid w:val="00215C83"/>
    <w:rsid w:val="00216E16"/>
    <w:rsid w:val="00220408"/>
    <w:rsid w:val="002207DA"/>
    <w:rsid w:val="00222DDB"/>
    <w:rsid w:val="00227166"/>
    <w:rsid w:val="0023353C"/>
    <w:rsid w:val="00233F10"/>
    <w:rsid w:val="002341B9"/>
    <w:rsid w:val="00234318"/>
    <w:rsid w:val="00236030"/>
    <w:rsid w:val="00237A3F"/>
    <w:rsid w:val="002408DC"/>
    <w:rsid w:val="002428CC"/>
    <w:rsid w:val="00242A9C"/>
    <w:rsid w:val="00244D34"/>
    <w:rsid w:val="00246176"/>
    <w:rsid w:val="00246413"/>
    <w:rsid w:val="00246B55"/>
    <w:rsid w:val="00253A8A"/>
    <w:rsid w:val="00253F00"/>
    <w:rsid w:val="0025607C"/>
    <w:rsid w:val="0025737B"/>
    <w:rsid w:val="00263BE5"/>
    <w:rsid w:val="002645FF"/>
    <w:rsid w:val="002651FB"/>
    <w:rsid w:val="00265C86"/>
    <w:rsid w:val="00265F87"/>
    <w:rsid w:val="002671EB"/>
    <w:rsid w:val="00267E0C"/>
    <w:rsid w:val="00273A57"/>
    <w:rsid w:val="002740A1"/>
    <w:rsid w:val="00276B2B"/>
    <w:rsid w:val="00282167"/>
    <w:rsid w:val="0028290C"/>
    <w:rsid w:val="002840E4"/>
    <w:rsid w:val="0028784F"/>
    <w:rsid w:val="00290404"/>
    <w:rsid w:val="002918B5"/>
    <w:rsid w:val="00291CFB"/>
    <w:rsid w:val="002944F5"/>
    <w:rsid w:val="00295600"/>
    <w:rsid w:val="00295C49"/>
    <w:rsid w:val="00295CCD"/>
    <w:rsid w:val="00296A16"/>
    <w:rsid w:val="002A1110"/>
    <w:rsid w:val="002A1748"/>
    <w:rsid w:val="002A1E74"/>
    <w:rsid w:val="002A3FCE"/>
    <w:rsid w:val="002A4C5C"/>
    <w:rsid w:val="002A5AB6"/>
    <w:rsid w:val="002A6500"/>
    <w:rsid w:val="002A6BBC"/>
    <w:rsid w:val="002A7842"/>
    <w:rsid w:val="002B0743"/>
    <w:rsid w:val="002B09A1"/>
    <w:rsid w:val="002B12F9"/>
    <w:rsid w:val="002B15C1"/>
    <w:rsid w:val="002B2C11"/>
    <w:rsid w:val="002B3945"/>
    <w:rsid w:val="002B4429"/>
    <w:rsid w:val="002B5F25"/>
    <w:rsid w:val="002B651F"/>
    <w:rsid w:val="002C0100"/>
    <w:rsid w:val="002C081D"/>
    <w:rsid w:val="002C17A3"/>
    <w:rsid w:val="002C56D3"/>
    <w:rsid w:val="002C6AA4"/>
    <w:rsid w:val="002D0202"/>
    <w:rsid w:val="002D154D"/>
    <w:rsid w:val="002D32C7"/>
    <w:rsid w:val="002D37FB"/>
    <w:rsid w:val="002D3AC3"/>
    <w:rsid w:val="002D46FF"/>
    <w:rsid w:val="002D4B45"/>
    <w:rsid w:val="002D69AF"/>
    <w:rsid w:val="002D7C63"/>
    <w:rsid w:val="002E04FD"/>
    <w:rsid w:val="002E132D"/>
    <w:rsid w:val="002E1B7F"/>
    <w:rsid w:val="002E2D23"/>
    <w:rsid w:val="002E54F1"/>
    <w:rsid w:val="002E56E0"/>
    <w:rsid w:val="002E6051"/>
    <w:rsid w:val="002E6157"/>
    <w:rsid w:val="002E6E78"/>
    <w:rsid w:val="002E7381"/>
    <w:rsid w:val="002E75B8"/>
    <w:rsid w:val="002F12BC"/>
    <w:rsid w:val="002F3CB7"/>
    <w:rsid w:val="002F43B4"/>
    <w:rsid w:val="002F4923"/>
    <w:rsid w:val="002F4B90"/>
    <w:rsid w:val="002F5392"/>
    <w:rsid w:val="00300F1E"/>
    <w:rsid w:val="00301DE6"/>
    <w:rsid w:val="00302AF0"/>
    <w:rsid w:val="00302DDB"/>
    <w:rsid w:val="0030334A"/>
    <w:rsid w:val="00303B2B"/>
    <w:rsid w:val="00307371"/>
    <w:rsid w:val="00307884"/>
    <w:rsid w:val="0031216F"/>
    <w:rsid w:val="003152E8"/>
    <w:rsid w:val="003201DF"/>
    <w:rsid w:val="003208C1"/>
    <w:rsid w:val="00322E5C"/>
    <w:rsid w:val="00323349"/>
    <w:rsid w:val="0033041F"/>
    <w:rsid w:val="0033616D"/>
    <w:rsid w:val="0033685C"/>
    <w:rsid w:val="00341EDD"/>
    <w:rsid w:val="00343A28"/>
    <w:rsid w:val="0035128C"/>
    <w:rsid w:val="00351AEF"/>
    <w:rsid w:val="00351D1C"/>
    <w:rsid w:val="00352E37"/>
    <w:rsid w:val="003541EA"/>
    <w:rsid w:val="00354F07"/>
    <w:rsid w:val="003550E9"/>
    <w:rsid w:val="003555E3"/>
    <w:rsid w:val="003569BB"/>
    <w:rsid w:val="00357EE6"/>
    <w:rsid w:val="0036240E"/>
    <w:rsid w:val="00362CA6"/>
    <w:rsid w:val="0036373C"/>
    <w:rsid w:val="00363AA9"/>
    <w:rsid w:val="00364866"/>
    <w:rsid w:val="00364A86"/>
    <w:rsid w:val="003670DB"/>
    <w:rsid w:val="003679BC"/>
    <w:rsid w:val="00370419"/>
    <w:rsid w:val="00372F54"/>
    <w:rsid w:val="00373129"/>
    <w:rsid w:val="00373216"/>
    <w:rsid w:val="00375ADD"/>
    <w:rsid w:val="003775F4"/>
    <w:rsid w:val="00377CC8"/>
    <w:rsid w:val="00382D90"/>
    <w:rsid w:val="00386A20"/>
    <w:rsid w:val="003871A0"/>
    <w:rsid w:val="003875AF"/>
    <w:rsid w:val="003933F3"/>
    <w:rsid w:val="003A2684"/>
    <w:rsid w:val="003A462F"/>
    <w:rsid w:val="003A5360"/>
    <w:rsid w:val="003B0EB7"/>
    <w:rsid w:val="003B0EE7"/>
    <w:rsid w:val="003B1A8E"/>
    <w:rsid w:val="003B36F8"/>
    <w:rsid w:val="003B3A21"/>
    <w:rsid w:val="003B55B6"/>
    <w:rsid w:val="003B6D2D"/>
    <w:rsid w:val="003B79C6"/>
    <w:rsid w:val="003C23BC"/>
    <w:rsid w:val="003C27D1"/>
    <w:rsid w:val="003C28BF"/>
    <w:rsid w:val="003C2E61"/>
    <w:rsid w:val="003C360E"/>
    <w:rsid w:val="003C3AF7"/>
    <w:rsid w:val="003C5084"/>
    <w:rsid w:val="003C5442"/>
    <w:rsid w:val="003C7905"/>
    <w:rsid w:val="003D093A"/>
    <w:rsid w:val="003D0CB7"/>
    <w:rsid w:val="003D0F47"/>
    <w:rsid w:val="003D121F"/>
    <w:rsid w:val="003D1D9F"/>
    <w:rsid w:val="003D362A"/>
    <w:rsid w:val="003D3A45"/>
    <w:rsid w:val="003D3FA5"/>
    <w:rsid w:val="003D4142"/>
    <w:rsid w:val="003D4C0B"/>
    <w:rsid w:val="003D517F"/>
    <w:rsid w:val="003D54A0"/>
    <w:rsid w:val="003D6678"/>
    <w:rsid w:val="003D6A2B"/>
    <w:rsid w:val="003D6F79"/>
    <w:rsid w:val="003D77CC"/>
    <w:rsid w:val="003D7816"/>
    <w:rsid w:val="003E139C"/>
    <w:rsid w:val="003E13B5"/>
    <w:rsid w:val="003E18B9"/>
    <w:rsid w:val="003E4F42"/>
    <w:rsid w:val="003E568C"/>
    <w:rsid w:val="003E6054"/>
    <w:rsid w:val="003E62DA"/>
    <w:rsid w:val="003F0105"/>
    <w:rsid w:val="003F59E6"/>
    <w:rsid w:val="003F62B7"/>
    <w:rsid w:val="00400ED8"/>
    <w:rsid w:val="00402DCF"/>
    <w:rsid w:val="004035EC"/>
    <w:rsid w:val="004047C6"/>
    <w:rsid w:val="00405C5B"/>
    <w:rsid w:val="004064CB"/>
    <w:rsid w:val="0040686A"/>
    <w:rsid w:val="00407E8B"/>
    <w:rsid w:val="0041151E"/>
    <w:rsid w:val="00411D65"/>
    <w:rsid w:val="00412B5C"/>
    <w:rsid w:val="00413081"/>
    <w:rsid w:val="00413E88"/>
    <w:rsid w:val="00415282"/>
    <w:rsid w:val="00415961"/>
    <w:rsid w:val="004162F4"/>
    <w:rsid w:val="0041753C"/>
    <w:rsid w:val="00426076"/>
    <w:rsid w:val="004260CC"/>
    <w:rsid w:val="004268B6"/>
    <w:rsid w:val="004305FE"/>
    <w:rsid w:val="00430DB2"/>
    <w:rsid w:val="00431B9B"/>
    <w:rsid w:val="004325CC"/>
    <w:rsid w:val="004340B7"/>
    <w:rsid w:val="0044096A"/>
    <w:rsid w:val="00442730"/>
    <w:rsid w:val="00443BE8"/>
    <w:rsid w:val="00444921"/>
    <w:rsid w:val="00445AEF"/>
    <w:rsid w:val="00445D4F"/>
    <w:rsid w:val="004472EA"/>
    <w:rsid w:val="00447FE4"/>
    <w:rsid w:val="00450128"/>
    <w:rsid w:val="004509F7"/>
    <w:rsid w:val="00451591"/>
    <w:rsid w:val="004532FF"/>
    <w:rsid w:val="00453857"/>
    <w:rsid w:val="00455531"/>
    <w:rsid w:val="00456633"/>
    <w:rsid w:val="00460824"/>
    <w:rsid w:val="004638E2"/>
    <w:rsid w:val="00465950"/>
    <w:rsid w:val="0046613B"/>
    <w:rsid w:val="00466C1E"/>
    <w:rsid w:val="00467E59"/>
    <w:rsid w:val="00470D29"/>
    <w:rsid w:val="00474C58"/>
    <w:rsid w:val="0047788F"/>
    <w:rsid w:val="004808F4"/>
    <w:rsid w:val="004821DD"/>
    <w:rsid w:val="0048224C"/>
    <w:rsid w:val="00482BBB"/>
    <w:rsid w:val="004848E4"/>
    <w:rsid w:val="00487731"/>
    <w:rsid w:val="004907B4"/>
    <w:rsid w:val="0049081D"/>
    <w:rsid w:val="004A1050"/>
    <w:rsid w:val="004A1A0E"/>
    <w:rsid w:val="004A2654"/>
    <w:rsid w:val="004A2965"/>
    <w:rsid w:val="004A4148"/>
    <w:rsid w:val="004A5168"/>
    <w:rsid w:val="004A5D88"/>
    <w:rsid w:val="004B05AE"/>
    <w:rsid w:val="004B31ED"/>
    <w:rsid w:val="004B399F"/>
    <w:rsid w:val="004B5147"/>
    <w:rsid w:val="004B5178"/>
    <w:rsid w:val="004B6863"/>
    <w:rsid w:val="004B6B59"/>
    <w:rsid w:val="004B6D48"/>
    <w:rsid w:val="004B7CDB"/>
    <w:rsid w:val="004B7F00"/>
    <w:rsid w:val="004C0A72"/>
    <w:rsid w:val="004C0B67"/>
    <w:rsid w:val="004C1DD4"/>
    <w:rsid w:val="004C38B4"/>
    <w:rsid w:val="004C4555"/>
    <w:rsid w:val="004C5472"/>
    <w:rsid w:val="004C5C85"/>
    <w:rsid w:val="004C652E"/>
    <w:rsid w:val="004C6FF5"/>
    <w:rsid w:val="004C7666"/>
    <w:rsid w:val="004C76D4"/>
    <w:rsid w:val="004C7E34"/>
    <w:rsid w:val="004D1DC2"/>
    <w:rsid w:val="004D2403"/>
    <w:rsid w:val="004D3057"/>
    <w:rsid w:val="004D3983"/>
    <w:rsid w:val="004D5EBC"/>
    <w:rsid w:val="004D737C"/>
    <w:rsid w:val="004E02A1"/>
    <w:rsid w:val="004E07EA"/>
    <w:rsid w:val="004E1AC0"/>
    <w:rsid w:val="004E22F6"/>
    <w:rsid w:val="004E3AD6"/>
    <w:rsid w:val="004E3F33"/>
    <w:rsid w:val="004F09CE"/>
    <w:rsid w:val="004F0AFD"/>
    <w:rsid w:val="004F443D"/>
    <w:rsid w:val="004F4954"/>
    <w:rsid w:val="004F4A4C"/>
    <w:rsid w:val="0050077D"/>
    <w:rsid w:val="00501214"/>
    <w:rsid w:val="005013FA"/>
    <w:rsid w:val="00504E4B"/>
    <w:rsid w:val="0050557D"/>
    <w:rsid w:val="00510377"/>
    <w:rsid w:val="00510B8F"/>
    <w:rsid w:val="00512BAE"/>
    <w:rsid w:val="00513AA5"/>
    <w:rsid w:val="00516F1E"/>
    <w:rsid w:val="00521C41"/>
    <w:rsid w:val="00522F9D"/>
    <w:rsid w:val="0052471F"/>
    <w:rsid w:val="005247E9"/>
    <w:rsid w:val="005257D8"/>
    <w:rsid w:val="00534B3E"/>
    <w:rsid w:val="00536C50"/>
    <w:rsid w:val="00537A83"/>
    <w:rsid w:val="00537DDC"/>
    <w:rsid w:val="00542728"/>
    <w:rsid w:val="00546793"/>
    <w:rsid w:val="00547374"/>
    <w:rsid w:val="0055082F"/>
    <w:rsid w:val="00550F36"/>
    <w:rsid w:val="00551CB5"/>
    <w:rsid w:val="00552632"/>
    <w:rsid w:val="00557304"/>
    <w:rsid w:val="00560082"/>
    <w:rsid w:val="00560BA4"/>
    <w:rsid w:val="00563F75"/>
    <w:rsid w:val="00564BB9"/>
    <w:rsid w:val="00567DFF"/>
    <w:rsid w:val="00570559"/>
    <w:rsid w:val="00570620"/>
    <w:rsid w:val="005713BB"/>
    <w:rsid w:val="00577B01"/>
    <w:rsid w:val="0058058E"/>
    <w:rsid w:val="00581693"/>
    <w:rsid w:val="00582107"/>
    <w:rsid w:val="005824B7"/>
    <w:rsid w:val="00583C63"/>
    <w:rsid w:val="00585174"/>
    <w:rsid w:val="00585366"/>
    <w:rsid w:val="00585CD1"/>
    <w:rsid w:val="00587F6D"/>
    <w:rsid w:val="005922F4"/>
    <w:rsid w:val="00594CC1"/>
    <w:rsid w:val="0059689E"/>
    <w:rsid w:val="00596BE3"/>
    <w:rsid w:val="00596E11"/>
    <w:rsid w:val="00597141"/>
    <w:rsid w:val="005A1FBC"/>
    <w:rsid w:val="005A31ED"/>
    <w:rsid w:val="005B1224"/>
    <w:rsid w:val="005B2C63"/>
    <w:rsid w:val="005B3A3C"/>
    <w:rsid w:val="005B40FA"/>
    <w:rsid w:val="005B50B9"/>
    <w:rsid w:val="005B52DF"/>
    <w:rsid w:val="005B69E6"/>
    <w:rsid w:val="005B6C98"/>
    <w:rsid w:val="005C10EC"/>
    <w:rsid w:val="005C1933"/>
    <w:rsid w:val="005C19F1"/>
    <w:rsid w:val="005C3AF1"/>
    <w:rsid w:val="005C65A1"/>
    <w:rsid w:val="005C74AE"/>
    <w:rsid w:val="005C78A5"/>
    <w:rsid w:val="005D1C89"/>
    <w:rsid w:val="005D65BA"/>
    <w:rsid w:val="005D6A82"/>
    <w:rsid w:val="005D6DFC"/>
    <w:rsid w:val="005E333B"/>
    <w:rsid w:val="005E3626"/>
    <w:rsid w:val="005E471D"/>
    <w:rsid w:val="005E4AE9"/>
    <w:rsid w:val="005E51AA"/>
    <w:rsid w:val="005F1426"/>
    <w:rsid w:val="005F16FD"/>
    <w:rsid w:val="005F4464"/>
    <w:rsid w:val="005F4DDA"/>
    <w:rsid w:val="005F54D0"/>
    <w:rsid w:val="005F588E"/>
    <w:rsid w:val="005F7CD5"/>
    <w:rsid w:val="006015BA"/>
    <w:rsid w:val="006053CE"/>
    <w:rsid w:val="0060575C"/>
    <w:rsid w:val="00612C21"/>
    <w:rsid w:val="006131DA"/>
    <w:rsid w:val="006157D3"/>
    <w:rsid w:val="00616454"/>
    <w:rsid w:val="00617054"/>
    <w:rsid w:val="00617703"/>
    <w:rsid w:val="00620636"/>
    <w:rsid w:val="00624EF8"/>
    <w:rsid w:val="00625349"/>
    <w:rsid w:val="00625401"/>
    <w:rsid w:val="006257E2"/>
    <w:rsid w:val="006263AB"/>
    <w:rsid w:val="00630CEF"/>
    <w:rsid w:val="006316B8"/>
    <w:rsid w:val="00631A64"/>
    <w:rsid w:val="006325F7"/>
    <w:rsid w:val="0063290B"/>
    <w:rsid w:val="00632D17"/>
    <w:rsid w:val="006356FD"/>
    <w:rsid w:val="00636063"/>
    <w:rsid w:val="00636264"/>
    <w:rsid w:val="0063703E"/>
    <w:rsid w:val="0064074D"/>
    <w:rsid w:val="00640B4B"/>
    <w:rsid w:val="0064310E"/>
    <w:rsid w:val="0064479A"/>
    <w:rsid w:val="00644EA3"/>
    <w:rsid w:val="00645B17"/>
    <w:rsid w:val="00646054"/>
    <w:rsid w:val="006461DF"/>
    <w:rsid w:val="00650A51"/>
    <w:rsid w:val="006510E5"/>
    <w:rsid w:val="00654C0C"/>
    <w:rsid w:val="0065608B"/>
    <w:rsid w:val="00657D81"/>
    <w:rsid w:val="00660ECE"/>
    <w:rsid w:val="00661960"/>
    <w:rsid w:val="006655BF"/>
    <w:rsid w:val="006662A0"/>
    <w:rsid w:val="00666B33"/>
    <w:rsid w:val="006718E7"/>
    <w:rsid w:val="00674357"/>
    <w:rsid w:val="0067495C"/>
    <w:rsid w:val="00674DCF"/>
    <w:rsid w:val="00675066"/>
    <w:rsid w:val="006776B2"/>
    <w:rsid w:val="006777B0"/>
    <w:rsid w:val="00680505"/>
    <w:rsid w:val="00680C69"/>
    <w:rsid w:val="006834C6"/>
    <w:rsid w:val="00684750"/>
    <w:rsid w:val="0069178D"/>
    <w:rsid w:val="006935CE"/>
    <w:rsid w:val="00694755"/>
    <w:rsid w:val="00694DE0"/>
    <w:rsid w:val="006A08A9"/>
    <w:rsid w:val="006A20D1"/>
    <w:rsid w:val="006A23B8"/>
    <w:rsid w:val="006A35BE"/>
    <w:rsid w:val="006A3ED9"/>
    <w:rsid w:val="006A704E"/>
    <w:rsid w:val="006A73AE"/>
    <w:rsid w:val="006B4503"/>
    <w:rsid w:val="006B4B15"/>
    <w:rsid w:val="006B677F"/>
    <w:rsid w:val="006C117B"/>
    <w:rsid w:val="006C15F8"/>
    <w:rsid w:val="006C1FC0"/>
    <w:rsid w:val="006C4A44"/>
    <w:rsid w:val="006C56EB"/>
    <w:rsid w:val="006C5BC4"/>
    <w:rsid w:val="006C7D8E"/>
    <w:rsid w:val="006D019A"/>
    <w:rsid w:val="006D2C8F"/>
    <w:rsid w:val="006D5C74"/>
    <w:rsid w:val="006D64F1"/>
    <w:rsid w:val="006D669A"/>
    <w:rsid w:val="006D7409"/>
    <w:rsid w:val="006D77CF"/>
    <w:rsid w:val="006E0954"/>
    <w:rsid w:val="006E1127"/>
    <w:rsid w:val="006E12BF"/>
    <w:rsid w:val="006E26B4"/>
    <w:rsid w:val="006E2786"/>
    <w:rsid w:val="006E35C0"/>
    <w:rsid w:val="006E3D81"/>
    <w:rsid w:val="006E5AA6"/>
    <w:rsid w:val="006E5AF8"/>
    <w:rsid w:val="006E6A86"/>
    <w:rsid w:val="006E7308"/>
    <w:rsid w:val="006F1119"/>
    <w:rsid w:val="006F20CD"/>
    <w:rsid w:val="006F2CE7"/>
    <w:rsid w:val="006F316A"/>
    <w:rsid w:val="006F355A"/>
    <w:rsid w:val="006F3D2E"/>
    <w:rsid w:val="006F4D8E"/>
    <w:rsid w:val="006F5772"/>
    <w:rsid w:val="006F63EF"/>
    <w:rsid w:val="006F68E5"/>
    <w:rsid w:val="006F724C"/>
    <w:rsid w:val="00701319"/>
    <w:rsid w:val="007015FA"/>
    <w:rsid w:val="00702264"/>
    <w:rsid w:val="00702303"/>
    <w:rsid w:val="00704008"/>
    <w:rsid w:val="0070615E"/>
    <w:rsid w:val="007062EE"/>
    <w:rsid w:val="00706BFD"/>
    <w:rsid w:val="007079CE"/>
    <w:rsid w:val="00710D82"/>
    <w:rsid w:val="00711F07"/>
    <w:rsid w:val="00711FD7"/>
    <w:rsid w:val="007178D2"/>
    <w:rsid w:val="007201D1"/>
    <w:rsid w:val="0072118A"/>
    <w:rsid w:val="007216D5"/>
    <w:rsid w:val="00721BCD"/>
    <w:rsid w:val="007239C6"/>
    <w:rsid w:val="00723B64"/>
    <w:rsid w:val="0072484D"/>
    <w:rsid w:val="00725143"/>
    <w:rsid w:val="00725E8E"/>
    <w:rsid w:val="0072683A"/>
    <w:rsid w:val="0073259F"/>
    <w:rsid w:val="007338CE"/>
    <w:rsid w:val="00733AF0"/>
    <w:rsid w:val="00735399"/>
    <w:rsid w:val="00737E36"/>
    <w:rsid w:val="00740A96"/>
    <w:rsid w:val="00753B42"/>
    <w:rsid w:val="00753B6C"/>
    <w:rsid w:val="007541AA"/>
    <w:rsid w:val="00756DE7"/>
    <w:rsid w:val="00760665"/>
    <w:rsid w:val="00761E66"/>
    <w:rsid w:val="00762B24"/>
    <w:rsid w:val="00762B6E"/>
    <w:rsid w:val="00764263"/>
    <w:rsid w:val="00765F31"/>
    <w:rsid w:val="00766210"/>
    <w:rsid w:val="00766474"/>
    <w:rsid w:val="00766E7A"/>
    <w:rsid w:val="007674C2"/>
    <w:rsid w:val="00771602"/>
    <w:rsid w:val="007730EE"/>
    <w:rsid w:val="007736E0"/>
    <w:rsid w:val="00774624"/>
    <w:rsid w:val="00777AD6"/>
    <w:rsid w:val="00781626"/>
    <w:rsid w:val="0078333B"/>
    <w:rsid w:val="00783E7F"/>
    <w:rsid w:val="00785BD4"/>
    <w:rsid w:val="007876E4"/>
    <w:rsid w:val="0078776F"/>
    <w:rsid w:val="00787971"/>
    <w:rsid w:val="00787E69"/>
    <w:rsid w:val="00791AFF"/>
    <w:rsid w:val="00793A82"/>
    <w:rsid w:val="00795627"/>
    <w:rsid w:val="00795EAC"/>
    <w:rsid w:val="00796758"/>
    <w:rsid w:val="00797E12"/>
    <w:rsid w:val="007A1CBC"/>
    <w:rsid w:val="007A3E00"/>
    <w:rsid w:val="007A5C4B"/>
    <w:rsid w:val="007B08E3"/>
    <w:rsid w:val="007B0EA9"/>
    <w:rsid w:val="007B195C"/>
    <w:rsid w:val="007B1AEC"/>
    <w:rsid w:val="007B2B5F"/>
    <w:rsid w:val="007B4798"/>
    <w:rsid w:val="007B6881"/>
    <w:rsid w:val="007B730C"/>
    <w:rsid w:val="007B7B34"/>
    <w:rsid w:val="007C00C1"/>
    <w:rsid w:val="007C058F"/>
    <w:rsid w:val="007C2340"/>
    <w:rsid w:val="007C2654"/>
    <w:rsid w:val="007C4EBA"/>
    <w:rsid w:val="007C5059"/>
    <w:rsid w:val="007C5396"/>
    <w:rsid w:val="007C70EE"/>
    <w:rsid w:val="007C76DD"/>
    <w:rsid w:val="007D0B55"/>
    <w:rsid w:val="007D6ABA"/>
    <w:rsid w:val="007D7790"/>
    <w:rsid w:val="007D7965"/>
    <w:rsid w:val="007E0294"/>
    <w:rsid w:val="007E2948"/>
    <w:rsid w:val="007E2A87"/>
    <w:rsid w:val="007E2EDC"/>
    <w:rsid w:val="007E3511"/>
    <w:rsid w:val="007E3DE1"/>
    <w:rsid w:val="007E6457"/>
    <w:rsid w:val="007E66AD"/>
    <w:rsid w:val="007E6F61"/>
    <w:rsid w:val="007E7467"/>
    <w:rsid w:val="007F046A"/>
    <w:rsid w:val="007F4083"/>
    <w:rsid w:val="007F41E8"/>
    <w:rsid w:val="007F5301"/>
    <w:rsid w:val="007F7717"/>
    <w:rsid w:val="007F7BA0"/>
    <w:rsid w:val="007F7BBF"/>
    <w:rsid w:val="0080034E"/>
    <w:rsid w:val="00800EC7"/>
    <w:rsid w:val="008012C5"/>
    <w:rsid w:val="00801DBB"/>
    <w:rsid w:val="00802532"/>
    <w:rsid w:val="00804ADA"/>
    <w:rsid w:val="0080588D"/>
    <w:rsid w:val="008065A1"/>
    <w:rsid w:val="008073D3"/>
    <w:rsid w:val="00807DCD"/>
    <w:rsid w:val="00807F49"/>
    <w:rsid w:val="0081029D"/>
    <w:rsid w:val="00812171"/>
    <w:rsid w:val="00813B09"/>
    <w:rsid w:val="008144AD"/>
    <w:rsid w:val="00815FC8"/>
    <w:rsid w:val="00816459"/>
    <w:rsid w:val="0081657B"/>
    <w:rsid w:val="00817943"/>
    <w:rsid w:val="00823552"/>
    <w:rsid w:val="0082454C"/>
    <w:rsid w:val="00824F30"/>
    <w:rsid w:val="0082595E"/>
    <w:rsid w:val="00827A89"/>
    <w:rsid w:val="0083009E"/>
    <w:rsid w:val="00832936"/>
    <w:rsid w:val="00834318"/>
    <w:rsid w:val="00834460"/>
    <w:rsid w:val="00840B4C"/>
    <w:rsid w:val="00841A70"/>
    <w:rsid w:val="00841B38"/>
    <w:rsid w:val="00845522"/>
    <w:rsid w:val="00846C58"/>
    <w:rsid w:val="00847963"/>
    <w:rsid w:val="00847C07"/>
    <w:rsid w:val="00851954"/>
    <w:rsid w:val="008522E7"/>
    <w:rsid w:val="00853782"/>
    <w:rsid w:val="0085424E"/>
    <w:rsid w:val="00855955"/>
    <w:rsid w:val="00856A1C"/>
    <w:rsid w:val="008576F8"/>
    <w:rsid w:val="00862692"/>
    <w:rsid w:val="00862ECB"/>
    <w:rsid w:val="00863228"/>
    <w:rsid w:val="008652E8"/>
    <w:rsid w:val="00866207"/>
    <w:rsid w:val="008672AD"/>
    <w:rsid w:val="00867A81"/>
    <w:rsid w:val="00871BB2"/>
    <w:rsid w:val="0087208A"/>
    <w:rsid w:val="00873869"/>
    <w:rsid w:val="00873D86"/>
    <w:rsid w:val="00874B81"/>
    <w:rsid w:val="00874D66"/>
    <w:rsid w:val="00875A11"/>
    <w:rsid w:val="00876A52"/>
    <w:rsid w:val="00877622"/>
    <w:rsid w:val="0088004A"/>
    <w:rsid w:val="008869C4"/>
    <w:rsid w:val="00890CAB"/>
    <w:rsid w:val="00890D67"/>
    <w:rsid w:val="0089260E"/>
    <w:rsid w:val="00892716"/>
    <w:rsid w:val="00892D4C"/>
    <w:rsid w:val="00894464"/>
    <w:rsid w:val="008945AE"/>
    <w:rsid w:val="008A0820"/>
    <w:rsid w:val="008A25E3"/>
    <w:rsid w:val="008A2D5E"/>
    <w:rsid w:val="008A3DC2"/>
    <w:rsid w:val="008A3F6C"/>
    <w:rsid w:val="008A4E0C"/>
    <w:rsid w:val="008A5B1C"/>
    <w:rsid w:val="008A5B4B"/>
    <w:rsid w:val="008A5C89"/>
    <w:rsid w:val="008A6ADE"/>
    <w:rsid w:val="008B0429"/>
    <w:rsid w:val="008B5C71"/>
    <w:rsid w:val="008B6B05"/>
    <w:rsid w:val="008C1CE8"/>
    <w:rsid w:val="008C29C3"/>
    <w:rsid w:val="008C2D43"/>
    <w:rsid w:val="008C3310"/>
    <w:rsid w:val="008C534E"/>
    <w:rsid w:val="008C687B"/>
    <w:rsid w:val="008D1293"/>
    <w:rsid w:val="008D1680"/>
    <w:rsid w:val="008D19BF"/>
    <w:rsid w:val="008D31E5"/>
    <w:rsid w:val="008D34F2"/>
    <w:rsid w:val="008D41E1"/>
    <w:rsid w:val="008D52DC"/>
    <w:rsid w:val="008D62FC"/>
    <w:rsid w:val="008D7BB0"/>
    <w:rsid w:val="008E182A"/>
    <w:rsid w:val="008E22FE"/>
    <w:rsid w:val="008E41C8"/>
    <w:rsid w:val="008E4E29"/>
    <w:rsid w:val="008E6D63"/>
    <w:rsid w:val="008F0142"/>
    <w:rsid w:val="008F2E78"/>
    <w:rsid w:val="008F3E9A"/>
    <w:rsid w:val="008F511A"/>
    <w:rsid w:val="00900C3E"/>
    <w:rsid w:val="009031A0"/>
    <w:rsid w:val="0090483E"/>
    <w:rsid w:val="0090686D"/>
    <w:rsid w:val="00906A28"/>
    <w:rsid w:val="0091174A"/>
    <w:rsid w:val="00911A34"/>
    <w:rsid w:val="00912584"/>
    <w:rsid w:val="00912E0F"/>
    <w:rsid w:val="00913119"/>
    <w:rsid w:val="0092030D"/>
    <w:rsid w:val="009222B0"/>
    <w:rsid w:val="0092405E"/>
    <w:rsid w:val="00925847"/>
    <w:rsid w:val="00925EA7"/>
    <w:rsid w:val="00926858"/>
    <w:rsid w:val="009311B4"/>
    <w:rsid w:val="009316DB"/>
    <w:rsid w:val="00932AC1"/>
    <w:rsid w:val="00933639"/>
    <w:rsid w:val="00934729"/>
    <w:rsid w:val="0093638F"/>
    <w:rsid w:val="0093691E"/>
    <w:rsid w:val="009369F8"/>
    <w:rsid w:val="00936F30"/>
    <w:rsid w:val="00937AED"/>
    <w:rsid w:val="00940F19"/>
    <w:rsid w:val="00942C33"/>
    <w:rsid w:val="00943514"/>
    <w:rsid w:val="00943926"/>
    <w:rsid w:val="00945814"/>
    <w:rsid w:val="00946634"/>
    <w:rsid w:val="00946C31"/>
    <w:rsid w:val="00946C87"/>
    <w:rsid w:val="00946ED1"/>
    <w:rsid w:val="00950051"/>
    <w:rsid w:val="009508D1"/>
    <w:rsid w:val="009512FB"/>
    <w:rsid w:val="00951B1B"/>
    <w:rsid w:val="00952833"/>
    <w:rsid w:val="009535D9"/>
    <w:rsid w:val="00956DA7"/>
    <w:rsid w:val="009603CF"/>
    <w:rsid w:val="009622AA"/>
    <w:rsid w:val="00962745"/>
    <w:rsid w:val="009628A7"/>
    <w:rsid w:val="009646C8"/>
    <w:rsid w:val="009663EC"/>
    <w:rsid w:val="00967449"/>
    <w:rsid w:val="009677C0"/>
    <w:rsid w:val="00970171"/>
    <w:rsid w:val="0097076E"/>
    <w:rsid w:val="00970C9C"/>
    <w:rsid w:val="009711EE"/>
    <w:rsid w:val="009713D7"/>
    <w:rsid w:val="00971ECE"/>
    <w:rsid w:val="009742C3"/>
    <w:rsid w:val="00976682"/>
    <w:rsid w:val="00977798"/>
    <w:rsid w:val="0097782C"/>
    <w:rsid w:val="009812A6"/>
    <w:rsid w:val="0098200A"/>
    <w:rsid w:val="0098263A"/>
    <w:rsid w:val="00983CF0"/>
    <w:rsid w:val="0098493C"/>
    <w:rsid w:val="0099026F"/>
    <w:rsid w:val="00990F1F"/>
    <w:rsid w:val="00994A48"/>
    <w:rsid w:val="009954FC"/>
    <w:rsid w:val="009979E2"/>
    <w:rsid w:val="009A076E"/>
    <w:rsid w:val="009A09DA"/>
    <w:rsid w:val="009A1099"/>
    <w:rsid w:val="009A14D4"/>
    <w:rsid w:val="009A1867"/>
    <w:rsid w:val="009A5264"/>
    <w:rsid w:val="009A75F8"/>
    <w:rsid w:val="009B0811"/>
    <w:rsid w:val="009B0A5D"/>
    <w:rsid w:val="009B521A"/>
    <w:rsid w:val="009B754E"/>
    <w:rsid w:val="009C11B6"/>
    <w:rsid w:val="009C3F7F"/>
    <w:rsid w:val="009C6119"/>
    <w:rsid w:val="009C66B6"/>
    <w:rsid w:val="009C6C38"/>
    <w:rsid w:val="009C7939"/>
    <w:rsid w:val="009D0819"/>
    <w:rsid w:val="009D0A3D"/>
    <w:rsid w:val="009D3116"/>
    <w:rsid w:val="009D3B42"/>
    <w:rsid w:val="009D3B83"/>
    <w:rsid w:val="009D3DAC"/>
    <w:rsid w:val="009D44DE"/>
    <w:rsid w:val="009D4A07"/>
    <w:rsid w:val="009D4D7B"/>
    <w:rsid w:val="009E0705"/>
    <w:rsid w:val="009E0E64"/>
    <w:rsid w:val="009E0F67"/>
    <w:rsid w:val="009E1D73"/>
    <w:rsid w:val="009E2C1E"/>
    <w:rsid w:val="009E2F82"/>
    <w:rsid w:val="009E5081"/>
    <w:rsid w:val="009F04D0"/>
    <w:rsid w:val="009F1156"/>
    <w:rsid w:val="009F117C"/>
    <w:rsid w:val="009F2D96"/>
    <w:rsid w:val="009F5BF0"/>
    <w:rsid w:val="00A02500"/>
    <w:rsid w:val="00A03CF5"/>
    <w:rsid w:val="00A04E6A"/>
    <w:rsid w:val="00A0645C"/>
    <w:rsid w:val="00A0775D"/>
    <w:rsid w:val="00A1296E"/>
    <w:rsid w:val="00A1364E"/>
    <w:rsid w:val="00A13912"/>
    <w:rsid w:val="00A143D6"/>
    <w:rsid w:val="00A164E8"/>
    <w:rsid w:val="00A202FD"/>
    <w:rsid w:val="00A213DB"/>
    <w:rsid w:val="00A218E2"/>
    <w:rsid w:val="00A22AEE"/>
    <w:rsid w:val="00A24C50"/>
    <w:rsid w:val="00A31AAB"/>
    <w:rsid w:val="00A377F0"/>
    <w:rsid w:val="00A4097D"/>
    <w:rsid w:val="00A40D23"/>
    <w:rsid w:val="00A41DE1"/>
    <w:rsid w:val="00A4260F"/>
    <w:rsid w:val="00A42B35"/>
    <w:rsid w:val="00A43374"/>
    <w:rsid w:val="00A461AA"/>
    <w:rsid w:val="00A4670A"/>
    <w:rsid w:val="00A46819"/>
    <w:rsid w:val="00A46E0E"/>
    <w:rsid w:val="00A46E6F"/>
    <w:rsid w:val="00A514BD"/>
    <w:rsid w:val="00A52D57"/>
    <w:rsid w:val="00A52F53"/>
    <w:rsid w:val="00A5357A"/>
    <w:rsid w:val="00A53D60"/>
    <w:rsid w:val="00A541C0"/>
    <w:rsid w:val="00A55912"/>
    <w:rsid w:val="00A5792A"/>
    <w:rsid w:val="00A60E16"/>
    <w:rsid w:val="00A61A48"/>
    <w:rsid w:val="00A61E9C"/>
    <w:rsid w:val="00A62369"/>
    <w:rsid w:val="00A63737"/>
    <w:rsid w:val="00A63B70"/>
    <w:rsid w:val="00A646D6"/>
    <w:rsid w:val="00A64A5A"/>
    <w:rsid w:val="00A71228"/>
    <w:rsid w:val="00A71BB0"/>
    <w:rsid w:val="00A71BC8"/>
    <w:rsid w:val="00A74B5F"/>
    <w:rsid w:val="00A74D6B"/>
    <w:rsid w:val="00A74DD4"/>
    <w:rsid w:val="00A751B2"/>
    <w:rsid w:val="00A7784D"/>
    <w:rsid w:val="00A77D6B"/>
    <w:rsid w:val="00A80937"/>
    <w:rsid w:val="00A810F5"/>
    <w:rsid w:val="00A81994"/>
    <w:rsid w:val="00A86E60"/>
    <w:rsid w:val="00A8700D"/>
    <w:rsid w:val="00A93458"/>
    <w:rsid w:val="00A97E72"/>
    <w:rsid w:val="00AA1126"/>
    <w:rsid w:val="00AA195E"/>
    <w:rsid w:val="00AA53E5"/>
    <w:rsid w:val="00AA5758"/>
    <w:rsid w:val="00AA64B3"/>
    <w:rsid w:val="00AB0752"/>
    <w:rsid w:val="00AB0FC0"/>
    <w:rsid w:val="00AB1053"/>
    <w:rsid w:val="00AB1207"/>
    <w:rsid w:val="00AB1342"/>
    <w:rsid w:val="00AB1652"/>
    <w:rsid w:val="00AB2D0E"/>
    <w:rsid w:val="00AB3283"/>
    <w:rsid w:val="00AB3347"/>
    <w:rsid w:val="00AB49CB"/>
    <w:rsid w:val="00AB6D4D"/>
    <w:rsid w:val="00AC003F"/>
    <w:rsid w:val="00AC35C9"/>
    <w:rsid w:val="00AC37D6"/>
    <w:rsid w:val="00AC3960"/>
    <w:rsid w:val="00AC408C"/>
    <w:rsid w:val="00AC480B"/>
    <w:rsid w:val="00AC6790"/>
    <w:rsid w:val="00AC69BB"/>
    <w:rsid w:val="00AC7A15"/>
    <w:rsid w:val="00AD0786"/>
    <w:rsid w:val="00AD0F33"/>
    <w:rsid w:val="00AD3DFE"/>
    <w:rsid w:val="00AD4ECE"/>
    <w:rsid w:val="00AD5A39"/>
    <w:rsid w:val="00AD6303"/>
    <w:rsid w:val="00AE0093"/>
    <w:rsid w:val="00AE11FA"/>
    <w:rsid w:val="00AE1EFC"/>
    <w:rsid w:val="00AE2607"/>
    <w:rsid w:val="00AE28D7"/>
    <w:rsid w:val="00AE2CB1"/>
    <w:rsid w:val="00AE2FC6"/>
    <w:rsid w:val="00AE4A2F"/>
    <w:rsid w:val="00AE6CD6"/>
    <w:rsid w:val="00AE7C2D"/>
    <w:rsid w:val="00AF10EE"/>
    <w:rsid w:val="00AF13C7"/>
    <w:rsid w:val="00AF2E78"/>
    <w:rsid w:val="00AF35EC"/>
    <w:rsid w:val="00AF4493"/>
    <w:rsid w:val="00AF4CD5"/>
    <w:rsid w:val="00B005CD"/>
    <w:rsid w:val="00B016DF"/>
    <w:rsid w:val="00B018C2"/>
    <w:rsid w:val="00B0232D"/>
    <w:rsid w:val="00B030A0"/>
    <w:rsid w:val="00B0530C"/>
    <w:rsid w:val="00B0745B"/>
    <w:rsid w:val="00B07D12"/>
    <w:rsid w:val="00B132ED"/>
    <w:rsid w:val="00B133F1"/>
    <w:rsid w:val="00B14031"/>
    <w:rsid w:val="00B144C9"/>
    <w:rsid w:val="00B15F68"/>
    <w:rsid w:val="00B1684A"/>
    <w:rsid w:val="00B172EA"/>
    <w:rsid w:val="00B24233"/>
    <w:rsid w:val="00B258F3"/>
    <w:rsid w:val="00B260FE"/>
    <w:rsid w:val="00B26741"/>
    <w:rsid w:val="00B276B6"/>
    <w:rsid w:val="00B278D9"/>
    <w:rsid w:val="00B30B35"/>
    <w:rsid w:val="00B32566"/>
    <w:rsid w:val="00B32737"/>
    <w:rsid w:val="00B35096"/>
    <w:rsid w:val="00B359E9"/>
    <w:rsid w:val="00B35BFD"/>
    <w:rsid w:val="00B40452"/>
    <w:rsid w:val="00B41613"/>
    <w:rsid w:val="00B45360"/>
    <w:rsid w:val="00B4789A"/>
    <w:rsid w:val="00B5306D"/>
    <w:rsid w:val="00B537CE"/>
    <w:rsid w:val="00B56001"/>
    <w:rsid w:val="00B566B2"/>
    <w:rsid w:val="00B6331D"/>
    <w:rsid w:val="00B65CC5"/>
    <w:rsid w:val="00B65FB0"/>
    <w:rsid w:val="00B6606A"/>
    <w:rsid w:val="00B70288"/>
    <w:rsid w:val="00B7112E"/>
    <w:rsid w:val="00B7348A"/>
    <w:rsid w:val="00B73DAE"/>
    <w:rsid w:val="00B73FA7"/>
    <w:rsid w:val="00B74559"/>
    <w:rsid w:val="00B747CF"/>
    <w:rsid w:val="00B74DA4"/>
    <w:rsid w:val="00B752D3"/>
    <w:rsid w:val="00B77BBA"/>
    <w:rsid w:val="00B82173"/>
    <w:rsid w:val="00B8260F"/>
    <w:rsid w:val="00B83BE0"/>
    <w:rsid w:val="00B8461B"/>
    <w:rsid w:val="00B84A82"/>
    <w:rsid w:val="00B870DC"/>
    <w:rsid w:val="00B87153"/>
    <w:rsid w:val="00B90406"/>
    <w:rsid w:val="00B9139A"/>
    <w:rsid w:val="00B92B93"/>
    <w:rsid w:val="00B92F0D"/>
    <w:rsid w:val="00B93AC9"/>
    <w:rsid w:val="00B94369"/>
    <w:rsid w:val="00B94FCE"/>
    <w:rsid w:val="00B9666C"/>
    <w:rsid w:val="00BA106F"/>
    <w:rsid w:val="00BA22A6"/>
    <w:rsid w:val="00BA3B85"/>
    <w:rsid w:val="00BA693D"/>
    <w:rsid w:val="00BA6E13"/>
    <w:rsid w:val="00BA7063"/>
    <w:rsid w:val="00BA717D"/>
    <w:rsid w:val="00BA780F"/>
    <w:rsid w:val="00BB007D"/>
    <w:rsid w:val="00BB029A"/>
    <w:rsid w:val="00BB0EAA"/>
    <w:rsid w:val="00BB5CA7"/>
    <w:rsid w:val="00BB6AD1"/>
    <w:rsid w:val="00BC0672"/>
    <w:rsid w:val="00BC1650"/>
    <w:rsid w:val="00BC281E"/>
    <w:rsid w:val="00BC3FF0"/>
    <w:rsid w:val="00BC4B5A"/>
    <w:rsid w:val="00BC533C"/>
    <w:rsid w:val="00BC560E"/>
    <w:rsid w:val="00BC5C5B"/>
    <w:rsid w:val="00BC5F05"/>
    <w:rsid w:val="00BC7A31"/>
    <w:rsid w:val="00BC7A64"/>
    <w:rsid w:val="00BD1059"/>
    <w:rsid w:val="00BD1207"/>
    <w:rsid w:val="00BD183D"/>
    <w:rsid w:val="00BD18F1"/>
    <w:rsid w:val="00BD1D94"/>
    <w:rsid w:val="00BD308B"/>
    <w:rsid w:val="00BD666E"/>
    <w:rsid w:val="00BD7662"/>
    <w:rsid w:val="00BE20D5"/>
    <w:rsid w:val="00BE279B"/>
    <w:rsid w:val="00BE3694"/>
    <w:rsid w:val="00BE374A"/>
    <w:rsid w:val="00BE3806"/>
    <w:rsid w:val="00BE3FC3"/>
    <w:rsid w:val="00BE553E"/>
    <w:rsid w:val="00BE611D"/>
    <w:rsid w:val="00BE7D05"/>
    <w:rsid w:val="00BF240D"/>
    <w:rsid w:val="00BF6DA2"/>
    <w:rsid w:val="00C00404"/>
    <w:rsid w:val="00C03783"/>
    <w:rsid w:val="00C041AB"/>
    <w:rsid w:val="00C05625"/>
    <w:rsid w:val="00C05F7D"/>
    <w:rsid w:val="00C063E8"/>
    <w:rsid w:val="00C06821"/>
    <w:rsid w:val="00C070F9"/>
    <w:rsid w:val="00C0725B"/>
    <w:rsid w:val="00C07882"/>
    <w:rsid w:val="00C07D68"/>
    <w:rsid w:val="00C10609"/>
    <w:rsid w:val="00C15A1B"/>
    <w:rsid w:val="00C167B2"/>
    <w:rsid w:val="00C170C4"/>
    <w:rsid w:val="00C1731F"/>
    <w:rsid w:val="00C21B01"/>
    <w:rsid w:val="00C2325F"/>
    <w:rsid w:val="00C252B7"/>
    <w:rsid w:val="00C25DD3"/>
    <w:rsid w:val="00C26937"/>
    <w:rsid w:val="00C26FFB"/>
    <w:rsid w:val="00C27AEE"/>
    <w:rsid w:val="00C27B3E"/>
    <w:rsid w:val="00C31F10"/>
    <w:rsid w:val="00C329CC"/>
    <w:rsid w:val="00C339D3"/>
    <w:rsid w:val="00C3574A"/>
    <w:rsid w:val="00C35A4F"/>
    <w:rsid w:val="00C35E55"/>
    <w:rsid w:val="00C40FC2"/>
    <w:rsid w:val="00C4471D"/>
    <w:rsid w:val="00C45028"/>
    <w:rsid w:val="00C47CFD"/>
    <w:rsid w:val="00C52562"/>
    <w:rsid w:val="00C54B7D"/>
    <w:rsid w:val="00C5695C"/>
    <w:rsid w:val="00C56AC7"/>
    <w:rsid w:val="00C579F4"/>
    <w:rsid w:val="00C57E2A"/>
    <w:rsid w:val="00C6543A"/>
    <w:rsid w:val="00C65DCA"/>
    <w:rsid w:val="00C65F62"/>
    <w:rsid w:val="00C668C2"/>
    <w:rsid w:val="00C7348D"/>
    <w:rsid w:val="00C735B2"/>
    <w:rsid w:val="00C73F3F"/>
    <w:rsid w:val="00C7512B"/>
    <w:rsid w:val="00C77128"/>
    <w:rsid w:val="00C819AB"/>
    <w:rsid w:val="00C831F4"/>
    <w:rsid w:val="00C868E0"/>
    <w:rsid w:val="00C90474"/>
    <w:rsid w:val="00C9158A"/>
    <w:rsid w:val="00C92852"/>
    <w:rsid w:val="00C92BA5"/>
    <w:rsid w:val="00C92F21"/>
    <w:rsid w:val="00C940FC"/>
    <w:rsid w:val="00C9471F"/>
    <w:rsid w:val="00C94AC7"/>
    <w:rsid w:val="00C9722E"/>
    <w:rsid w:val="00C97D86"/>
    <w:rsid w:val="00CA2D87"/>
    <w:rsid w:val="00CA2F28"/>
    <w:rsid w:val="00CA34C9"/>
    <w:rsid w:val="00CA4660"/>
    <w:rsid w:val="00CA51B3"/>
    <w:rsid w:val="00CA6640"/>
    <w:rsid w:val="00CA70B4"/>
    <w:rsid w:val="00CB338D"/>
    <w:rsid w:val="00CB4778"/>
    <w:rsid w:val="00CB4A99"/>
    <w:rsid w:val="00CB4DF1"/>
    <w:rsid w:val="00CB6872"/>
    <w:rsid w:val="00CB6960"/>
    <w:rsid w:val="00CC1C90"/>
    <w:rsid w:val="00CC30AF"/>
    <w:rsid w:val="00CC310E"/>
    <w:rsid w:val="00CC3293"/>
    <w:rsid w:val="00CC4D79"/>
    <w:rsid w:val="00CC4EB2"/>
    <w:rsid w:val="00CC593C"/>
    <w:rsid w:val="00CC730E"/>
    <w:rsid w:val="00CC7A89"/>
    <w:rsid w:val="00CD11F5"/>
    <w:rsid w:val="00CD1D31"/>
    <w:rsid w:val="00CD5A9F"/>
    <w:rsid w:val="00CD6280"/>
    <w:rsid w:val="00CD6E32"/>
    <w:rsid w:val="00CE02CF"/>
    <w:rsid w:val="00CE1155"/>
    <w:rsid w:val="00CE123C"/>
    <w:rsid w:val="00CE1338"/>
    <w:rsid w:val="00CE41E5"/>
    <w:rsid w:val="00CE5EBE"/>
    <w:rsid w:val="00CE5FB3"/>
    <w:rsid w:val="00CE752C"/>
    <w:rsid w:val="00CF228F"/>
    <w:rsid w:val="00CF2F03"/>
    <w:rsid w:val="00CF40CD"/>
    <w:rsid w:val="00CF514F"/>
    <w:rsid w:val="00CF6936"/>
    <w:rsid w:val="00CF76CD"/>
    <w:rsid w:val="00D0661F"/>
    <w:rsid w:val="00D0706B"/>
    <w:rsid w:val="00D10E14"/>
    <w:rsid w:val="00D11FAD"/>
    <w:rsid w:val="00D12392"/>
    <w:rsid w:val="00D13CDA"/>
    <w:rsid w:val="00D13E76"/>
    <w:rsid w:val="00D14D47"/>
    <w:rsid w:val="00D14D8B"/>
    <w:rsid w:val="00D15A76"/>
    <w:rsid w:val="00D15EE4"/>
    <w:rsid w:val="00D17677"/>
    <w:rsid w:val="00D2007E"/>
    <w:rsid w:val="00D22127"/>
    <w:rsid w:val="00D2277C"/>
    <w:rsid w:val="00D23688"/>
    <w:rsid w:val="00D27A22"/>
    <w:rsid w:val="00D30085"/>
    <w:rsid w:val="00D304D6"/>
    <w:rsid w:val="00D32568"/>
    <w:rsid w:val="00D32806"/>
    <w:rsid w:val="00D34F04"/>
    <w:rsid w:val="00D35FCD"/>
    <w:rsid w:val="00D377A8"/>
    <w:rsid w:val="00D40405"/>
    <w:rsid w:val="00D40645"/>
    <w:rsid w:val="00D4294B"/>
    <w:rsid w:val="00D44DB4"/>
    <w:rsid w:val="00D45603"/>
    <w:rsid w:val="00D45BDB"/>
    <w:rsid w:val="00D46238"/>
    <w:rsid w:val="00D5178F"/>
    <w:rsid w:val="00D53134"/>
    <w:rsid w:val="00D55FCD"/>
    <w:rsid w:val="00D56F6C"/>
    <w:rsid w:val="00D57C9A"/>
    <w:rsid w:val="00D615EB"/>
    <w:rsid w:val="00D62105"/>
    <w:rsid w:val="00D62128"/>
    <w:rsid w:val="00D62C2E"/>
    <w:rsid w:val="00D64B34"/>
    <w:rsid w:val="00D663D7"/>
    <w:rsid w:val="00D66CC7"/>
    <w:rsid w:val="00D70A78"/>
    <w:rsid w:val="00D70DF0"/>
    <w:rsid w:val="00D72290"/>
    <w:rsid w:val="00D74848"/>
    <w:rsid w:val="00D748B3"/>
    <w:rsid w:val="00D749EF"/>
    <w:rsid w:val="00D74D8C"/>
    <w:rsid w:val="00D75A79"/>
    <w:rsid w:val="00D76EEA"/>
    <w:rsid w:val="00D82AFC"/>
    <w:rsid w:val="00D82BF9"/>
    <w:rsid w:val="00D92250"/>
    <w:rsid w:val="00D937C3"/>
    <w:rsid w:val="00D93ECD"/>
    <w:rsid w:val="00D94C23"/>
    <w:rsid w:val="00D952EE"/>
    <w:rsid w:val="00DA1CCB"/>
    <w:rsid w:val="00DA218A"/>
    <w:rsid w:val="00DA2E44"/>
    <w:rsid w:val="00DA3886"/>
    <w:rsid w:val="00DA546E"/>
    <w:rsid w:val="00DA611C"/>
    <w:rsid w:val="00DA6BC3"/>
    <w:rsid w:val="00DA6D4E"/>
    <w:rsid w:val="00DA6F40"/>
    <w:rsid w:val="00DA78C7"/>
    <w:rsid w:val="00DA7B66"/>
    <w:rsid w:val="00DA7E45"/>
    <w:rsid w:val="00DB1867"/>
    <w:rsid w:val="00DB19FA"/>
    <w:rsid w:val="00DB1F6A"/>
    <w:rsid w:val="00DB297E"/>
    <w:rsid w:val="00DB3488"/>
    <w:rsid w:val="00DB4842"/>
    <w:rsid w:val="00DB6CC8"/>
    <w:rsid w:val="00DB6EAA"/>
    <w:rsid w:val="00DB7252"/>
    <w:rsid w:val="00DB7599"/>
    <w:rsid w:val="00DB77E5"/>
    <w:rsid w:val="00DB7D43"/>
    <w:rsid w:val="00DC56A4"/>
    <w:rsid w:val="00DC63B5"/>
    <w:rsid w:val="00DC6915"/>
    <w:rsid w:val="00DC6E77"/>
    <w:rsid w:val="00DD04E5"/>
    <w:rsid w:val="00DD0526"/>
    <w:rsid w:val="00DD1118"/>
    <w:rsid w:val="00DD1FF9"/>
    <w:rsid w:val="00DD2F27"/>
    <w:rsid w:val="00DD45DD"/>
    <w:rsid w:val="00DD4E3E"/>
    <w:rsid w:val="00DD53C0"/>
    <w:rsid w:val="00DD55A4"/>
    <w:rsid w:val="00DD5712"/>
    <w:rsid w:val="00DD64DF"/>
    <w:rsid w:val="00DE0B3F"/>
    <w:rsid w:val="00DE1A22"/>
    <w:rsid w:val="00DE20D7"/>
    <w:rsid w:val="00DE2535"/>
    <w:rsid w:val="00DF019E"/>
    <w:rsid w:val="00DF0245"/>
    <w:rsid w:val="00DF385C"/>
    <w:rsid w:val="00DF4C61"/>
    <w:rsid w:val="00DF5833"/>
    <w:rsid w:val="00DF69EF"/>
    <w:rsid w:val="00DF72A8"/>
    <w:rsid w:val="00E01250"/>
    <w:rsid w:val="00E10BBD"/>
    <w:rsid w:val="00E11139"/>
    <w:rsid w:val="00E11606"/>
    <w:rsid w:val="00E12DD5"/>
    <w:rsid w:val="00E13CB2"/>
    <w:rsid w:val="00E1775F"/>
    <w:rsid w:val="00E203F0"/>
    <w:rsid w:val="00E20971"/>
    <w:rsid w:val="00E247A0"/>
    <w:rsid w:val="00E25188"/>
    <w:rsid w:val="00E27279"/>
    <w:rsid w:val="00E30B4D"/>
    <w:rsid w:val="00E3127B"/>
    <w:rsid w:val="00E312E6"/>
    <w:rsid w:val="00E320A5"/>
    <w:rsid w:val="00E33DD1"/>
    <w:rsid w:val="00E35372"/>
    <w:rsid w:val="00E358A5"/>
    <w:rsid w:val="00E35C44"/>
    <w:rsid w:val="00E36C75"/>
    <w:rsid w:val="00E406D8"/>
    <w:rsid w:val="00E412E6"/>
    <w:rsid w:val="00E417AC"/>
    <w:rsid w:val="00E44F57"/>
    <w:rsid w:val="00E47117"/>
    <w:rsid w:val="00E47B8B"/>
    <w:rsid w:val="00E51BB5"/>
    <w:rsid w:val="00E520BF"/>
    <w:rsid w:val="00E55C22"/>
    <w:rsid w:val="00E57E4F"/>
    <w:rsid w:val="00E60775"/>
    <w:rsid w:val="00E6158B"/>
    <w:rsid w:val="00E6167C"/>
    <w:rsid w:val="00E62B8C"/>
    <w:rsid w:val="00E639BB"/>
    <w:rsid w:val="00E667D8"/>
    <w:rsid w:val="00E705E4"/>
    <w:rsid w:val="00E707FD"/>
    <w:rsid w:val="00E723D7"/>
    <w:rsid w:val="00E732D0"/>
    <w:rsid w:val="00E746C8"/>
    <w:rsid w:val="00E76532"/>
    <w:rsid w:val="00E8043D"/>
    <w:rsid w:val="00E808D2"/>
    <w:rsid w:val="00E834E4"/>
    <w:rsid w:val="00E874DB"/>
    <w:rsid w:val="00E92E7E"/>
    <w:rsid w:val="00E932E6"/>
    <w:rsid w:val="00E93EDD"/>
    <w:rsid w:val="00E94978"/>
    <w:rsid w:val="00E965C7"/>
    <w:rsid w:val="00EA0757"/>
    <w:rsid w:val="00EA1D3C"/>
    <w:rsid w:val="00EA2CB5"/>
    <w:rsid w:val="00EA3654"/>
    <w:rsid w:val="00EA659D"/>
    <w:rsid w:val="00EA763E"/>
    <w:rsid w:val="00EB0275"/>
    <w:rsid w:val="00EB546A"/>
    <w:rsid w:val="00EB573F"/>
    <w:rsid w:val="00EB7485"/>
    <w:rsid w:val="00EC0169"/>
    <w:rsid w:val="00EC10D1"/>
    <w:rsid w:val="00EC3735"/>
    <w:rsid w:val="00ED0378"/>
    <w:rsid w:val="00ED0A93"/>
    <w:rsid w:val="00ED17C5"/>
    <w:rsid w:val="00ED1AB8"/>
    <w:rsid w:val="00ED2BDB"/>
    <w:rsid w:val="00ED3D7F"/>
    <w:rsid w:val="00ED4102"/>
    <w:rsid w:val="00EE27B0"/>
    <w:rsid w:val="00EE571C"/>
    <w:rsid w:val="00EE5835"/>
    <w:rsid w:val="00EE6671"/>
    <w:rsid w:val="00EE71B9"/>
    <w:rsid w:val="00EF3A65"/>
    <w:rsid w:val="00EF6350"/>
    <w:rsid w:val="00EF6F09"/>
    <w:rsid w:val="00EF6F35"/>
    <w:rsid w:val="00EF7ED6"/>
    <w:rsid w:val="00F05237"/>
    <w:rsid w:val="00F102D3"/>
    <w:rsid w:val="00F10CC4"/>
    <w:rsid w:val="00F15F46"/>
    <w:rsid w:val="00F202BB"/>
    <w:rsid w:val="00F210B8"/>
    <w:rsid w:val="00F2114D"/>
    <w:rsid w:val="00F23983"/>
    <w:rsid w:val="00F244AC"/>
    <w:rsid w:val="00F313D4"/>
    <w:rsid w:val="00F3413B"/>
    <w:rsid w:val="00F34605"/>
    <w:rsid w:val="00F36742"/>
    <w:rsid w:val="00F41BB6"/>
    <w:rsid w:val="00F4309A"/>
    <w:rsid w:val="00F477A1"/>
    <w:rsid w:val="00F47C30"/>
    <w:rsid w:val="00F54A91"/>
    <w:rsid w:val="00F54F38"/>
    <w:rsid w:val="00F62A9D"/>
    <w:rsid w:val="00F70D69"/>
    <w:rsid w:val="00F73F79"/>
    <w:rsid w:val="00F77787"/>
    <w:rsid w:val="00F77D54"/>
    <w:rsid w:val="00F810A5"/>
    <w:rsid w:val="00F821A7"/>
    <w:rsid w:val="00F824D1"/>
    <w:rsid w:val="00F82EB4"/>
    <w:rsid w:val="00F84801"/>
    <w:rsid w:val="00F86EF9"/>
    <w:rsid w:val="00F90213"/>
    <w:rsid w:val="00F910A4"/>
    <w:rsid w:val="00F93584"/>
    <w:rsid w:val="00F9663F"/>
    <w:rsid w:val="00F974A8"/>
    <w:rsid w:val="00FA00BC"/>
    <w:rsid w:val="00FA0119"/>
    <w:rsid w:val="00FA02CD"/>
    <w:rsid w:val="00FA2164"/>
    <w:rsid w:val="00FA4D4F"/>
    <w:rsid w:val="00FA550B"/>
    <w:rsid w:val="00FA589F"/>
    <w:rsid w:val="00FA5E5A"/>
    <w:rsid w:val="00FA5F95"/>
    <w:rsid w:val="00FA60BB"/>
    <w:rsid w:val="00FB178C"/>
    <w:rsid w:val="00FB29EA"/>
    <w:rsid w:val="00FB2B1A"/>
    <w:rsid w:val="00FB332C"/>
    <w:rsid w:val="00FB404C"/>
    <w:rsid w:val="00FC4339"/>
    <w:rsid w:val="00FD07B4"/>
    <w:rsid w:val="00FD3C93"/>
    <w:rsid w:val="00FD4446"/>
    <w:rsid w:val="00FD5223"/>
    <w:rsid w:val="00FD59F4"/>
    <w:rsid w:val="00FE1F42"/>
    <w:rsid w:val="00FE3E09"/>
    <w:rsid w:val="00FE6F31"/>
    <w:rsid w:val="00FF00C4"/>
    <w:rsid w:val="00FF1320"/>
    <w:rsid w:val="00FF152A"/>
    <w:rsid w:val="00FF37CE"/>
    <w:rsid w:val="00FF43E1"/>
    <w:rsid w:val="00FF5BB8"/>
    <w:rsid w:val="00FF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296E"/>
  <w15:docId w15:val="{C092ECBA-738A-466F-883E-C7D7822B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1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aliases w:val="Footnote symbol"/>
    <w:basedOn w:val="Standardskrifttypeiafsnit"/>
    <w:uiPriority w:val="99"/>
    <w:unhideWhenUsed/>
    <w:rsid w:val="00684750"/>
    <w:rPr>
      <w:rFonts w:cs="Times New Roman"/>
      <w:vertAlign w:val="superscript"/>
    </w:rPr>
  </w:style>
  <w:style w:type="paragraph" w:styleId="Fodnotetekst">
    <w:name w:val="footnote text"/>
    <w:basedOn w:val="Normal"/>
    <w:link w:val="FodnotetekstTegn"/>
    <w:uiPriority w:val="99"/>
    <w:unhideWhenUsed/>
    <w:rsid w:val="00684750"/>
    <w:pPr>
      <w:spacing w:after="0" w:line="240" w:lineRule="auto"/>
    </w:pPr>
    <w:rPr>
      <w:rFonts w:ascii="Arial" w:eastAsia="Times New Roman" w:hAnsi="Arial" w:cs="Times New Roman"/>
      <w:szCs w:val="20"/>
      <w:lang w:eastAsia="de-DE"/>
    </w:rPr>
  </w:style>
  <w:style w:type="character" w:customStyle="1" w:styleId="FodnotetekstTegn">
    <w:name w:val="Fodnotetekst Tegn"/>
    <w:basedOn w:val="Standardskrifttypeiafsnit"/>
    <w:link w:val="Fodnotetekst"/>
    <w:uiPriority w:val="99"/>
    <w:rsid w:val="00684750"/>
    <w:rPr>
      <w:rFonts w:ascii="Arial" w:eastAsia="Times New Roman" w:hAnsi="Arial" w:cs="Times New Roman"/>
      <w:szCs w:val="20"/>
      <w:lang w:eastAsia="de-DE"/>
    </w:rPr>
  </w:style>
  <w:style w:type="paragraph" w:styleId="Listeafsnit">
    <w:name w:val="List Paragraph"/>
    <w:basedOn w:val="Normal"/>
    <w:uiPriority w:val="34"/>
    <w:qFormat/>
    <w:rsid w:val="00684750"/>
    <w:pPr>
      <w:ind w:left="720"/>
      <w:contextualSpacing/>
    </w:pPr>
  </w:style>
  <w:style w:type="character" w:styleId="Kommentarhenvisning">
    <w:name w:val="annotation reference"/>
    <w:basedOn w:val="Standardskrifttypeiafsnit"/>
    <w:uiPriority w:val="99"/>
    <w:semiHidden/>
    <w:unhideWhenUsed/>
    <w:rsid w:val="00142E3A"/>
    <w:rPr>
      <w:sz w:val="16"/>
      <w:szCs w:val="16"/>
    </w:rPr>
  </w:style>
  <w:style w:type="paragraph" w:styleId="Kommentartekst">
    <w:name w:val="annotation text"/>
    <w:basedOn w:val="Normal"/>
    <w:link w:val="KommentartekstTegn"/>
    <w:uiPriority w:val="99"/>
    <w:unhideWhenUsed/>
    <w:rsid w:val="00142E3A"/>
    <w:pPr>
      <w:spacing w:line="240" w:lineRule="auto"/>
    </w:pPr>
    <w:rPr>
      <w:sz w:val="20"/>
      <w:szCs w:val="20"/>
    </w:rPr>
  </w:style>
  <w:style w:type="character" w:customStyle="1" w:styleId="KommentartekstTegn">
    <w:name w:val="Kommentartekst Tegn"/>
    <w:basedOn w:val="Standardskrifttypeiafsnit"/>
    <w:link w:val="Kommentartekst"/>
    <w:uiPriority w:val="99"/>
    <w:rsid w:val="00142E3A"/>
    <w:rPr>
      <w:sz w:val="20"/>
      <w:szCs w:val="20"/>
    </w:rPr>
  </w:style>
  <w:style w:type="paragraph" w:styleId="Kommentaremne">
    <w:name w:val="annotation subject"/>
    <w:basedOn w:val="Kommentartekst"/>
    <w:next w:val="Kommentartekst"/>
    <w:link w:val="KommentaremneTegn"/>
    <w:uiPriority w:val="99"/>
    <w:semiHidden/>
    <w:unhideWhenUsed/>
    <w:rsid w:val="00142E3A"/>
    <w:rPr>
      <w:b/>
      <w:bCs/>
    </w:rPr>
  </w:style>
  <w:style w:type="character" w:customStyle="1" w:styleId="KommentaremneTegn">
    <w:name w:val="Kommentaremne Tegn"/>
    <w:basedOn w:val="KommentartekstTegn"/>
    <w:link w:val="Kommentaremne"/>
    <w:uiPriority w:val="99"/>
    <w:semiHidden/>
    <w:rsid w:val="00142E3A"/>
    <w:rPr>
      <w:b/>
      <w:bCs/>
      <w:sz w:val="20"/>
      <w:szCs w:val="20"/>
    </w:rPr>
  </w:style>
  <w:style w:type="paragraph" w:styleId="Markeringsbobletekst">
    <w:name w:val="Balloon Text"/>
    <w:basedOn w:val="Normal"/>
    <w:link w:val="MarkeringsbobletekstTegn"/>
    <w:uiPriority w:val="99"/>
    <w:semiHidden/>
    <w:unhideWhenUsed/>
    <w:rsid w:val="00142E3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2E3A"/>
    <w:rPr>
      <w:rFonts w:ascii="Segoe UI" w:hAnsi="Segoe UI" w:cs="Segoe UI"/>
      <w:sz w:val="18"/>
      <w:szCs w:val="18"/>
    </w:rPr>
  </w:style>
  <w:style w:type="paragraph" w:customStyle="1" w:styleId="Bibliographicalreference">
    <w:name w:val="Bibliographical reference"/>
    <w:basedOn w:val="Normal"/>
    <w:link w:val="BibliographicalreferenceZchnZchn"/>
    <w:rsid w:val="00940F19"/>
    <w:pPr>
      <w:spacing w:before="100" w:after="0" w:line="280" w:lineRule="atLeast"/>
      <w:ind w:left="567" w:hanging="567"/>
    </w:pPr>
    <w:rPr>
      <w:rFonts w:ascii="Arial" w:eastAsia="Times New Roman" w:hAnsi="Arial" w:cs="Arial"/>
      <w:sz w:val="18"/>
      <w:szCs w:val="18"/>
      <w:lang w:val="en-GB" w:eastAsia="de-DE"/>
    </w:rPr>
  </w:style>
  <w:style w:type="character" w:customStyle="1" w:styleId="BibliographicalreferenceZchnZchn">
    <w:name w:val="Bibliographical reference Zchn Zchn"/>
    <w:link w:val="Bibliographicalreference"/>
    <w:rsid w:val="00940F19"/>
    <w:rPr>
      <w:rFonts w:ascii="Arial" w:eastAsia="Times New Roman" w:hAnsi="Arial" w:cs="Arial"/>
      <w:sz w:val="18"/>
      <w:szCs w:val="18"/>
      <w:lang w:val="en-GB" w:eastAsia="de-DE"/>
    </w:rPr>
  </w:style>
  <w:style w:type="paragraph" w:customStyle="1" w:styleId="Default">
    <w:name w:val="Default"/>
    <w:rsid w:val="00940F19"/>
    <w:pPr>
      <w:autoSpaceDE w:val="0"/>
      <w:autoSpaceDN w:val="0"/>
      <w:adjustRightInd w:val="0"/>
      <w:spacing w:after="0" w:line="240" w:lineRule="auto"/>
    </w:pPr>
    <w:rPr>
      <w:rFonts w:ascii="Arial" w:hAnsi="Arial" w:cs="Arial"/>
      <w:color w:val="000000"/>
      <w:sz w:val="24"/>
      <w:szCs w:val="24"/>
      <w:lang w:val="nb-NO"/>
    </w:rPr>
  </w:style>
  <w:style w:type="paragraph" w:styleId="Sidehoved">
    <w:name w:val="header"/>
    <w:basedOn w:val="Normal"/>
    <w:link w:val="SidehovedTegn"/>
    <w:uiPriority w:val="99"/>
    <w:unhideWhenUsed/>
    <w:rsid w:val="00851954"/>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851954"/>
  </w:style>
  <w:style w:type="paragraph" w:styleId="Sidefod">
    <w:name w:val="footer"/>
    <w:basedOn w:val="Normal"/>
    <w:link w:val="SidefodTegn"/>
    <w:uiPriority w:val="99"/>
    <w:unhideWhenUsed/>
    <w:rsid w:val="00851954"/>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51954"/>
  </w:style>
  <w:style w:type="table" w:customStyle="1" w:styleId="EinfacheTabelle21">
    <w:name w:val="Einfache Tabelle 21"/>
    <w:basedOn w:val="Tabel-Normal"/>
    <w:uiPriority w:val="42"/>
    <w:rsid w:val="00A819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Gitter">
    <w:name w:val="Table Grid"/>
    <w:basedOn w:val="Tabel-Normal"/>
    <w:uiPriority w:val="59"/>
    <w:rsid w:val="00F3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5E471D"/>
    <w:pPr>
      <w:spacing w:after="0" w:line="240" w:lineRule="auto"/>
    </w:pPr>
  </w:style>
  <w:style w:type="table" w:customStyle="1" w:styleId="EinfacheTabelle211">
    <w:name w:val="Einfache Tabelle 211"/>
    <w:basedOn w:val="Tabel-Normal"/>
    <w:uiPriority w:val="42"/>
    <w:rsid w:val="008E41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i">
    <w:name w:val="Bibliography"/>
    <w:basedOn w:val="Normal"/>
    <w:next w:val="Normal"/>
    <w:uiPriority w:val="37"/>
    <w:unhideWhenUsed/>
    <w:rsid w:val="009C6C38"/>
    <w:pPr>
      <w:spacing w:after="240" w:line="240" w:lineRule="auto"/>
      <w:ind w:left="720" w:hanging="720"/>
    </w:pPr>
  </w:style>
  <w:style w:type="table" w:customStyle="1" w:styleId="EinfacheTabelle22">
    <w:name w:val="Einfache Tabelle 22"/>
    <w:basedOn w:val="Tabel-Normal"/>
    <w:uiPriority w:val="42"/>
    <w:rsid w:val="008245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Standardskrifttypeiafsnit"/>
    <w:rsid w:val="007B195C"/>
  </w:style>
  <w:style w:type="character" w:styleId="Fremhv">
    <w:name w:val="Emphasis"/>
    <w:basedOn w:val="Standardskrifttypeiafsnit"/>
    <w:uiPriority w:val="20"/>
    <w:qFormat/>
    <w:rsid w:val="007B195C"/>
    <w:rPr>
      <w:i/>
      <w:iCs/>
    </w:rPr>
  </w:style>
  <w:style w:type="character" w:styleId="Strk">
    <w:name w:val="Strong"/>
    <w:basedOn w:val="Standardskrifttypeiafsnit"/>
    <w:uiPriority w:val="22"/>
    <w:qFormat/>
    <w:rsid w:val="009D3116"/>
    <w:rPr>
      <w:b/>
      <w:bCs/>
    </w:rPr>
  </w:style>
  <w:style w:type="paragraph" w:styleId="Slutnotetekst">
    <w:name w:val="endnote text"/>
    <w:basedOn w:val="Normal"/>
    <w:link w:val="SlutnotetekstTegn"/>
    <w:uiPriority w:val="99"/>
    <w:semiHidden/>
    <w:unhideWhenUsed/>
    <w:rsid w:val="0011706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17061"/>
    <w:rPr>
      <w:sz w:val="20"/>
      <w:szCs w:val="20"/>
    </w:rPr>
  </w:style>
  <w:style w:type="character" w:styleId="Slutnotehenvisning">
    <w:name w:val="endnote reference"/>
    <w:basedOn w:val="Standardskrifttypeiafsnit"/>
    <w:uiPriority w:val="99"/>
    <w:semiHidden/>
    <w:unhideWhenUsed/>
    <w:rsid w:val="00117061"/>
    <w:rPr>
      <w:vertAlign w:val="superscript"/>
    </w:rPr>
  </w:style>
  <w:style w:type="paragraph" w:customStyle="1" w:styleId="CitaviLiteraturverzeichnis">
    <w:name w:val="Citavi Literaturverzeichnis"/>
    <w:basedOn w:val="Normal"/>
    <w:rsid w:val="00AF4493"/>
    <w:pPr>
      <w:spacing w:after="60" w:line="240" w:lineRule="auto"/>
    </w:pPr>
    <w:rPr>
      <w:rFonts w:ascii="Segoe UI" w:eastAsia="Times New Roman" w:hAnsi="Segoe UI" w:cs="Segoe UI"/>
      <w:sz w:val="18"/>
      <w:szCs w:val="18"/>
    </w:rPr>
  </w:style>
  <w:style w:type="character" w:styleId="Hyperlink">
    <w:name w:val="Hyperlink"/>
    <w:basedOn w:val="Standardskrifttypeiafsnit"/>
    <w:uiPriority w:val="99"/>
    <w:unhideWhenUsed/>
    <w:rsid w:val="00AF4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4214">
      <w:bodyDiv w:val="1"/>
      <w:marLeft w:val="0"/>
      <w:marRight w:val="0"/>
      <w:marTop w:val="0"/>
      <w:marBottom w:val="0"/>
      <w:divBdr>
        <w:top w:val="none" w:sz="0" w:space="0" w:color="auto"/>
        <w:left w:val="none" w:sz="0" w:space="0" w:color="auto"/>
        <w:bottom w:val="none" w:sz="0" w:space="0" w:color="auto"/>
        <w:right w:val="none" w:sz="0" w:space="0" w:color="auto"/>
      </w:divBdr>
      <w:divsChild>
        <w:div w:id="285238172">
          <w:marLeft w:val="0"/>
          <w:marRight w:val="0"/>
          <w:marTop w:val="0"/>
          <w:marBottom w:val="0"/>
          <w:divBdr>
            <w:top w:val="none" w:sz="0" w:space="0" w:color="auto"/>
            <w:left w:val="none" w:sz="0" w:space="0" w:color="auto"/>
            <w:bottom w:val="none" w:sz="0" w:space="0" w:color="auto"/>
            <w:right w:val="none" w:sz="0" w:space="0" w:color="auto"/>
          </w:divBdr>
        </w:div>
        <w:div w:id="2070110532">
          <w:marLeft w:val="0"/>
          <w:marRight w:val="0"/>
          <w:marTop w:val="0"/>
          <w:marBottom w:val="0"/>
          <w:divBdr>
            <w:top w:val="none" w:sz="0" w:space="0" w:color="auto"/>
            <w:left w:val="none" w:sz="0" w:space="0" w:color="auto"/>
            <w:bottom w:val="none" w:sz="0" w:space="0" w:color="auto"/>
            <w:right w:val="none" w:sz="0" w:space="0" w:color="auto"/>
          </w:divBdr>
        </w:div>
      </w:divsChild>
    </w:div>
    <w:div w:id="134106219">
      <w:bodyDiv w:val="1"/>
      <w:marLeft w:val="0"/>
      <w:marRight w:val="0"/>
      <w:marTop w:val="0"/>
      <w:marBottom w:val="0"/>
      <w:divBdr>
        <w:top w:val="none" w:sz="0" w:space="0" w:color="auto"/>
        <w:left w:val="none" w:sz="0" w:space="0" w:color="auto"/>
        <w:bottom w:val="none" w:sz="0" w:space="0" w:color="auto"/>
        <w:right w:val="none" w:sz="0" w:space="0" w:color="auto"/>
      </w:divBdr>
    </w:div>
    <w:div w:id="139076833">
      <w:bodyDiv w:val="1"/>
      <w:marLeft w:val="0"/>
      <w:marRight w:val="0"/>
      <w:marTop w:val="0"/>
      <w:marBottom w:val="0"/>
      <w:divBdr>
        <w:top w:val="none" w:sz="0" w:space="0" w:color="auto"/>
        <w:left w:val="none" w:sz="0" w:space="0" w:color="auto"/>
        <w:bottom w:val="none" w:sz="0" w:space="0" w:color="auto"/>
        <w:right w:val="none" w:sz="0" w:space="0" w:color="auto"/>
      </w:divBdr>
      <w:divsChild>
        <w:div w:id="155654002">
          <w:marLeft w:val="0"/>
          <w:marRight w:val="0"/>
          <w:marTop w:val="0"/>
          <w:marBottom w:val="0"/>
          <w:divBdr>
            <w:top w:val="none" w:sz="0" w:space="0" w:color="auto"/>
            <w:left w:val="none" w:sz="0" w:space="0" w:color="auto"/>
            <w:bottom w:val="none" w:sz="0" w:space="0" w:color="auto"/>
            <w:right w:val="none" w:sz="0" w:space="0" w:color="auto"/>
          </w:divBdr>
        </w:div>
        <w:div w:id="195198820">
          <w:marLeft w:val="0"/>
          <w:marRight w:val="0"/>
          <w:marTop w:val="0"/>
          <w:marBottom w:val="0"/>
          <w:divBdr>
            <w:top w:val="none" w:sz="0" w:space="0" w:color="auto"/>
            <w:left w:val="none" w:sz="0" w:space="0" w:color="auto"/>
            <w:bottom w:val="none" w:sz="0" w:space="0" w:color="auto"/>
            <w:right w:val="none" w:sz="0" w:space="0" w:color="auto"/>
          </w:divBdr>
        </w:div>
        <w:div w:id="386731006">
          <w:marLeft w:val="0"/>
          <w:marRight w:val="0"/>
          <w:marTop w:val="0"/>
          <w:marBottom w:val="0"/>
          <w:divBdr>
            <w:top w:val="none" w:sz="0" w:space="0" w:color="auto"/>
            <w:left w:val="none" w:sz="0" w:space="0" w:color="auto"/>
            <w:bottom w:val="none" w:sz="0" w:space="0" w:color="auto"/>
            <w:right w:val="none" w:sz="0" w:space="0" w:color="auto"/>
          </w:divBdr>
        </w:div>
        <w:div w:id="505441883">
          <w:marLeft w:val="0"/>
          <w:marRight w:val="0"/>
          <w:marTop w:val="0"/>
          <w:marBottom w:val="0"/>
          <w:divBdr>
            <w:top w:val="none" w:sz="0" w:space="0" w:color="auto"/>
            <w:left w:val="none" w:sz="0" w:space="0" w:color="auto"/>
            <w:bottom w:val="none" w:sz="0" w:space="0" w:color="auto"/>
            <w:right w:val="none" w:sz="0" w:space="0" w:color="auto"/>
          </w:divBdr>
        </w:div>
        <w:div w:id="793601321">
          <w:marLeft w:val="0"/>
          <w:marRight w:val="0"/>
          <w:marTop w:val="0"/>
          <w:marBottom w:val="0"/>
          <w:divBdr>
            <w:top w:val="none" w:sz="0" w:space="0" w:color="auto"/>
            <w:left w:val="none" w:sz="0" w:space="0" w:color="auto"/>
            <w:bottom w:val="none" w:sz="0" w:space="0" w:color="auto"/>
            <w:right w:val="none" w:sz="0" w:space="0" w:color="auto"/>
          </w:divBdr>
        </w:div>
        <w:div w:id="1073619787">
          <w:marLeft w:val="0"/>
          <w:marRight w:val="0"/>
          <w:marTop w:val="0"/>
          <w:marBottom w:val="0"/>
          <w:divBdr>
            <w:top w:val="none" w:sz="0" w:space="0" w:color="auto"/>
            <w:left w:val="none" w:sz="0" w:space="0" w:color="auto"/>
            <w:bottom w:val="none" w:sz="0" w:space="0" w:color="auto"/>
            <w:right w:val="none" w:sz="0" w:space="0" w:color="auto"/>
          </w:divBdr>
        </w:div>
        <w:div w:id="1161700465">
          <w:marLeft w:val="0"/>
          <w:marRight w:val="0"/>
          <w:marTop w:val="0"/>
          <w:marBottom w:val="0"/>
          <w:divBdr>
            <w:top w:val="none" w:sz="0" w:space="0" w:color="auto"/>
            <w:left w:val="none" w:sz="0" w:space="0" w:color="auto"/>
            <w:bottom w:val="none" w:sz="0" w:space="0" w:color="auto"/>
            <w:right w:val="none" w:sz="0" w:space="0" w:color="auto"/>
          </w:divBdr>
        </w:div>
        <w:div w:id="1345354007">
          <w:marLeft w:val="0"/>
          <w:marRight w:val="0"/>
          <w:marTop w:val="0"/>
          <w:marBottom w:val="0"/>
          <w:divBdr>
            <w:top w:val="none" w:sz="0" w:space="0" w:color="auto"/>
            <w:left w:val="none" w:sz="0" w:space="0" w:color="auto"/>
            <w:bottom w:val="none" w:sz="0" w:space="0" w:color="auto"/>
            <w:right w:val="none" w:sz="0" w:space="0" w:color="auto"/>
          </w:divBdr>
        </w:div>
        <w:div w:id="1478065313">
          <w:marLeft w:val="0"/>
          <w:marRight w:val="0"/>
          <w:marTop w:val="0"/>
          <w:marBottom w:val="0"/>
          <w:divBdr>
            <w:top w:val="none" w:sz="0" w:space="0" w:color="auto"/>
            <w:left w:val="none" w:sz="0" w:space="0" w:color="auto"/>
            <w:bottom w:val="none" w:sz="0" w:space="0" w:color="auto"/>
            <w:right w:val="none" w:sz="0" w:space="0" w:color="auto"/>
          </w:divBdr>
        </w:div>
        <w:div w:id="1517571948">
          <w:marLeft w:val="0"/>
          <w:marRight w:val="0"/>
          <w:marTop w:val="0"/>
          <w:marBottom w:val="0"/>
          <w:divBdr>
            <w:top w:val="none" w:sz="0" w:space="0" w:color="auto"/>
            <w:left w:val="none" w:sz="0" w:space="0" w:color="auto"/>
            <w:bottom w:val="none" w:sz="0" w:space="0" w:color="auto"/>
            <w:right w:val="none" w:sz="0" w:space="0" w:color="auto"/>
          </w:divBdr>
        </w:div>
        <w:div w:id="1549797680">
          <w:marLeft w:val="0"/>
          <w:marRight w:val="0"/>
          <w:marTop w:val="0"/>
          <w:marBottom w:val="0"/>
          <w:divBdr>
            <w:top w:val="none" w:sz="0" w:space="0" w:color="auto"/>
            <w:left w:val="none" w:sz="0" w:space="0" w:color="auto"/>
            <w:bottom w:val="none" w:sz="0" w:space="0" w:color="auto"/>
            <w:right w:val="none" w:sz="0" w:space="0" w:color="auto"/>
          </w:divBdr>
        </w:div>
        <w:div w:id="1803034665">
          <w:marLeft w:val="0"/>
          <w:marRight w:val="0"/>
          <w:marTop w:val="0"/>
          <w:marBottom w:val="0"/>
          <w:divBdr>
            <w:top w:val="none" w:sz="0" w:space="0" w:color="auto"/>
            <w:left w:val="none" w:sz="0" w:space="0" w:color="auto"/>
            <w:bottom w:val="none" w:sz="0" w:space="0" w:color="auto"/>
            <w:right w:val="none" w:sz="0" w:space="0" w:color="auto"/>
          </w:divBdr>
        </w:div>
        <w:div w:id="1874153633">
          <w:marLeft w:val="0"/>
          <w:marRight w:val="0"/>
          <w:marTop w:val="0"/>
          <w:marBottom w:val="0"/>
          <w:divBdr>
            <w:top w:val="none" w:sz="0" w:space="0" w:color="auto"/>
            <w:left w:val="none" w:sz="0" w:space="0" w:color="auto"/>
            <w:bottom w:val="none" w:sz="0" w:space="0" w:color="auto"/>
            <w:right w:val="none" w:sz="0" w:space="0" w:color="auto"/>
          </w:divBdr>
        </w:div>
        <w:div w:id="1930192437">
          <w:marLeft w:val="0"/>
          <w:marRight w:val="0"/>
          <w:marTop w:val="0"/>
          <w:marBottom w:val="0"/>
          <w:divBdr>
            <w:top w:val="none" w:sz="0" w:space="0" w:color="auto"/>
            <w:left w:val="none" w:sz="0" w:space="0" w:color="auto"/>
            <w:bottom w:val="none" w:sz="0" w:space="0" w:color="auto"/>
            <w:right w:val="none" w:sz="0" w:space="0" w:color="auto"/>
          </w:divBdr>
        </w:div>
        <w:div w:id="2130855030">
          <w:marLeft w:val="0"/>
          <w:marRight w:val="0"/>
          <w:marTop w:val="0"/>
          <w:marBottom w:val="0"/>
          <w:divBdr>
            <w:top w:val="none" w:sz="0" w:space="0" w:color="auto"/>
            <w:left w:val="none" w:sz="0" w:space="0" w:color="auto"/>
            <w:bottom w:val="none" w:sz="0" w:space="0" w:color="auto"/>
            <w:right w:val="none" w:sz="0" w:space="0" w:color="auto"/>
          </w:divBdr>
        </w:div>
      </w:divsChild>
    </w:div>
    <w:div w:id="216429783">
      <w:bodyDiv w:val="1"/>
      <w:marLeft w:val="0"/>
      <w:marRight w:val="0"/>
      <w:marTop w:val="0"/>
      <w:marBottom w:val="0"/>
      <w:divBdr>
        <w:top w:val="none" w:sz="0" w:space="0" w:color="auto"/>
        <w:left w:val="none" w:sz="0" w:space="0" w:color="auto"/>
        <w:bottom w:val="none" w:sz="0" w:space="0" w:color="auto"/>
        <w:right w:val="none" w:sz="0" w:space="0" w:color="auto"/>
      </w:divBdr>
    </w:div>
    <w:div w:id="518740993">
      <w:bodyDiv w:val="1"/>
      <w:marLeft w:val="0"/>
      <w:marRight w:val="0"/>
      <w:marTop w:val="0"/>
      <w:marBottom w:val="0"/>
      <w:divBdr>
        <w:top w:val="none" w:sz="0" w:space="0" w:color="auto"/>
        <w:left w:val="none" w:sz="0" w:space="0" w:color="auto"/>
        <w:bottom w:val="none" w:sz="0" w:space="0" w:color="auto"/>
        <w:right w:val="none" w:sz="0" w:space="0" w:color="auto"/>
      </w:divBdr>
    </w:div>
    <w:div w:id="607009851">
      <w:bodyDiv w:val="1"/>
      <w:marLeft w:val="0"/>
      <w:marRight w:val="0"/>
      <w:marTop w:val="0"/>
      <w:marBottom w:val="0"/>
      <w:divBdr>
        <w:top w:val="none" w:sz="0" w:space="0" w:color="auto"/>
        <w:left w:val="none" w:sz="0" w:space="0" w:color="auto"/>
        <w:bottom w:val="none" w:sz="0" w:space="0" w:color="auto"/>
        <w:right w:val="none" w:sz="0" w:space="0" w:color="auto"/>
      </w:divBdr>
    </w:div>
    <w:div w:id="861237476">
      <w:bodyDiv w:val="1"/>
      <w:marLeft w:val="0"/>
      <w:marRight w:val="0"/>
      <w:marTop w:val="0"/>
      <w:marBottom w:val="0"/>
      <w:divBdr>
        <w:top w:val="none" w:sz="0" w:space="0" w:color="auto"/>
        <w:left w:val="none" w:sz="0" w:space="0" w:color="auto"/>
        <w:bottom w:val="none" w:sz="0" w:space="0" w:color="auto"/>
        <w:right w:val="none" w:sz="0" w:space="0" w:color="auto"/>
      </w:divBdr>
      <w:divsChild>
        <w:div w:id="1343239271">
          <w:marLeft w:val="0"/>
          <w:marRight w:val="0"/>
          <w:marTop w:val="0"/>
          <w:marBottom w:val="0"/>
          <w:divBdr>
            <w:top w:val="none" w:sz="0" w:space="0" w:color="auto"/>
            <w:left w:val="none" w:sz="0" w:space="0" w:color="auto"/>
            <w:bottom w:val="none" w:sz="0" w:space="0" w:color="auto"/>
            <w:right w:val="none" w:sz="0" w:space="0" w:color="auto"/>
          </w:divBdr>
        </w:div>
        <w:div w:id="1531648987">
          <w:marLeft w:val="0"/>
          <w:marRight w:val="0"/>
          <w:marTop w:val="0"/>
          <w:marBottom w:val="0"/>
          <w:divBdr>
            <w:top w:val="none" w:sz="0" w:space="0" w:color="auto"/>
            <w:left w:val="none" w:sz="0" w:space="0" w:color="auto"/>
            <w:bottom w:val="none" w:sz="0" w:space="0" w:color="auto"/>
            <w:right w:val="none" w:sz="0" w:space="0" w:color="auto"/>
          </w:divBdr>
        </w:div>
      </w:divsChild>
    </w:div>
    <w:div w:id="1086803496">
      <w:bodyDiv w:val="1"/>
      <w:marLeft w:val="0"/>
      <w:marRight w:val="0"/>
      <w:marTop w:val="0"/>
      <w:marBottom w:val="0"/>
      <w:divBdr>
        <w:top w:val="none" w:sz="0" w:space="0" w:color="auto"/>
        <w:left w:val="none" w:sz="0" w:space="0" w:color="auto"/>
        <w:bottom w:val="none" w:sz="0" w:space="0" w:color="auto"/>
        <w:right w:val="none" w:sz="0" w:space="0" w:color="auto"/>
      </w:divBdr>
      <w:divsChild>
        <w:div w:id="1581408707">
          <w:marLeft w:val="0"/>
          <w:marRight w:val="0"/>
          <w:marTop w:val="0"/>
          <w:marBottom w:val="0"/>
          <w:divBdr>
            <w:top w:val="none" w:sz="0" w:space="0" w:color="auto"/>
            <w:left w:val="none" w:sz="0" w:space="0" w:color="auto"/>
            <w:bottom w:val="none" w:sz="0" w:space="0" w:color="auto"/>
            <w:right w:val="none" w:sz="0" w:space="0" w:color="auto"/>
          </w:divBdr>
        </w:div>
        <w:div w:id="500050304">
          <w:marLeft w:val="0"/>
          <w:marRight w:val="0"/>
          <w:marTop w:val="0"/>
          <w:marBottom w:val="0"/>
          <w:divBdr>
            <w:top w:val="none" w:sz="0" w:space="0" w:color="auto"/>
            <w:left w:val="none" w:sz="0" w:space="0" w:color="auto"/>
            <w:bottom w:val="none" w:sz="0" w:space="0" w:color="auto"/>
            <w:right w:val="none" w:sz="0" w:space="0" w:color="auto"/>
          </w:divBdr>
        </w:div>
        <w:div w:id="851837593">
          <w:marLeft w:val="0"/>
          <w:marRight w:val="0"/>
          <w:marTop w:val="0"/>
          <w:marBottom w:val="0"/>
          <w:divBdr>
            <w:top w:val="none" w:sz="0" w:space="0" w:color="auto"/>
            <w:left w:val="none" w:sz="0" w:space="0" w:color="auto"/>
            <w:bottom w:val="none" w:sz="0" w:space="0" w:color="auto"/>
            <w:right w:val="none" w:sz="0" w:space="0" w:color="auto"/>
          </w:divBdr>
        </w:div>
        <w:div w:id="216010781">
          <w:marLeft w:val="0"/>
          <w:marRight w:val="0"/>
          <w:marTop w:val="0"/>
          <w:marBottom w:val="0"/>
          <w:divBdr>
            <w:top w:val="none" w:sz="0" w:space="0" w:color="auto"/>
            <w:left w:val="none" w:sz="0" w:space="0" w:color="auto"/>
            <w:bottom w:val="none" w:sz="0" w:space="0" w:color="auto"/>
            <w:right w:val="none" w:sz="0" w:space="0" w:color="auto"/>
          </w:divBdr>
          <w:divsChild>
            <w:div w:id="5672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3843">
      <w:bodyDiv w:val="1"/>
      <w:marLeft w:val="0"/>
      <w:marRight w:val="0"/>
      <w:marTop w:val="0"/>
      <w:marBottom w:val="0"/>
      <w:divBdr>
        <w:top w:val="none" w:sz="0" w:space="0" w:color="auto"/>
        <w:left w:val="none" w:sz="0" w:space="0" w:color="auto"/>
        <w:bottom w:val="none" w:sz="0" w:space="0" w:color="auto"/>
        <w:right w:val="none" w:sz="0" w:space="0" w:color="auto"/>
      </w:divBdr>
      <w:divsChild>
        <w:div w:id="1378043637">
          <w:marLeft w:val="0"/>
          <w:marRight w:val="0"/>
          <w:marTop w:val="0"/>
          <w:marBottom w:val="0"/>
          <w:divBdr>
            <w:top w:val="none" w:sz="0" w:space="0" w:color="auto"/>
            <w:left w:val="none" w:sz="0" w:space="0" w:color="auto"/>
            <w:bottom w:val="none" w:sz="0" w:space="0" w:color="auto"/>
            <w:right w:val="none" w:sz="0" w:space="0" w:color="auto"/>
          </w:divBdr>
        </w:div>
      </w:divsChild>
    </w:div>
    <w:div w:id="1708337839">
      <w:bodyDiv w:val="1"/>
      <w:marLeft w:val="0"/>
      <w:marRight w:val="0"/>
      <w:marTop w:val="0"/>
      <w:marBottom w:val="0"/>
      <w:divBdr>
        <w:top w:val="none" w:sz="0" w:space="0" w:color="auto"/>
        <w:left w:val="none" w:sz="0" w:space="0" w:color="auto"/>
        <w:bottom w:val="none" w:sz="0" w:space="0" w:color="auto"/>
        <w:right w:val="none" w:sz="0" w:space="0" w:color="auto"/>
      </w:divBdr>
      <w:divsChild>
        <w:div w:id="1305701473">
          <w:marLeft w:val="0"/>
          <w:marRight w:val="0"/>
          <w:marTop w:val="0"/>
          <w:marBottom w:val="0"/>
          <w:divBdr>
            <w:top w:val="none" w:sz="0" w:space="0" w:color="auto"/>
            <w:left w:val="none" w:sz="0" w:space="0" w:color="auto"/>
            <w:bottom w:val="none" w:sz="0" w:space="0" w:color="auto"/>
            <w:right w:val="none" w:sz="0" w:space="0" w:color="auto"/>
          </w:divBdr>
        </w:div>
      </w:divsChild>
    </w:div>
    <w:div w:id="1720351655">
      <w:bodyDiv w:val="1"/>
      <w:marLeft w:val="0"/>
      <w:marRight w:val="0"/>
      <w:marTop w:val="0"/>
      <w:marBottom w:val="0"/>
      <w:divBdr>
        <w:top w:val="none" w:sz="0" w:space="0" w:color="auto"/>
        <w:left w:val="none" w:sz="0" w:space="0" w:color="auto"/>
        <w:bottom w:val="none" w:sz="0" w:space="0" w:color="auto"/>
        <w:right w:val="none" w:sz="0" w:space="0" w:color="auto"/>
      </w:divBdr>
      <w:divsChild>
        <w:div w:id="390428293">
          <w:marLeft w:val="0"/>
          <w:marRight w:val="0"/>
          <w:marTop w:val="0"/>
          <w:marBottom w:val="0"/>
          <w:divBdr>
            <w:top w:val="none" w:sz="0" w:space="0" w:color="auto"/>
            <w:left w:val="none" w:sz="0" w:space="0" w:color="auto"/>
            <w:bottom w:val="none" w:sz="0" w:space="0" w:color="auto"/>
            <w:right w:val="none" w:sz="0" w:space="0" w:color="auto"/>
          </w:divBdr>
        </w:div>
      </w:divsChild>
    </w:div>
    <w:div w:id="1732121607">
      <w:bodyDiv w:val="1"/>
      <w:marLeft w:val="0"/>
      <w:marRight w:val="0"/>
      <w:marTop w:val="0"/>
      <w:marBottom w:val="0"/>
      <w:divBdr>
        <w:top w:val="none" w:sz="0" w:space="0" w:color="auto"/>
        <w:left w:val="none" w:sz="0" w:space="0" w:color="auto"/>
        <w:bottom w:val="none" w:sz="0" w:space="0" w:color="auto"/>
        <w:right w:val="none" w:sz="0" w:space="0" w:color="auto"/>
      </w:divBdr>
      <w:divsChild>
        <w:div w:id="1294870700">
          <w:marLeft w:val="0"/>
          <w:marRight w:val="0"/>
          <w:marTop w:val="0"/>
          <w:marBottom w:val="0"/>
          <w:divBdr>
            <w:top w:val="none" w:sz="0" w:space="0" w:color="auto"/>
            <w:left w:val="none" w:sz="0" w:space="0" w:color="auto"/>
            <w:bottom w:val="none" w:sz="0" w:space="0" w:color="auto"/>
            <w:right w:val="none" w:sz="0" w:space="0" w:color="auto"/>
          </w:divBdr>
          <w:divsChild>
            <w:div w:id="675158760">
              <w:marLeft w:val="3915"/>
              <w:marRight w:val="3915"/>
              <w:marTop w:val="0"/>
              <w:marBottom w:val="0"/>
              <w:divBdr>
                <w:top w:val="single" w:sz="6" w:space="15" w:color="901A1E"/>
                <w:left w:val="none" w:sz="0" w:space="0" w:color="auto"/>
                <w:bottom w:val="none" w:sz="0" w:space="0" w:color="auto"/>
                <w:right w:val="none" w:sz="0" w:space="0" w:color="auto"/>
              </w:divBdr>
              <w:divsChild>
                <w:div w:id="2045404341">
                  <w:marLeft w:val="0"/>
                  <w:marRight w:val="0"/>
                  <w:marTop w:val="0"/>
                  <w:marBottom w:val="0"/>
                  <w:divBdr>
                    <w:top w:val="none" w:sz="0" w:space="0" w:color="auto"/>
                    <w:left w:val="none" w:sz="0" w:space="0" w:color="auto"/>
                    <w:bottom w:val="none" w:sz="0" w:space="0" w:color="auto"/>
                    <w:right w:val="none" w:sz="0" w:space="0" w:color="auto"/>
                  </w:divBdr>
                  <w:divsChild>
                    <w:div w:id="1983344811">
                      <w:marLeft w:val="0"/>
                      <w:marRight w:val="0"/>
                      <w:marTop w:val="0"/>
                      <w:marBottom w:val="0"/>
                      <w:divBdr>
                        <w:top w:val="none" w:sz="0" w:space="0" w:color="auto"/>
                        <w:left w:val="none" w:sz="0" w:space="0" w:color="auto"/>
                        <w:bottom w:val="none" w:sz="0" w:space="0" w:color="auto"/>
                        <w:right w:val="none" w:sz="0" w:space="0" w:color="auto"/>
                      </w:divBdr>
                      <w:divsChild>
                        <w:div w:id="20402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89601">
      <w:bodyDiv w:val="1"/>
      <w:marLeft w:val="0"/>
      <w:marRight w:val="0"/>
      <w:marTop w:val="0"/>
      <w:marBottom w:val="0"/>
      <w:divBdr>
        <w:top w:val="none" w:sz="0" w:space="0" w:color="auto"/>
        <w:left w:val="none" w:sz="0" w:space="0" w:color="auto"/>
        <w:bottom w:val="none" w:sz="0" w:space="0" w:color="auto"/>
        <w:right w:val="none" w:sz="0" w:space="0" w:color="auto"/>
      </w:divBdr>
    </w:div>
    <w:div w:id="1808430566">
      <w:bodyDiv w:val="1"/>
      <w:marLeft w:val="0"/>
      <w:marRight w:val="0"/>
      <w:marTop w:val="0"/>
      <w:marBottom w:val="0"/>
      <w:divBdr>
        <w:top w:val="none" w:sz="0" w:space="0" w:color="auto"/>
        <w:left w:val="none" w:sz="0" w:space="0" w:color="auto"/>
        <w:bottom w:val="none" w:sz="0" w:space="0" w:color="auto"/>
        <w:right w:val="none" w:sz="0" w:space="0" w:color="auto"/>
      </w:divBdr>
    </w:div>
    <w:div w:id="1901204901">
      <w:bodyDiv w:val="1"/>
      <w:marLeft w:val="0"/>
      <w:marRight w:val="0"/>
      <w:marTop w:val="0"/>
      <w:marBottom w:val="0"/>
      <w:divBdr>
        <w:top w:val="none" w:sz="0" w:space="0" w:color="auto"/>
        <w:left w:val="none" w:sz="0" w:space="0" w:color="auto"/>
        <w:bottom w:val="none" w:sz="0" w:space="0" w:color="auto"/>
        <w:right w:val="none" w:sz="0" w:space="0" w:color="auto"/>
      </w:divBdr>
      <w:divsChild>
        <w:div w:id="661664447">
          <w:marLeft w:val="0"/>
          <w:marRight w:val="0"/>
          <w:marTop w:val="0"/>
          <w:marBottom w:val="0"/>
          <w:divBdr>
            <w:top w:val="none" w:sz="0" w:space="0" w:color="auto"/>
            <w:left w:val="none" w:sz="0" w:space="0" w:color="auto"/>
            <w:bottom w:val="none" w:sz="0" w:space="0" w:color="auto"/>
            <w:right w:val="none" w:sz="0" w:space="0" w:color="auto"/>
          </w:divBdr>
        </w:div>
      </w:divsChild>
    </w:div>
    <w:div w:id="2028435790">
      <w:bodyDiv w:val="1"/>
      <w:marLeft w:val="0"/>
      <w:marRight w:val="0"/>
      <w:marTop w:val="0"/>
      <w:marBottom w:val="0"/>
      <w:divBdr>
        <w:top w:val="none" w:sz="0" w:space="0" w:color="auto"/>
        <w:left w:val="none" w:sz="0" w:space="0" w:color="auto"/>
        <w:bottom w:val="none" w:sz="0" w:space="0" w:color="auto"/>
        <w:right w:val="none" w:sz="0" w:space="0" w:color="auto"/>
      </w:divBdr>
      <w:divsChild>
        <w:div w:id="1926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aehrling@uni-du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E340-5650-4BEA-A401-70330943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8573</Words>
  <Characters>52299</Characters>
  <Application>Microsoft Office Word</Application>
  <DocSecurity>0</DocSecurity>
  <Lines>435</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University of Manchester</Company>
  <LinksUpToDate>false</LinksUpToDate>
  <CharactersWithSpaces>60751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hq0148</dc:creator>
  <cp:lastModifiedBy>Bjarke Refslund</cp:lastModifiedBy>
  <cp:revision>3</cp:revision>
  <cp:lastPrinted>2017-10-23T12:28:00Z</cp:lastPrinted>
  <dcterms:created xsi:type="dcterms:W3CDTF">2017-12-15T12:41:00Z</dcterms:created>
  <dcterms:modified xsi:type="dcterms:W3CDTF">2018-03-09T11:07:00Z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id="L7W42zVh"/&gt;&lt;style id="http://www.zotero.org/styles/sage-harvard"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value=""/&gt;&lt;/prefs&gt;&lt;/data&gt;</vt:lpwstr>
  </property>
</Properties>
</file>