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77" w:rsidRPr="00E97CFD" w:rsidRDefault="0069359A" w:rsidP="00A45877">
      <w:pPr>
        <w:suppressAutoHyphens/>
        <w:spacing w:after="0" w:line="360" w:lineRule="auto"/>
        <w:rPr>
          <w:rFonts w:asciiTheme="majorHAnsi" w:eastAsia="DejaVu Sans" w:hAnsiTheme="majorHAnsi" w:cs="Arial"/>
          <w:b/>
          <w:caps/>
          <w:lang w:val="en-GB"/>
        </w:rPr>
      </w:pPr>
      <w:r>
        <w:rPr>
          <w:rFonts w:asciiTheme="majorHAnsi" w:eastAsia="DejaVu Sans" w:hAnsiTheme="majorHAnsi"/>
          <w:b/>
          <w:bCs/>
          <w:lang w:val="en-GB"/>
        </w:rPr>
        <w:t>Title</w:t>
      </w:r>
      <w:r w:rsidR="00812184">
        <w:rPr>
          <w:rFonts w:asciiTheme="majorHAnsi" w:eastAsia="DejaVu Sans" w:hAnsiTheme="majorHAnsi"/>
          <w:b/>
          <w:bCs/>
          <w:lang w:val="en-GB"/>
        </w:rPr>
        <w:t>:</w:t>
      </w:r>
      <w:r>
        <w:rPr>
          <w:rFonts w:asciiTheme="majorHAnsi" w:eastAsia="DejaVu Sans" w:hAnsiTheme="majorHAnsi"/>
          <w:b/>
          <w:bCs/>
          <w:lang w:val="en-GB"/>
        </w:rPr>
        <w:t xml:space="preserve"> </w:t>
      </w:r>
      <w:r w:rsidR="00812184">
        <w:rPr>
          <w:rFonts w:asciiTheme="majorHAnsi" w:eastAsia="DejaVu Sans" w:hAnsiTheme="majorHAnsi"/>
          <w:b/>
          <w:bCs/>
          <w:lang w:val="en-GB"/>
        </w:rPr>
        <w:t>M</w:t>
      </w:r>
      <w:r w:rsidR="00812184" w:rsidRPr="00812184">
        <w:rPr>
          <w:rFonts w:asciiTheme="majorHAnsi" w:eastAsia="DejaVu Sans" w:hAnsiTheme="majorHAnsi"/>
          <w:b/>
          <w:bCs/>
          <w:lang w:val="en-GB"/>
        </w:rPr>
        <w:t xml:space="preserve">anaging the wastewater microbiome: </w:t>
      </w:r>
      <w:r w:rsidR="00812184">
        <w:rPr>
          <w:rFonts w:asciiTheme="majorHAnsi" w:eastAsia="DejaVu Sans" w:hAnsiTheme="majorHAnsi"/>
          <w:b/>
          <w:bCs/>
          <w:lang w:val="en-GB"/>
        </w:rPr>
        <w:t>R</w:t>
      </w:r>
      <w:r w:rsidR="00812184" w:rsidRPr="00812184">
        <w:rPr>
          <w:rFonts w:asciiTheme="majorHAnsi" w:eastAsia="DejaVu Sans" w:hAnsiTheme="majorHAnsi"/>
          <w:b/>
          <w:bCs/>
          <w:lang w:val="en-GB"/>
        </w:rPr>
        <w:t xml:space="preserve">apid microbial surveillance using </w:t>
      </w:r>
      <w:r w:rsidR="00812184">
        <w:rPr>
          <w:rFonts w:asciiTheme="majorHAnsi" w:eastAsia="DejaVu Sans" w:hAnsiTheme="majorHAnsi"/>
          <w:b/>
          <w:bCs/>
          <w:lang w:val="en-GB"/>
        </w:rPr>
        <w:t>N</w:t>
      </w:r>
      <w:r w:rsidR="00812184" w:rsidRPr="00812184">
        <w:rPr>
          <w:rFonts w:asciiTheme="majorHAnsi" w:eastAsia="DejaVu Sans" w:hAnsiTheme="majorHAnsi"/>
          <w:b/>
          <w:bCs/>
          <w:lang w:val="en-GB"/>
        </w:rPr>
        <w:t xml:space="preserve">anopore </w:t>
      </w:r>
      <w:r w:rsidR="00812184">
        <w:rPr>
          <w:rFonts w:asciiTheme="majorHAnsi" w:eastAsia="DejaVu Sans" w:hAnsiTheme="majorHAnsi"/>
          <w:b/>
          <w:bCs/>
          <w:lang w:val="en-GB"/>
        </w:rPr>
        <w:t>DNA</w:t>
      </w:r>
      <w:r w:rsidR="00812184" w:rsidRPr="00812184">
        <w:rPr>
          <w:rFonts w:asciiTheme="majorHAnsi" w:eastAsia="DejaVu Sans" w:hAnsiTheme="majorHAnsi"/>
          <w:b/>
          <w:bCs/>
          <w:lang w:val="en-GB"/>
        </w:rPr>
        <w:t xml:space="preserve"> sequencing</w:t>
      </w:r>
    </w:p>
    <w:p w:rsidR="00AB3696" w:rsidRDefault="00812184" w:rsidP="00A45877">
      <w:pPr>
        <w:suppressAutoHyphens/>
        <w:spacing w:after="0" w:line="480" w:lineRule="auto"/>
        <w:rPr>
          <w:rFonts w:asciiTheme="majorHAnsi" w:eastAsia="DejaVu Sans" w:hAnsiTheme="majorHAnsi"/>
          <w:lang w:val="en-GB"/>
        </w:rPr>
      </w:pPr>
      <w:r>
        <w:rPr>
          <w:rFonts w:asciiTheme="majorHAnsi" w:eastAsia="DejaVu Sans" w:hAnsiTheme="majorHAnsi" w:cs="Times New Roman"/>
          <w:b/>
          <w:lang w:val="en-GB"/>
        </w:rPr>
        <w:t>Martin Hjorth Andersen</w:t>
      </w:r>
      <w:r w:rsidR="00A45877" w:rsidRPr="00E97CFD">
        <w:rPr>
          <w:rFonts w:asciiTheme="majorHAnsi" w:eastAsia="DejaVu Sans" w:hAnsiTheme="majorHAnsi" w:cs="Times New Roman"/>
          <w:b/>
          <w:vertAlign w:val="superscript"/>
          <w:lang w:val="en-GB"/>
        </w:rPr>
        <w:t>1</w:t>
      </w:r>
      <w:r w:rsidR="00A45877" w:rsidRPr="00E97CFD">
        <w:rPr>
          <w:rFonts w:asciiTheme="majorHAnsi" w:eastAsia="DejaVu Sans" w:hAnsiTheme="majorHAnsi" w:cs="Times New Roman"/>
          <w:b/>
          <w:lang w:val="en-GB"/>
        </w:rPr>
        <w:t xml:space="preserve">, </w:t>
      </w:r>
      <w:r>
        <w:rPr>
          <w:rFonts w:asciiTheme="majorHAnsi" w:eastAsia="DejaVu Sans" w:hAnsiTheme="majorHAnsi" w:cs="Times New Roman"/>
          <w:b/>
          <w:lang w:val="en-GB"/>
        </w:rPr>
        <w:t>Rasmus Hansen Kirkegaard</w:t>
      </w:r>
      <w:r w:rsidR="00A45877" w:rsidRPr="00E97CFD">
        <w:rPr>
          <w:rFonts w:asciiTheme="majorHAnsi" w:eastAsia="DejaVu Sans" w:hAnsiTheme="majorHAnsi" w:cs="Times New Roman"/>
          <w:b/>
          <w:vertAlign w:val="superscript"/>
          <w:lang w:val="en-GB"/>
        </w:rPr>
        <w:t>1</w:t>
      </w:r>
      <w:r w:rsidR="00A45877" w:rsidRPr="00E97CFD">
        <w:rPr>
          <w:rFonts w:asciiTheme="majorHAnsi" w:eastAsia="DejaVu Sans" w:hAnsiTheme="majorHAnsi" w:cs="Times New Roman"/>
          <w:b/>
          <w:lang w:val="en-GB"/>
        </w:rPr>
        <w:t xml:space="preserve">, </w:t>
      </w:r>
      <w:r>
        <w:rPr>
          <w:rFonts w:asciiTheme="majorHAnsi" w:eastAsia="DejaVu Sans" w:hAnsiTheme="majorHAnsi" w:cs="Times New Roman"/>
          <w:b/>
          <w:lang w:val="en-GB"/>
        </w:rPr>
        <w:t>Mads Albertsen</w:t>
      </w:r>
      <w:r w:rsidR="00A45877" w:rsidRPr="00E97CFD">
        <w:rPr>
          <w:rFonts w:asciiTheme="majorHAnsi" w:eastAsia="DejaVu Sans" w:hAnsiTheme="majorHAnsi" w:cs="Times New Roman"/>
          <w:b/>
          <w:vertAlign w:val="superscript"/>
          <w:lang w:val="en-GB"/>
        </w:rPr>
        <w:t>1</w:t>
      </w:r>
      <w:r w:rsidR="00A45877" w:rsidRPr="00E97CFD">
        <w:rPr>
          <w:rFonts w:asciiTheme="majorHAnsi" w:eastAsia="DejaVu Sans" w:hAnsiTheme="majorHAnsi" w:cs="Times New Roman"/>
          <w:b/>
          <w:vertAlign w:val="superscript"/>
          <w:lang w:val="en-GB"/>
        </w:rPr>
        <w:br/>
      </w:r>
      <w:r w:rsidR="00A45877" w:rsidRPr="00A45877">
        <w:rPr>
          <w:rFonts w:asciiTheme="majorHAnsi" w:eastAsia="DejaVu Sans" w:hAnsiTheme="majorHAnsi"/>
          <w:vertAlign w:val="superscript"/>
          <w:lang w:val="en-GB"/>
        </w:rPr>
        <w:t>1</w:t>
      </w:r>
      <w:r w:rsidR="00A45877" w:rsidRPr="00E97CFD">
        <w:rPr>
          <w:rFonts w:asciiTheme="majorHAnsi" w:eastAsia="DejaVu Sans" w:hAnsiTheme="majorHAnsi"/>
          <w:lang w:val="en-GB"/>
        </w:rPr>
        <w:t xml:space="preserve"> </w:t>
      </w:r>
      <w:proofErr w:type="spellStart"/>
      <w:r w:rsidRPr="00812184">
        <w:rPr>
          <w:rFonts w:asciiTheme="majorHAnsi" w:eastAsia="DejaVu Sans" w:hAnsiTheme="majorHAnsi"/>
          <w:lang w:val="en-GB"/>
        </w:rPr>
        <w:t>Center</w:t>
      </w:r>
      <w:proofErr w:type="spellEnd"/>
      <w:r w:rsidRPr="00812184">
        <w:rPr>
          <w:rFonts w:asciiTheme="majorHAnsi" w:eastAsia="DejaVu Sans" w:hAnsiTheme="majorHAnsi"/>
          <w:lang w:val="en-GB"/>
        </w:rPr>
        <w:t xml:space="preserve"> for Microbial Communities, Department of Chemistry and Bioscience, Aalborg University, </w:t>
      </w:r>
      <w:r>
        <w:rPr>
          <w:rFonts w:asciiTheme="majorHAnsi" w:eastAsia="DejaVu Sans" w:hAnsiTheme="majorHAnsi"/>
          <w:lang w:val="en-GB"/>
        </w:rPr>
        <w:t xml:space="preserve">Fredrik </w:t>
      </w:r>
      <w:proofErr w:type="spellStart"/>
      <w:r>
        <w:rPr>
          <w:rFonts w:asciiTheme="majorHAnsi" w:eastAsia="DejaVu Sans" w:hAnsiTheme="majorHAnsi"/>
          <w:lang w:val="en-GB"/>
        </w:rPr>
        <w:t>Bajers</w:t>
      </w:r>
      <w:proofErr w:type="spellEnd"/>
      <w:r>
        <w:rPr>
          <w:rFonts w:asciiTheme="majorHAnsi" w:eastAsia="DejaVu Sans" w:hAnsiTheme="majorHAnsi"/>
          <w:lang w:val="en-GB"/>
        </w:rPr>
        <w:t xml:space="preserve"> </w:t>
      </w:r>
      <w:proofErr w:type="spellStart"/>
      <w:r>
        <w:rPr>
          <w:rFonts w:asciiTheme="majorHAnsi" w:eastAsia="DejaVu Sans" w:hAnsiTheme="majorHAnsi"/>
          <w:lang w:val="en-GB"/>
        </w:rPr>
        <w:t>Vej</w:t>
      </w:r>
      <w:proofErr w:type="spellEnd"/>
      <w:r>
        <w:rPr>
          <w:rFonts w:asciiTheme="majorHAnsi" w:eastAsia="DejaVu Sans" w:hAnsiTheme="majorHAnsi"/>
          <w:lang w:val="en-GB"/>
        </w:rPr>
        <w:t xml:space="preserve"> 7H, 9220 </w:t>
      </w:r>
      <w:r w:rsidRPr="00812184">
        <w:rPr>
          <w:rFonts w:asciiTheme="majorHAnsi" w:eastAsia="DejaVu Sans" w:hAnsiTheme="majorHAnsi"/>
          <w:lang w:val="en-GB"/>
        </w:rPr>
        <w:t>Aalborg</w:t>
      </w:r>
      <w:r>
        <w:rPr>
          <w:rFonts w:asciiTheme="majorHAnsi" w:eastAsia="DejaVu Sans" w:hAnsiTheme="majorHAnsi"/>
          <w:lang w:val="en-GB"/>
        </w:rPr>
        <w:t xml:space="preserve"> Ø</w:t>
      </w:r>
      <w:r w:rsidRPr="00812184">
        <w:rPr>
          <w:rFonts w:asciiTheme="majorHAnsi" w:eastAsia="DejaVu Sans" w:hAnsiTheme="majorHAnsi"/>
          <w:lang w:val="en-GB"/>
        </w:rPr>
        <w:t>, Denmark</w:t>
      </w:r>
      <w:r w:rsidR="00A45877" w:rsidRPr="00E97CFD">
        <w:rPr>
          <w:rFonts w:asciiTheme="majorHAnsi" w:eastAsia="DejaVu Sans" w:hAnsiTheme="majorHAnsi"/>
          <w:lang w:val="en-GB"/>
        </w:rPr>
        <w:br/>
      </w:r>
      <w:hyperlink r:id="rId6" w:history="1">
        <w:r w:rsidR="00A67FEA" w:rsidRPr="000A6A98">
          <w:rPr>
            <w:rStyle w:val="Hyperlink"/>
            <w:rFonts w:asciiTheme="majorHAnsi" w:eastAsia="DejaVu Sans" w:hAnsiTheme="majorHAnsi"/>
            <w:lang w:val="en-GB"/>
          </w:rPr>
          <w:t>mha@bio.aau.dk</w:t>
        </w:r>
      </w:hyperlink>
    </w:p>
    <w:p w:rsidR="00A67FEA" w:rsidRPr="00E97CFD" w:rsidRDefault="00A67FEA" w:rsidP="00A45877">
      <w:pPr>
        <w:suppressAutoHyphens/>
        <w:spacing w:after="0" w:line="480" w:lineRule="auto"/>
        <w:rPr>
          <w:rFonts w:asciiTheme="majorHAnsi" w:eastAsia="DejaVu Sans" w:hAnsiTheme="majorHAnsi"/>
          <w:lang w:val="en-GB"/>
        </w:rPr>
      </w:pPr>
    </w:p>
    <w:p w:rsidR="00A45877" w:rsidRDefault="00A45877" w:rsidP="00A45877">
      <w:pPr>
        <w:suppressAutoHyphens/>
        <w:spacing w:after="0" w:line="360" w:lineRule="auto"/>
        <w:rPr>
          <w:rFonts w:asciiTheme="majorHAnsi" w:eastAsia="DejaVu Sans" w:hAnsiTheme="majorHAnsi" w:cs="Arial"/>
          <w:lang w:val="en-GB"/>
        </w:rPr>
      </w:pPr>
      <w:r w:rsidRPr="00E97CFD">
        <w:rPr>
          <w:rFonts w:asciiTheme="majorHAnsi" w:eastAsia="DejaVu Sans" w:hAnsiTheme="majorHAnsi" w:cs="Arial"/>
          <w:b/>
          <w:lang w:val="en-GB"/>
        </w:rPr>
        <w:t>Background</w:t>
      </w:r>
      <w:r>
        <w:rPr>
          <w:rFonts w:asciiTheme="majorHAnsi" w:eastAsia="DejaVu Sans" w:hAnsiTheme="majorHAnsi" w:cs="Arial"/>
          <w:lang w:val="en-GB"/>
        </w:rPr>
        <w:t xml:space="preserve"> </w:t>
      </w:r>
    </w:p>
    <w:p w:rsidR="00812184" w:rsidRDefault="00812184" w:rsidP="00A45877">
      <w:pPr>
        <w:suppressAutoHyphens/>
        <w:spacing w:after="0" w:line="360" w:lineRule="auto"/>
        <w:rPr>
          <w:rFonts w:asciiTheme="majorHAnsi" w:eastAsia="DejaVu Sans" w:hAnsiTheme="majorHAnsi" w:cs="Arial"/>
          <w:lang w:val="en-GB"/>
        </w:rPr>
      </w:pPr>
      <w:r w:rsidRPr="00812184">
        <w:rPr>
          <w:rFonts w:asciiTheme="majorHAnsi" w:eastAsia="DejaVu Sans" w:hAnsiTheme="majorHAnsi" w:cs="Arial"/>
          <w:lang w:val="en-GB"/>
        </w:rPr>
        <w:t>Wastewater treatment plants depend heavily on microbial communities to clean sewage water, which has to pass strict nutrient requirements before the effluent goes into waterways. The biological processes are generally stable. However, problems do occur occasionally, can arise quickly and lead to process breakdown, leading to increased operational costs and potential environmental hazards</w:t>
      </w:r>
      <w:r w:rsidR="00927551">
        <w:rPr>
          <w:rFonts w:asciiTheme="majorHAnsi" w:eastAsia="DejaVu Sans" w:hAnsiTheme="majorHAnsi" w:cs="Arial"/>
          <w:lang w:val="en-GB"/>
        </w:rPr>
        <w:fldChar w:fldCharType="begin" w:fldLock="1"/>
      </w:r>
      <w:r w:rsidR="00927551">
        <w:rPr>
          <w:rFonts w:asciiTheme="majorHAnsi" w:eastAsia="DejaVu Sans" w:hAnsiTheme="majorHAnsi" w:cs="Arial"/>
          <w:lang w:val="en-GB"/>
        </w:rPr>
        <w:instrText>ADDIN CSL_CITATION { "citationItems" : [ { "id" : "ITEM-1", "itemData" : { "DOI" : "10.1016/j.watres.2010.12.026", "ISBN" : "0043-1354", "ISSN" : "00431354", "PMID" : "21239035", "abstract" : "Screening pure cultures of 65 mycolic acid producing bacteria (Mycolata) isolated mainly from activated sludge with a laboratory based foaming test revealed that not all foamed under the conditions used. However, for most, the data were generally consistent with the flotation theory as an explanation for foaming. Thus a stable foam required three components, air bubbles, surfactants and hydrophobic cells. With non-hydrophobic cells, an unstable foam was generated, and in the absence of surfactants, cells formed a greasy surface scum. Addition of surfactant converted a scumming population into one forming a stable foam. The ability to generate a foam depended on a threshold cell number, which varied between individual isolates and reduced markedly in the presence of surfactant. Consequently, the concept of a universal threshold applicable to all foaming Mycolata is not supported by these data. The role of surfactants in foaming is poorly understood, but evidence is presented for the first time that surfactin synthesised by Bacillus subtilis may be important. \u00a9 2010 Elsevier Ltd.", "author" : [ { "dropping-particle" : "", "family" : "Petrovski", "given" : "Steve", "non-dropping-particle" : "", "parse-names" : false, "suffix" : "" }, { "dropping-particle" : "", "family" : "Dyson", "given" : "Zoe A.", "non-dropping-particle" : "", "parse-names" : false, "suffix" : "" }, { "dropping-particle" : "", "family" : "Quill", "given" : "Eben S.", "non-dropping-particle" : "", "parse-names" : false, "suffix" : "" }, { "dropping-particle" : "", "family" : "McIlroy", "given" : "Simon J.", "non-dropping-particle" : "", "parse-names" : false, "suffix" : "" }, { "dropping-particle" : "", "family" : "Tillett", "given" : "Daniel", "non-dropping-particle" : "", "parse-names" : false, "suffix" : "" }, { "dropping-particle" : "", "family" : "Seviour", "given" : "Robert J.", "non-dropping-particle" : "", "parse-names" : false, "suffix" : "" } ], "container-title" : "Water Research", "id" : "ITEM-1", "issue" : "5", "issued" : { "date-parts" : [ [ "2011" ] ] }, "page" : "2146-2154", "publisher" : "Elsevier Ltd", "title" : "An examination of the mechanisms for stable foam formation in activated sludge systems", "type" : "article-journal", "volume" : "45" }, "suppress-author" : 1, "uris" : [ "http://www.mendeley.com/documents/?uuid=3acf1566-e804-4678-ae86-85347060d6c5" ] } ], "mendeley" : { "formattedCitation" : "[1]", "manualFormatting" : "[1,2]", "plainTextFormattedCitation" : "[1]", "previouslyFormattedCitation" : "[1]" }, "properties" : {  }, "schema" : "https://github.com/citation-style-language/schema/raw/master/csl-citation.json" }</w:instrText>
      </w:r>
      <w:r w:rsidR="00927551">
        <w:rPr>
          <w:rFonts w:asciiTheme="majorHAnsi" w:eastAsia="DejaVu Sans" w:hAnsiTheme="majorHAnsi" w:cs="Arial"/>
          <w:lang w:val="en-GB"/>
        </w:rPr>
        <w:fldChar w:fldCharType="separate"/>
      </w:r>
      <w:r w:rsidR="00927551" w:rsidRPr="00927551">
        <w:rPr>
          <w:rFonts w:asciiTheme="majorHAnsi" w:eastAsia="DejaVu Sans" w:hAnsiTheme="majorHAnsi" w:cs="Arial"/>
          <w:noProof/>
          <w:lang w:val="en-GB"/>
        </w:rPr>
        <w:t>[1</w:t>
      </w:r>
      <w:r w:rsidR="00927551">
        <w:rPr>
          <w:rFonts w:asciiTheme="majorHAnsi" w:eastAsia="DejaVu Sans" w:hAnsiTheme="majorHAnsi" w:cs="Arial"/>
          <w:noProof/>
          <w:lang w:val="en-GB"/>
        </w:rPr>
        <w:t>,2</w:t>
      </w:r>
      <w:r w:rsidR="00927551" w:rsidRPr="00927551">
        <w:rPr>
          <w:rFonts w:asciiTheme="majorHAnsi" w:eastAsia="DejaVu Sans" w:hAnsiTheme="majorHAnsi" w:cs="Arial"/>
          <w:noProof/>
          <w:lang w:val="en-GB"/>
        </w:rPr>
        <w:t>]</w:t>
      </w:r>
      <w:r w:rsidR="00927551">
        <w:rPr>
          <w:rFonts w:asciiTheme="majorHAnsi" w:eastAsia="DejaVu Sans" w:hAnsiTheme="majorHAnsi" w:cs="Arial"/>
          <w:lang w:val="en-GB"/>
        </w:rPr>
        <w:fldChar w:fldCharType="end"/>
      </w:r>
      <w:r w:rsidRPr="00812184">
        <w:rPr>
          <w:rFonts w:asciiTheme="majorHAnsi" w:eastAsia="DejaVu Sans" w:hAnsiTheme="majorHAnsi" w:cs="Arial"/>
          <w:lang w:val="en-GB"/>
        </w:rPr>
        <w:t>. With current methods, it is often impossible to predict a system crash before it is too late. Monitoring the microbial community for critical changes is tedious, as the process from sample to results generally take several days and requires expert knowledge as well as expensive lab facilities. A faster workflow is therefore necessary to ensure a more efficient wastewater management in the future.</w:t>
      </w:r>
    </w:p>
    <w:p w:rsidR="00812184" w:rsidRDefault="00812184" w:rsidP="00A45877">
      <w:pPr>
        <w:suppressAutoHyphens/>
        <w:spacing w:after="0" w:line="360" w:lineRule="auto"/>
        <w:rPr>
          <w:rFonts w:asciiTheme="majorHAnsi" w:eastAsia="DejaVu Sans" w:hAnsiTheme="majorHAnsi" w:cs="Arial"/>
          <w:lang w:val="en-GB"/>
        </w:rPr>
      </w:pPr>
    </w:p>
    <w:p w:rsidR="0069359A" w:rsidRDefault="00A45877" w:rsidP="00A45877">
      <w:pPr>
        <w:suppressAutoHyphens/>
        <w:spacing w:after="0" w:line="360" w:lineRule="auto"/>
        <w:rPr>
          <w:rFonts w:asciiTheme="majorHAnsi" w:eastAsia="DejaVu Sans" w:hAnsiTheme="majorHAnsi" w:cs="Arial"/>
          <w:lang w:val="en-GB"/>
        </w:rPr>
      </w:pPr>
      <w:r w:rsidRPr="00E97CFD">
        <w:rPr>
          <w:rFonts w:asciiTheme="majorHAnsi" w:eastAsia="DejaVu Sans" w:hAnsiTheme="majorHAnsi" w:cs="Arial"/>
          <w:b/>
          <w:lang w:val="en-GB"/>
        </w:rPr>
        <w:t>Experimental design</w:t>
      </w:r>
      <w:r>
        <w:rPr>
          <w:rFonts w:asciiTheme="majorHAnsi" w:eastAsia="DejaVu Sans" w:hAnsiTheme="majorHAnsi" w:cs="Arial"/>
          <w:lang w:val="en-GB"/>
        </w:rPr>
        <w:t xml:space="preserve"> </w:t>
      </w:r>
    </w:p>
    <w:p w:rsidR="0069359A" w:rsidRDefault="00812184" w:rsidP="00A45877">
      <w:pPr>
        <w:suppressAutoHyphens/>
        <w:spacing w:after="0" w:line="360" w:lineRule="auto"/>
        <w:rPr>
          <w:rFonts w:asciiTheme="majorHAnsi" w:eastAsia="DejaVu Sans" w:hAnsiTheme="majorHAnsi" w:cs="Arial"/>
          <w:lang w:val="en-GB"/>
        </w:rPr>
      </w:pPr>
      <w:r>
        <w:rPr>
          <w:rFonts w:asciiTheme="majorHAnsi" w:eastAsia="DejaVu Sans" w:hAnsiTheme="majorHAnsi" w:cs="Arial"/>
          <w:lang w:val="en-GB"/>
        </w:rPr>
        <w:t>Protocols were developed with focus on portabili</w:t>
      </w:r>
      <w:r w:rsidR="00F95661">
        <w:rPr>
          <w:rFonts w:asciiTheme="majorHAnsi" w:eastAsia="DejaVu Sans" w:hAnsiTheme="majorHAnsi" w:cs="Arial"/>
          <w:lang w:val="en-GB"/>
        </w:rPr>
        <w:t xml:space="preserve">ty, ease-of-use and equipment cost. DNA extraction was performed with a mobile bead beater with a 3D-printed adapter, a table centrifuge and beads for solid phase reversible immobilization (SRPI beads). Full-length 16S rRNA amplicon libraries were produced using a </w:t>
      </w:r>
      <w:proofErr w:type="spellStart"/>
      <w:r w:rsidR="00F95661">
        <w:rPr>
          <w:rFonts w:asciiTheme="majorHAnsi" w:eastAsia="DejaVu Sans" w:hAnsiTheme="majorHAnsi" w:cs="Arial"/>
          <w:lang w:val="en-GB"/>
        </w:rPr>
        <w:t>miniPCR</w:t>
      </w:r>
      <w:proofErr w:type="spellEnd"/>
      <w:r w:rsidR="00F95661">
        <w:rPr>
          <w:rFonts w:asciiTheme="majorHAnsi" w:eastAsia="DejaVu Sans" w:hAnsiTheme="majorHAnsi" w:cs="Arial"/>
          <w:lang w:val="en-GB"/>
        </w:rPr>
        <w:t>™ (</w:t>
      </w:r>
      <w:proofErr w:type="spellStart"/>
      <w:r w:rsidR="00F95661">
        <w:rPr>
          <w:rFonts w:asciiTheme="majorHAnsi" w:eastAsia="DejaVu Sans" w:hAnsiTheme="majorHAnsi" w:cs="Arial"/>
          <w:lang w:val="en-GB"/>
        </w:rPr>
        <w:t>Amplyus</w:t>
      </w:r>
      <w:proofErr w:type="spellEnd"/>
      <w:r w:rsidR="00F95661">
        <w:rPr>
          <w:rFonts w:asciiTheme="majorHAnsi" w:eastAsia="DejaVu Sans" w:hAnsiTheme="majorHAnsi" w:cs="Arial"/>
          <w:lang w:val="en-GB"/>
        </w:rPr>
        <w:t>, USA) and the SQK-RAB201 kit from Oxford Nanopore (</w:t>
      </w:r>
      <w:r w:rsidR="00A67FEA">
        <w:rPr>
          <w:rFonts w:asciiTheme="majorHAnsi" w:eastAsia="DejaVu Sans" w:hAnsiTheme="majorHAnsi" w:cs="Arial"/>
          <w:lang w:val="en-GB"/>
        </w:rPr>
        <w:t xml:space="preserve">Oxford Nanopore Technologies, UK). The amplicon libraries were sequenced on a </w:t>
      </w:r>
      <w:proofErr w:type="spellStart"/>
      <w:r w:rsidR="00A67FEA">
        <w:rPr>
          <w:rFonts w:asciiTheme="majorHAnsi" w:eastAsia="DejaVu Sans" w:hAnsiTheme="majorHAnsi" w:cs="Arial"/>
          <w:lang w:val="en-GB"/>
        </w:rPr>
        <w:t>MinION</w:t>
      </w:r>
      <w:proofErr w:type="spellEnd"/>
      <w:r w:rsidR="00A67FEA">
        <w:rPr>
          <w:rFonts w:asciiTheme="majorHAnsi" w:eastAsia="DejaVu Sans" w:hAnsiTheme="majorHAnsi" w:cs="Arial"/>
          <w:lang w:val="en-GB"/>
        </w:rPr>
        <w:t xml:space="preserve"> (Oxford Nanopore Technologies, UK) and data for the first 10 minutes of sequencing was base-called on a local laptop, mapped to the </w:t>
      </w:r>
      <w:proofErr w:type="spellStart"/>
      <w:r w:rsidR="00A67FEA">
        <w:rPr>
          <w:rFonts w:asciiTheme="majorHAnsi" w:eastAsia="DejaVu Sans" w:hAnsiTheme="majorHAnsi" w:cs="Arial"/>
          <w:lang w:val="en-GB"/>
        </w:rPr>
        <w:t>MiDAS</w:t>
      </w:r>
      <w:proofErr w:type="spellEnd"/>
      <w:r w:rsidR="00A67FEA">
        <w:rPr>
          <w:rFonts w:asciiTheme="majorHAnsi" w:eastAsia="DejaVu Sans" w:hAnsiTheme="majorHAnsi" w:cs="Arial"/>
          <w:lang w:val="en-GB"/>
        </w:rPr>
        <w:t xml:space="preserve"> database using minimap2 and analysed in the R environment using the R package ampvis2</w:t>
      </w:r>
      <w:r w:rsidR="00715A88">
        <w:rPr>
          <w:rFonts w:asciiTheme="majorHAnsi" w:eastAsia="DejaVu Sans" w:hAnsiTheme="majorHAnsi" w:cs="Arial"/>
          <w:lang w:val="en-GB"/>
        </w:rPr>
        <w:fldChar w:fldCharType="begin" w:fldLock="1"/>
      </w:r>
      <w:r w:rsidR="00715A88">
        <w:rPr>
          <w:rFonts w:asciiTheme="majorHAnsi" w:eastAsia="DejaVu Sans" w:hAnsiTheme="majorHAnsi" w:cs="Arial"/>
          <w:lang w:val="en-GB"/>
        </w:rPr>
        <w:instrText>ADDIN CSL_CITATION { "citationItems" : [ { "id" : "ITEM-1", "itemData" : { "ISSN" : "1932-6203", "author" : [ { "dropping-particle" : "", "family" : "Albertsen", "given" : "Mads", "non-dropping-particle" : "", "parse-names" : false, "suffix" : "" }, { "dropping-particle" : "", "family" : "Karst", "given" : "S\u00f8ren M.", "non-dropping-particle" : "", "parse-names" : false, "suffix" : "" }, { "dropping-particle" : "", "family" : "Ziegler", "given" : "Anja S.", "non-dropping-particle" : "", "parse-names" : false, "suffix" : "" }, { "dropping-particle" : "", "family" : "Kirkegaard", "given" : "Rasmus H.", "non-dropping-particle" : "", "parse-names" : false, "suffix" : "" }, { "dropping-particle" : "", "family" : "Nielsen", "given" : "Per H.", "non-dropping-particle" : "", "parse-names" : false, "suffix" : "" } ], "container-title" : "Plos One", "id" : "ITEM-1", "issue" : "7", "issued" : { "date-parts" : [ [ "2015" ] ] }, "page" : "e0132783", "title" : "Back to basics \u2013 The influence of DNA extraction and primer choice on phylogenetic analysis of activated sludge communities", "type" : "article-journal", "volume" : "10" }, "uris" : [ "http://www.mendeley.com/documents/?uuid=d59b8a64-771a-4b51-878f-16476e0390b6" ] } ], "mendeley" : { "formattedCitation" : "[2]", "manualFormatting" : "[3]", "plainTextFormattedCitation" : "[2]", "previouslyFormattedCitation" : "[2]" }, "properties" : {  }, "schema" : "https://github.com/citation-style-language/schema/raw/master/csl-citation.json" }</w:instrText>
      </w:r>
      <w:r w:rsidR="00715A88">
        <w:rPr>
          <w:rFonts w:asciiTheme="majorHAnsi" w:eastAsia="DejaVu Sans" w:hAnsiTheme="majorHAnsi" w:cs="Arial"/>
          <w:lang w:val="en-GB"/>
        </w:rPr>
        <w:fldChar w:fldCharType="separate"/>
      </w:r>
      <w:r w:rsidR="00715A88" w:rsidRPr="00715A88">
        <w:rPr>
          <w:rFonts w:asciiTheme="majorHAnsi" w:eastAsia="DejaVu Sans" w:hAnsiTheme="majorHAnsi" w:cs="Arial"/>
          <w:noProof/>
          <w:lang w:val="en-GB"/>
        </w:rPr>
        <w:t>[</w:t>
      </w:r>
      <w:r w:rsidR="00715A88">
        <w:rPr>
          <w:rFonts w:asciiTheme="majorHAnsi" w:eastAsia="DejaVu Sans" w:hAnsiTheme="majorHAnsi" w:cs="Arial"/>
          <w:noProof/>
          <w:lang w:val="en-GB"/>
        </w:rPr>
        <w:t>3</w:t>
      </w:r>
      <w:r w:rsidR="00715A88" w:rsidRPr="00715A88">
        <w:rPr>
          <w:rFonts w:asciiTheme="majorHAnsi" w:eastAsia="DejaVu Sans" w:hAnsiTheme="majorHAnsi" w:cs="Arial"/>
          <w:noProof/>
          <w:lang w:val="en-GB"/>
        </w:rPr>
        <w:t>]</w:t>
      </w:r>
      <w:r w:rsidR="00715A88">
        <w:rPr>
          <w:rFonts w:asciiTheme="majorHAnsi" w:eastAsia="DejaVu Sans" w:hAnsiTheme="majorHAnsi" w:cs="Arial"/>
          <w:lang w:val="en-GB"/>
        </w:rPr>
        <w:fldChar w:fldCharType="end"/>
      </w:r>
      <w:r w:rsidR="00A67FEA">
        <w:rPr>
          <w:rFonts w:asciiTheme="majorHAnsi" w:eastAsia="DejaVu Sans" w:hAnsiTheme="majorHAnsi" w:cs="Arial"/>
          <w:lang w:val="en-GB"/>
        </w:rPr>
        <w:t>.</w:t>
      </w:r>
    </w:p>
    <w:p w:rsidR="00A67FEA" w:rsidRPr="00E97CFD" w:rsidRDefault="00A67FEA" w:rsidP="00A45877">
      <w:pPr>
        <w:suppressAutoHyphens/>
        <w:spacing w:after="0" w:line="360" w:lineRule="auto"/>
        <w:rPr>
          <w:rFonts w:asciiTheme="majorHAnsi" w:eastAsia="DejaVu Sans" w:hAnsiTheme="majorHAnsi" w:cs="Arial"/>
          <w:lang w:val="en-GB"/>
        </w:rPr>
      </w:pPr>
    </w:p>
    <w:p w:rsidR="0069359A" w:rsidRDefault="00A45877" w:rsidP="0069359A">
      <w:pPr>
        <w:suppressAutoHyphens/>
        <w:spacing w:after="0" w:line="360" w:lineRule="auto"/>
        <w:rPr>
          <w:rFonts w:asciiTheme="majorHAnsi" w:eastAsia="DejaVu Sans" w:hAnsiTheme="majorHAnsi" w:cs="Arial"/>
          <w:lang w:val="en-GB"/>
        </w:rPr>
      </w:pPr>
      <w:r w:rsidRPr="00E97CFD">
        <w:rPr>
          <w:rFonts w:asciiTheme="majorHAnsi" w:eastAsia="DejaVu Sans" w:hAnsiTheme="majorHAnsi" w:cs="Arial"/>
          <w:b/>
          <w:lang w:val="en-GB"/>
        </w:rPr>
        <w:t>Results and Discussion</w:t>
      </w:r>
      <w:r>
        <w:rPr>
          <w:rFonts w:asciiTheme="majorHAnsi" w:eastAsia="DejaVu Sans" w:hAnsiTheme="majorHAnsi" w:cs="Arial"/>
          <w:lang w:val="en-GB"/>
        </w:rPr>
        <w:t xml:space="preserve"> </w:t>
      </w:r>
    </w:p>
    <w:p w:rsidR="00927551" w:rsidRDefault="00715A88" w:rsidP="0069359A">
      <w:pPr>
        <w:suppressAutoHyphens/>
        <w:spacing w:after="0" w:line="360" w:lineRule="auto"/>
        <w:rPr>
          <w:rFonts w:asciiTheme="majorHAnsi" w:eastAsia="DejaVu Sans" w:hAnsiTheme="majorHAnsi" w:cs="Arial"/>
          <w:lang w:val="en-GB"/>
        </w:rPr>
      </w:pPr>
      <w:r>
        <w:rPr>
          <w:rFonts w:asciiTheme="majorHAnsi" w:eastAsia="DejaVu Sans" w:hAnsiTheme="majorHAnsi" w:cs="Arial"/>
          <w:lang w:val="en-GB"/>
        </w:rPr>
        <w:t xml:space="preserve">The developed workflow enabled us to go on-site a wastewater treatment plant and perform the workflow </w:t>
      </w:r>
      <w:r w:rsidRPr="00715A88">
        <w:rPr>
          <w:rFonts w:asciiTheme="majorHAnsi" w:eastAsia="DejaVu Sans" w:hAnsiTheme="majorHAnsi" w:cs="Arial"/>
          <w:lang w:val="en-GB"/>
        </w:rPr>
        <w:t xml:space="preserve">from sampling to a resulting community composition profile in 6 hours. This rapid workflow could currently provide actionable information to plant operators in time to mitigate a process breakdown, and based on ongoing developments it is our belief that plant operators will soon be able to monitor and report the microbial status as a routine measurement alongside simple process </w:t>
      </w:r>
      <w:r w:rsidRPr="00715A88">
        <w:rPr>
          <w:rFonts w:asciiTheme="majorHAnsi" w:eastAsia="DejaVu Sans" w:hAnsiTheme="majorHAnsi" w:cs="Arial"/>
          <w:lang w:val="en-GB"/>
        </w:rPr>
        <w:lastRenderedPageBreak/>
        <w:t>characteristics such as pH and temperature.</w:t>
      </w:r>
      <w:r>
        <w:rPr>
          <w:rFonts w:asciiTheme="majorHAnsi" w:eastAsia="DejaVu Sans" w:hAnsiTheme="majorHAnsi" w:cs="Arial"/>
          <w:lang w:val="en-GB"/>
        </w:rPr>
        <w:t xml:space="preserve"> With further improvements the workflow will be simple enough for on-site lab technicians, without experience in molecular biology, to perform the complete workflow per routine.</w:t>
      </w:r>
      <w:bookmarkStart w:id="0" w:name="_GoBack"/>
      <w:bookmarkEnd w:id="0"/>
    </w:p>
    <w:p w:rsidR="00715A88" w:rsidRDefault="00715A88" w:rsidP="0069359A">
      <w:pPr>
        <w:suppressAutoHyphens/>
        <w:spacing w:after="0" w:line="360" w:lineRule="auto"/>
        <w:rPr>
          <w:rFonts w:asciiTheme="majorHAnsi" w:eastAsia="DejaVu Sans" w:hAnsiTheme="majorHAnsi" w:cs="Arial"/>
          <w:lang w:val="en-GB"/>
        </w:rPr>
      </w:pPr>
    </w:p>
    <w:p w:rsidR="00A45877" w:rsidRPr="00A45877" w:rsidRDefault="00A45877" w:rsidP="00A45877">
      <w:pPr>
        <w:rPr>
          <w:rFonts w:asciiTheme="majorHAnsi" w:eastAsia="DejaVu Sans" w:hAnsiTheme="majorHAnsi" w:cs="Arial"/>
          <w:lang w:val="en-GB"/>
        </w:rPr>
      </w:pPr>
      <w:r w:rsidRPr="00A45877">
        <w:rPr>
          <w:rFonts w:asciiTheme="majorHAnsi" w:eastAsia="DejaVu Sans" w:hAnsiTheme="majorHAnsi" w:cs="Arial"/>
          <w:b/>
          <w:lang w:val="en-GB"/>
        </w:rPr>
        <w:t>Literature</w:t>
      </w:r>
    </w:p>
    <w:p w:rsidR="00A45877" w:rsidRPr="00A45877" w:rsidRDefault="00927551" w:rsidP="00927551">
      <w:pPr>
        <w:pStyle w:val="ListParagraph"/>
        <w:numPr>
          <w:ilvl w:val="0"/>
          <w:numId w:val="2"/>
        </w:numPr>
        <w:rPr>
          <w:rFonts w:asciiTheme="majorHAnsi" w:eastAsia="DejaVu Sans" w:hAnsiTheme="majorHAnsi" w:cs="Arial"/>
          <w:lang w:val="en-GB"/>
        </w:rPr>
      </w:pPr>
      <w:r w:rsidRPr="00927551">
        <w:rPr>
          <w:rFonts w:asciiTheme="majorHAnsi" w:eastAsia="DejaVu Sans" w:hAnsiTheme="majorHAnsi" w:cs="Arial"/>
          <w:lang w:val="en-GB"/>
        </w:rPr>
        <w:t xml:space="preserve">S. </w:t>
      </w:r>
      <w:proofErr w:type="spellStart"/>
      <w:r w:rsidRPr="00927551">
        <w:rPr>
          <w:rFonts w:asciiTheme="majorHAnsi" w:eastAsia="DejaVu Sans" w:hAnsiTheme="majorHAnsi" w:cs="Arial"/>
          <w:lang w:val="en-GB"/>
        </w:rPr>
        <w:t>Petrovski</w:t>
      </w:r>
      <w:proofErr w:type="spellEnd"/>
      <w:r w:rsidRPr="00927551">
        <w:rPr>
          <w:rFonts w:asciiTheme="majorHAnsi" w:eastAsia="DejaVu Sans" w:hAnsiTheme="majorHAnsi" w:cs="Arial"/>
          <w:lang w:val="en-GB"/>
        </w:rPr>
        <w:t xml:space="preserve">, Z. A. Dyson, E. S. Quill, S. J. McIlroy, D. </w:t>
      </w:r>
      <w:proofErr w:type="spellStart"/>
      <w:r w:rsidRPr="00927551">
        <w:rPr>
          <w:rFonts w:asciiTheme="majorHAnsi" w:eastAsia="DejaVu Sans" w:hAnsiTheme="majorHAnsi" w:cs="Arial"/>
          <w:lang w:val="en-GB"/>
        </w:rPr>
        <w:t>Tillett</w:t>
      </w:r>
      <w:proofErr w:type="spellEnd"/>
      <w:r w:rsidRPr="00927551">
        <w:rPr>
          <w:rFonts w:asciiTheme="majorHAnsi" w:eastAsia="DejaVu Sans" w:hAnsiTheme="majorHAnsi" w:cs="Arial"/>
          <w:lang w:val="en-GB"/>
        </w:rPr>
        <w:t xml:space="preserve">, and R. J. </w:t>
      </w:r>
      <w:proofErr w:type="spellStart"/>
      <w:r w:rsidRPr="00927551">
        <w:rPr>
          <w:rFonts w:asciiTheme="majorHAnsi" w:eastAsia="DejaVu Sans" w:hAnsiTheme="majorHAnsi" w:cs="Arial"/>
          <w:lang w:val="en-GB"/>
        </w:rPr>
        <w:t>Seviour</w:t>
      </w:r>
      <w:proofErr w:type="spellEnd"/>
      <w:r w:rsidRPr="00927551">
        <w:rPr>
          <w:rFonts w:asciiTheme="majorHAnsi" w:eastAsia="DejaVu Sans" w:hAnsiTheme="majorHAnsi" w:cs="Arial"/>
          <w:lang w:val="en-GB"/>
        </w:rPr>
        <w:t>, “An examination of the mechanisms for stable foam formation in activated sludge systems,” Water Res., vol. 45, no. 5, pp. 2146–2154, 2011</w:t>
      </w:r>
    </w:p>
    <w:p w:rsidR="00715A88" w:rsidRPr="00715A88" w:rsidRDefault="00927551" w:rsidP="00715A88">
      <w:pPr>
        <w:pStyle w:val="ListParagraph"/>
        <w:numPr>
          <w:ilvl w:val="0"/>
          <w:numId w:val="2"/>
        </w:numPr>
        <w:rPr>
          <w:rFonts w:asciiTheme="majorHAnsi" w:eastAsia="DejaVu Sans" w:hAnsiTheme="majorHAnsi" w:cs="Arial"/>
        </w:rPr>
      </w:pPr>
      <w:r>
        <w:rPr>
          <w:rFonts w:asciiTheme="majorHAnsi" w:eastAsia="DejaVu Sans" w:hAnsiTheme="majorHAnsi" w:cs="Arial"/>
          <w:lang w:val="en-GB"/>
        </w:rPr>
        <w:t xml:space="preserve">R. J. </w:t>
      </w:r>
      <w:proofErr w:type="spellStart"/>
      <w:r>
        <w:rPr>
          <w:rFonts w:asciiTheme="majorHAnsi" w:eastAsia="DejaVu Sans" w:hAnsiTheme="majorHAnsi" w:cs="Arial"/>
          <w:lang w:val="en-GB"/>
        </w:rPr>
        <w:t>Seviour</w:t>
      </w:r>
      <w:proofErr w:type="spellEnd"/>
      <w:r>
        <w:rPr>
          <w:rFonts w:asciiTheme="majorHAnsi" w:eastAsia="DejaVu Sans" w:hAnsiTheme="majorHAnsi" w:cs="Arial"/>
          <w:lang w:val="en-GB"/>
        </w:rPr>
        <w:t>, P. H. Nielsen, “Microbial Ecology of Activated Sludge”, IWA Publishing: London</w:t>
      </w:r>
    </w:p>
    <w:p w:rsidR="00715A88" w:rsidRPr="00715A88" w:rsidRDefault="00715A88" w:rsidP="00715A88">
      <w:pPr>
        <w:pStyle w:val="ListParagraph"/>
        <w:numPr>
          <w:ilvl w:val="0"/>
          <w:numId w:val="2"/>
        </w:numPr>
        <w:rPr>
          <w:rFonts w:asciiTheme="majorHAnsi" w:eastAsia="DejaVu Sans" w:hAnsiTheme="majorHAnsi" w:cs="Arial"/>
          <w:lang w:val="en-GB"/>
        </w:rPr>
      </w:pPr>
      <w:r w:rsidRPr="00715A88">
        <w:rPr>
          <w:rFonts w:asciiTheme="majorHAnsi" w:eastAsia="DejaVu Sans" w:hAnsiTheme="majorHAnsi" w:cs="Arial"/>
          <w:lang w:val="en-GB"/>
        </w:rPr>
        <w:t xml:space="preserve">M. Albertsen, S. M. Karst, A. S. Ziegler, R. H. Kirkegaard, and P. H. Nielsen, “Back to basics – The influence of DNA extraction and primer choice on phylogenetic analysis of activated sludge communities,” </w:t>
      </w:r>
      <w:proofErr w:type="spellStart"/>
      <w:r w:rsidRPr="00715A88">
        <w:rPr>
          <w:rFonts w:asciiTheme="majorHAnsi" w:eastAsia="DejaVu Sans" w:hAnsiTheme="majorHAnsi" w:cs="Arial"/>
          <w:lang w:val="en-GB"/>
        </w:rPr>
        <w:t>PLoS</w:t>
      </w:r>
      <w:proofErr w:type="spellEnd"/>
      <w:r w:rsidRPr="00715A88">
        <w:rPr>
          <w:rFonts w:asciiTheme="majorHAnsi" w:eastAsia="DejaVu Sans" w:hAnsiTheme="majorHAnsi" w:cs="Arial"/>
          <w:lang w:val="en-GB"/>
        </w:rPr>
        <w:t xml:space="preserve"> One, vol. 10, no. 7, p. e0132783, 2015.</w:t>
      </w:r>
    </w:p>
    <w:sectPr w:rsidR="00715A88" w:rsidRPr="00715A8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ejaVu San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2407B"/>
    <w:multiLevelType w:val="hybridMultilevel"/>
    <w:tmpl w:val="31E22F66"/>
    <w:lvl w:ilvl="0" w:tplc="AC7CA004">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FB77FB8"/>
    <w:multiLevelType w:val="multilevel"/>
    <w:tmpl w:val="149289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77"/>
    <w:rsid w:val="0069359A"/>
    <w:rsid w:val="00715A88"/>
    <w:rsid w:val="00812184"/>
    <w:rsid w:val="00927551"/>
    <w:rsid w:val="009820CE"/>
    <w:rsid w:val="00A45877"/>
    <w:rsid w:val="00A67FEA"/>
    <w:rsid w:val="00AB3696"/>
    <w:rsid w:val="00F956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7269"/>
  <w15:docId w15:val="{C58A8A3F-27D4-4BC8-A28B-11B9DBB6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77"/>
    <w:pPr>
      <w:ind w:left="720"/>
      <w:contextualSpacing/>
    </w:pPr>
  </w:style>
  <w:style w:type="character" w:styleId="Hyperlink">
    <w:name w:val="Hyperlink"/>
    <w:basedOn w:val="DefaultParagraphFont"/>
    <w:uiPriority w:val="99"/>
    <w:unhideWhenUsed/>
    <w:rsid w:val="00A67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ha@bio.aau.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691D-3210-49B4-9910-A600B38B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Haastrup</dc:creator>
  <cp:lastModifiedBy>Martin Andersen</cp:lastModifiedBy>
  <cp:revision>4</cp:revision>
  <dcterms:created xsi:type="dcterms:W3CDTF">2016-11-30T09:41:00Z</dcterms:created>
  <dcterms:modified xsi:type="dcterms:W3CDTF">2018-03-28T09:29:00Z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http://www.zotero.org/styles/water-research</vt:lpwstr>
  </property>
  <property fmtid="{D5CDD505-2E9C-101B-9397-08002B2CF9AE}" pid="21" name="Mendeley Recent Style Name 9_1">
    <vt:lpwstr>Water Research</vt:lpwstr>
  </property>
  <property fmtid="{D5CDD505-2E9C-101B-9397-08002B2CF9AE}" pid="22" name="Mendeley Document_1">
    <vt:lpwstr>True</vt:lpwstr>
  </property>
  <property fmtid="{D5CDD505-2E9C-101B-9397-08002B2CF9AE}" pid="23" name="Mendeley Unique User Id_1">
    <vt:lpwstr>e40dcf12-507d-3bd1-a0b7-ef942d2ca176</vt:lpwstr>
  </property>
  <property fmtid="{D5CDD505-2E9C-101B-9397-08002B2CF9AE}" pid="24" name="Mendeley Citation Style_1">
    <vt:lpwstr>http://www.zotero.org/styles/ieee</vt:lpwstr>
  </property>
</Properties>
</file>