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DDC51" w14:textId="5F95D665" w:rsidR="001178E9" w:rsidRPr="00E76484" w:rsidRDefault="007C6635" w:rsidP="001178E9">
      <w:pPr>
        <w:pStyle w:val="Title"/>
        <w:jc w:val="left"/>
        <w:rPr>
          <w:lang w:val="en-GB"/>
        </w:rPr>
      </w:pPr>
      <w:r>
        <w:rPr>
          <w:lang w:val="en-US"/>
        </w:rPr>
        <w:t xml:space="preserve">Best practices in serious games: </w:t>
      </w:r>
      <w:r w:rsidR="001C0F8A">
        <w:rPr>
          <w:lang w:val="en-US"/>
        </w:rPr>
        <w:t>Gamification s</w:t>
      </w:r>
      <w:r w:rsidR="00E76484">
        <w:rPr>
          <w:lang w:val="en-US"/>
        </w:rPr>
        <w:t>trategies to support public participation in citizen observatories</w:t>
      </w:r>
    </w:p>
    <w:p w14:paraId="1D49D842" w14:textId="77777777" w:rsidR="001178E9" w:rsidRPr="00E76484" w:rsidRDefault="001178E9" w:rsidP="001178E9">
      <w:pPr>
        <w:pStyle w:val="Author"/>
        <w:jc w:val="left"/>
        <w:rPr>
          <w:b/>
          <w:i/>
          <w:lang w:val="en-GB"/>
        </w:rPr>
      </w:pPr>
    </w:p>
    <w:p w14:paraId="34FA24BC" w14:textId="31A5E3FC" w:rsidR="001178E9" w:rsidRPr="004868B1" w:rsidRDefault="00A6500F" w:rsidP="001178E9">
      <w:pPr>
        <w:pStyle w:val="Author"/>
        <w:jc w:val="left"/>
        <w:rPr>
          <w:b/>
          <w:i/>
          <w:lang w:val="da-DK"/>
        </w:rPr>
      </w:pPr>
      <w:r w:rsidRPr="004868B1">
        <w:rPr>
          <w:b/>
          <w:i/>
          <w:lang w:val="da-DK"/>
        </w:rPr>
        <w:t>Simeone</w:t>
      </w:r>
      <w:r w:rsidR="001178E9" w:rsidRPr="004868B1">
        <w:rPr>
          <w:b/>
          <w:i/>
          <w:lang w:val="da-DK"/>
        </w:rPr>
        <w:t xml:space="preserve"> </w:t>
      </w:r>
      <w:r w:rsidRPr="004868B1">
        <w:rPr>
          <w:b/>
          <w:i/>
          <w:lang w:val="da-DK"/>
        </w:rPr>
        <w:t>L</w:t>
      </w:r>
      <w:r w:rsidR="001178E9" w:rsidRPr="004868B1">
        <w:rPr>
          <w:b/>
          <w:i/>
          <w:lang w:val="da-DK"/>
        </w:rPr>
        <w:t>.</w:t>
      </w:r>
      <w:r w:rsidR="001178E9" w:rsidRPr="004868B1">
        <w:rPr>
          <w:b/>
          <w:i/>
          <w:vertAlign w:val="superscript"/>
          <w:lang w:val="da-DK"/>
        </w:rPr>
        <w:t>1</w:t>
      </w:r>
      <w:r w:rsidRPr="004868B1">
        <w:rPr>
          <w:b/>
          <w:i/>
          <w:vertAlign w:val="superscript"/>
          <w:lang w:val="da-DK"/>
        </w:rPr>
        <w:t>,2</w:t>
      </w:r>
      <w:r w:rsidR="001178E9" w:rsidRPr="004868B1">
        <w:rPr>
          <w:b/>
          <w:i/>
          <w:lang w:val="da-DK"/>
        </w:rPr>
        <w:t xml:space="preserve">, </w:t>
      </w:r>
      <w:r w:rsidRPr="004868B1">
        <w:rPr>
          <w:b/>
          <w:i/>
          <w:lang w:val="da-DK"/>
        </w:rPr>
        <w:t>S</w:t>
      </w:r>
      <w:r w:rsidR="001178E9" w:rsidRPr="004868B1">
        <w:rPr>
          <w:b/>
          <w:i/>
          <w:lang w:val="da-DK"/>
        </w:rPr>
        <w:t xml:space="preserve">. </w:t>
      </w:r>
      <w:r w:rsidRPr="004868B1">
        <w:rPr>
          <w:b/>
          <w:i/>
          <w:lang w:val="da-DK"/>
        </w:rPr>
        <w:t>Brandalesi</w:t>
      </w:r>
      <w:r w:rsidR="001178E9" w:rsidRPr="004868B1">
        <w:rPr>
          <w:b/>
          <w:i/>
          <w:vertAlign w:val="superscript"/>
          <w:lang w:val="da-DK"/>
        </w:rPr>
        <w:t>1</w:t>
      </w:r>
      <w:r w:rsidR="002F2FD4">
        <w:rPr>
          <w:b/>
          <w:i/>
          <w:lang w:val="da-DK"/>
        </w:rPr>
        <w:t xml:space="preserve">, </w:t>
      </w:r>
      <w:r w:rsidRPr="004868B1">
        <w:rPr>
          <w:b/>
          <w:i/>
          <w:lang w:val="da-DK"/>
        </w:rPr>
        <w:t>S</w:t>
      </w:r>
      <w:r w:rsidR="001178E9" w:rsidRPr="004868B1">
        <w:rPr>
          <w:b/>
          <w:i/>
          <w:lang w:val="da-DK"/>
        </w:rPr>
        <w:t xml:space="preserve">. </w:t>
      </w:r>
      <w:r w:rsidRPr="004868B1">
        <w:rPr>
          <w:b/>
          <w:i/>
          <w:lang w:val="da-DK"/>
        </w:rPr>
        <w:t>Tamascelli</w:t>
      </w:r>
      <w:r w:rsidR="004868B1" w:rsidRPr="004868B1">
        <w:rPr>
          <w:b/>
          <w:i/>
          <w:vertAlign w:val="superscript"/>
          <w:lang w:val="da-DK"/>
        </w:rPr>
        <w:t>1</w:t>
      </w:r>
      <w:r w:rsidR="002F2FD4">
        <w:rPr>
          <w:b/>
          <w:i/>
          <w:lang w:val="da-DK"/>
        </w:rPr>
        <w:t xml:space="preserve">, </w:t>
      </w:r>
      <w:r w:rsidR="0076574F" w:rsidRPr="0076574F">
        <w:rPr>
          <w:b/>
          <w:i/>
          <w:lang w:val="da-DK"/>
        </w:rPr>
        <w:t>C. Tsiakos</w:t>
      </w:r>
      <w:r w:rsidR="0076574F" w:rsidRPr="0076574F">
        <w:rPr>
          <w:b/>
          <w:i/>
          <w:vertAlign w:val="superscript"/>
          <w:lang w:val="da-DK"/>
        </w:rPr>
        <w:t>3</w:t>
      </w:r>
      <w:r w:rsidR="0076574F" w:rsidRPr="0076574F">
        <w:rPr>
          <w:b/>
          <w:i/>
          <w:lang w:val="da-DK"/>
        </w:rPr>
        <w:t>, M. Krommyda</w:t>
      </w:r>
      <w:r w:rsidR="0076574F" w:rsidRPr="0076574F">
        <w:rPr>
          <w:b/>
          <w:i/>
          <w:vertAlign w:val="superscript"/>
          <w:lang w:val="da-DK"/>
        </w:rPr>
        <w:t>3</w:t>
      </w:r>
      <w:r w:rsidR="0076574F" w:rsidRPr="0076574F">
        <w:rPr>
          <w:b/>
          <w:i/>
          <w:lang w:val="da-DK"/>
        </w:rPr>
        <w:t>, A. Tsertou</w:t>
      </w:r>
      <w:r w:rsidR="0076574F" w:rsidRPr="0076574F">
        <w:rPr>
          <w:b/>
          <w:i/>
          <w:vertAlign w:val="superscript"/>
          <w:lang w:val="da-DK"/>
        </w:rPr>
        <w:t>3</w:t>
      </w:r>
      <w:r w:rsidR="0076574F" w:rsidRPr="0076574F">
        <w:rPr>
          <w:b/>
          <w:i/>
          <w:lang w:val="da-DK"/>
        </w:rPr>
        <w:t>, A. Amditis</w:t>
      </w:r>
      <w:r w:rsidR="002F2FD4">
        <w:rPr>
          <w:b/>
          <w:i/>
          <w:vertAlign w:val="superscript"/>
          <w:lang w:val="da-DK"/>
        </w:rPr>
        <w:t>3</w:t>
      </w:r>
      <w:r w:rsidR="002F2FD4">
        <w:rPr>
          <w:b/>
          <w:i/>
          <w:lang w:val="da-DK"/>
        </w:rPr>
        <w:t xml:space="preserve">, </w:t>
      </w:r>
      <w:r w:rsidR="0076574F">
        <w:rPr>
          <w:b/>
          <w:i/>
          <w:lang w:val="da-DK"/>
        </w:rPr>
        <w:t>A. Hume</w:t>
      </w:r>
      <w:r w:rsidR="0076574F">
        <w:rPr>
          <w:b/>
          <w:i/>
          <w:vertAlign w:val="superscript"/>
          <w:lang w:val="da-DK"/>
        </w:rPr>
        <w:t>4</w:t>
      </w:r>
    </w:p>
    <w:p w14:paraId="7B600215" w14:textId="77777777" w:rsidR="001178E9" w:rsidRPr="004868B1" w:rsidRDefault="001178E9" w:rsidP="001178E9">
      <w:pPr>
        <w:rPr>
          <w:i/>
          <w:lang w:val="da-DK"/>
        </w:rPr>
      </w:pPr>
    </w:p>
    <w:p w14:paraId="2D3CCBE7" w14:textId="08E26033" w:rsidR="00976150" w:rsidRPr="00C46B19" w:rsidRDefault="001178E9" w:rsidP="00976150">
      <w:pPr>
        <w:pStyle w:val="Affiliation"/>
        <w:ind w:left="284" w:right="671"/>
        <w:jc w:val="left"/>
        <w:rPr>
          <w:i w:val="0"/>
          <w:sz w:val="20"/>
          <w:lang w:val="it-IT"/>
        </w:rPr>
      </w:pPr>
      <w:r w:rsidRPr="00C46B19">
        <w:rPr>
          <w:i w:val="0"/>
          <w:sz w:val="20"/>
          <w:vertAlign w:val="superscript"/>
          <w:lang w:val="it-IT"/>
        </w:rPr>
        <w:t>1</w:t>
      </w:r>
      <w:r w:rsidRPr="00C46B19">
        <w:rPr>
          <w:i w:val="0"/>
          <w:sz w:val="20"/>
          <w:lang w:val="it-IT"/>
        </w:rPr>
        <w:t xml:space="preserve"> </w:t>
      </w:r>
      <w:proofErr w:type="spellStart"/>
      <w:r w:rsidR="00A6500F" w:rsidRPr="00C46B19">
        <w:rPr>
          <w:i w:val="0"/>
          <w:sz w:val="20"/>
          <w:lang w:val="it-IT"/>
        </w:rPr>
        <w:t>XTeam</w:t>
      </w:r>
      <w:proofErr w:type="spellEnd"/>
      <w:r w:rsidR="00A6500F" w:rsidRPr="00C46B19">
        <w:rPr>
          <w:i w:val="0"/>
          <w:sz w:val="20"/>
          <w:lang w:val="it-IT"/>
        </w:rPr>
        <w:t xml:space="preserve"> Software Solutions</w:t>
      </w:r>
      <w:r w:rsidRPr="00C46B19">
        <w:rPr>
          <w:i w:val="0"/>
          <w:sz w:val="20"/>
          <w:lang w:val="it-IT"/>
        </w:rPr>
        <w:t xml:space="preserve">. </w:t>
      </w:r>
      <w:r w:rsidR="004868B1" w:rsidRPr="00C46B19">
        <w:rPr>
          <w:i w:val="0"/>
          <w:sz w:val="20"/>
          <w:lang w:val="it-IT"/>
        </w:rPr>
        <w:t>via Roma 833</w:t>
      </w:r>
      <w:r w:rsidR="00234E16" w:rsidRPr="00C46B19">
        <w:rPr>
          <w:i w:val="0"/>
          <w:sz w:val="20"/>
          <w:lang w:val="it-IT"/>
        </w:rPr>
        <w:t>,</w:t>
      </w:r>
      <w:r w:rsidR="004868B1" w:rsidRPr="00C46B19">
        <w:rPr>
          <w:i w:val="0"/>
          <w:sz w:val="20"/>
          <w:lang w:val="it-IT"/>
        </w:rPr>
        <w:t xml:space="preserve"> 45020 Giacciano con Baruchella (Rovigo), </w:t>
      </w:r>
      <w:proofErr w:type="spellStart"/>
      <w:r w:rsidR="004868B1" w:rsidRPr="00C46B19">
        <w:rPr>
          <w:i w:val="0"/>
          <w:sz w:val="20"/>
          <w:lang w:val="it-IT"/>
        </w:rPr>
        <w:t>Italy</w:t>
      </w:r>
      <w:proofErr w:type="spellEnd"/>
      <w:r w:rsidR="004868B1" w:rsidRPr="00C46B19">
        <w:rPr>
          <w:i w:val="0"/>
          <w:sz w:val="20"/>
          <w:lang w:val="it-IT"/>
        </w:rPr>
        <w:t xml:space="preserve"> –</w:t>
      </w:r>
    </w:p>
    <w:p w14:paraId="10672288" w14:textId="2C09C348" w:rsidR="001178E9" w:rsidRPr="00C46B19" w:rsidRDefault="001178E9" w:rsidP="004868B1">
      <w:pPr>
        <w:pStyle w:val="Affiliation"/>
        <w:ind w:left="284" w:right="671"/>
        <w:jc w:val="left"/>
        <w:rPr>
          <w:i w:val="0"/>
          <w:sz w:val="20"/>
          <w:lang w:val="it-IT"/>
        </w:rPr>
      </w:pPr>
      <w:r w:rsidRPr="00C46B19">
        <w:rPr>
          <w:i w:val="0"/>
          <w:sz w:val="20"/>
          <w:lang w:val="it-IT"/>
        </w:rPr>
        <w:t xml:space="preserve">e-mail: </w:t>
      </w:r>
      <w:hyperlink r:id="rId7" w:history="1">
        <w:r w:rsidR="0099595E" w:rsidRPr="00D17C11">
          <w:rPr>
            <w:rStyle w:val="Hyperlink"/>
            <w:i w:val="0"/>
            <w:sz w:val="20"/>
            <w:lang w:val="it-IT"/>
          </w:rPr>
          <w:t>silvia.brandalesi@xteamsoftware.com</w:t>
        </w:r>
      </w:hyperlink>
      <w:r w:rsidR="0099595E">
        <w:rPr>
          <w:i w:val="0"/>
          <w:sz w:val="20"/>
          <w:lang w:val="it-IT"/>
        </w:rPr>
        <w:t>,</w:t>
      </w:r>
      <w:r w:rsidRPr="00C46B19">
        <w:rPr>
          <w:i w:val="0"/>
          <w:sz w:val="20"/>
          <w:lang w:val="it-IT"/>
        </w:rPr>
        <w:t xml:space="preserve"> </w:t>
      </w:r>
      <w:hyperlink r:id="rId8" w:history="1">
        <w:r w:rsidR="0099595E" w:rsidRPr="00D17C11">
          <w:rPr>
            <w:rStyle w:val="Hyperlink"/>
            <w:i w:val="0"/>
            <w:sz w:val="20"/>
            <w:lang w:val="it-IT"/>
          </w:rPr>
          <w:t>tamascelli@xteamsoftware.com</w:t>
        </w:r>
      </w:hyperlink>
      <w:r w:rsidR="0099595E">
        <w:rPr>
          <w:i w:val="0"/>
          <w:sz w:val="20"/>
          <w:lang w:val="it-IT"/>
        </w:rPr>
        <w:t xml:space="preserve"> </w:t>
      </w:r>
    </w:p>
    <w:p w14:paraId="5FA46511" w14:textId="77777777" w:rsidR="001178E9" w:rsidRPr="0099595E" w:rsidRDefault="001178E9" w:rsidP="001178E9">
      <w:pPr>
        <w:pStyle w:val="Affiliation"/>
        <w:ind w:left="284" w:right="671"/>
        <w:jc w:val="left"/>
        <w:rPr>
          <w:i w:val="0"/>
          <w:sz w:val="20"/>
          <w:lang w:val="en-GB"/>
        </w:rPr>
      </w:pPr>
      <w:r w:rsidRPr="00606CE7">
        <w:rPr>
          <w:i w:val="0"/>
          <w:sz w:val="20"/>
          <w:vertAlign w:val="superscript"/>
        </w:rPr>
        <w:t>2</w:t>
      </w:r>
      <w:r w:rsidRPr="00606CE7">
        <w:rPr>
          <w:i w:val="0"/>
          <w:sz w:val="20"/>
        </w:rPr>
        <w:t xml:space="preserve"> A</w:t>
      </w:r>
      <w:r w:rsidR="00A6500F">
        <w:rPr>
          <w:i w:val="0"/>
          <w:sz w:val="20"/>
        </w:rPr>
        <w:t>alborg University</w:t>
      </w:r>
      <w:r w:rsidRPr="00606CE7">
        <w:rPr>
          <w:i w:val="0"/>
          <w:sz w:val="20"/>
        </w:rPr>
        <w:t xml:space="preserve">. </w:t>
      </w:r>
      <w:r w:rsidR="00234E16" w:rsidRPr="0099595E">
        <w:rPr>
          <w:i w:val="0"/>
          <w:sz w:val="20"/>
          <w:lang w:val="en-GB"/>
        </w:rPr>
        <w:t xml:space="preserve">A. C. Meyers </w:t>
      </w:r>
      <w:proofErr w:type="spellStart"/>
      <w:r w:rsidR="00234E16" w:rsidRPr="0099595E">
        <w:rPr>
          <w:i w:val="0"/>
          <w:sz w:val="20"/>
          <w:lang w:val="en-GB"/>
        </w:rPr>
        <w:t>Vænge</w:t>
      </w:r>
      <w:proofErr w:type="spellEnd"/>
      <w:r w:rsidR="00234E16" w:rsidRPr="0099595E">
        <w:rPr>
          <w:i w:val="0"/>
          <w:sz w:val="20"/>
          <w:lang w:val="en-GB"/>
        </w:rPr>
        <w:t xml:space="preserve"> 15, 2450 Copenhagen, Denmark</w:t>
      </w:r>
      <w:r w:rsidRPr="0099595E">
        <w:rPr>
          <w:i w:val="0"/>
          <w:sz w:val="20"/>
          <w:lang w:val="en-GB"/>
        </w:rPr>
        <w:t xml:space="preserve"> –  e-mail: </w:t>
      </w:r>
      <w:hyperlink r:id="rId9" w:history="1">
        <w:r w:rsidR="00E76D64" w:rsidRPr="0099595E">
          <w:rPr>
            <w:rStyle w:val="Hyperlink"/>
            <w:i w:val="0"/>
            <w:sz w:val="20"/>
            <w:lang w:val="en-GB"/>
          </w:rPr>
          <w:t>lsi@create.aau.dk</w:t>
        </w:r>
      </w:hyperlink>
    </w:p>
    <w:p w14:paraId="40C616B7" w14:textId="6804D5B3" w:rsidR="00E76D64" w:rsidRPr="00E76D64" w:rsidRDefault="00E76D64" w:rsidP="00E76D64">
      <w:pPr>
        <w:pStyle w:val="Affiliation"/>
        <w:ind w:left="284" w:right="671"/>
        <w:jc w:val="left"/>
        <w:rPr>
          <w:i w:val="0"/>
          <w:sz w:val="20"/>
          <w:lang w:val="en-GB"/>
        </w:rPr>
      </w:pPr>
      <w:r w:rsidRPr="00E76D64">
        <w:rPr>
          <w:i w:val="0"/>
          <w:sz w:val="20"/>
          <w:vertAlign w:val="superscript"/>
          <w:lang w:val="en-GB"/>
        </w:rPr>
        <w:t>3</w:t>
      </w:r>
      <w:r w:rsidRPr="00E76D64">
        <w:rPr>
          <w:i w:val="0"/>
          <w:sz w:val="20"/>
          <w:lang w:val="en-GB"/>
        </w:rPr>
        <w:t xml:space="preserve"> </w:t>
      </w:r>
      <w:r w:rsidR="0076574F" w:rsidRPr="00F30D50">
        <w:rPr>
          <w:i w:val="0"/>
          <w:sz w:val="20"/>
          <w:lang w:val="en-GB"/>
        </w:rPr>
        <w:t>Institute of Communication &amp; Computer Systems (ICCS)</w:t>
      </w:r>
      <w:r w:rsidR="0076574F" w:rsidRPr="00E76D64">
        <w:rPr>
          <w:i w:val="0"/>
          <w:sz w:val="20"/>
          <w:lang w:val="en-GB"/>
        </w:rPr>
        <w:t xml:space="preserve">. </w:t>
      </w:r>
      <w:r w:rsidR="0076574F" w:rsidRPr="00F30D50">
        <w:rPr>
          <w:i w:val="0"/>
          <w:sz w:val="20"/>
          <w:lang w:val="en-GB"/>
        </w:rPr>
        <w:t xml:space="preserve">9, </w:t>
      </w:r>
      <w:proofErr w:type="spellStart"/>
      <w:r w:rsidR="0076574F" w:rsidRPr="00F30D50">
        <w:rPr>
          <w:i w:val="0"/>
          <w:sz w:val="20"/>
          <w:lang w:val="en-GB"/>
        </w:rPr>
        <w:t>Iroon</w:t>
      </w:r>
      <w:proofErr w:type="spellEnd"/>
      <w:r w:rsidR="0076574F" w:rsidRPr="00F30D50">
        <w:rPr>
          <w:i w:val="0"/>
          <w:sz w:val="20"/>
          <w:lang w:val="en-GB"/>
        </w:rPr>
        <w:t xml:space="preserve"> </w:t>
      </w:r>
      <w:proofErr w:type="spellStart"/>
      <w:r w:rsidR="0076574F" w:rsidRPr="00F30D50">
        <w:rPr>
          <w:i w:val="0"/>
          <w:sz w:val="20"/>
          <w:lang w:val="en-GB"/>
        </w:rPr>
        <w:t>Politechniou</w:t>
      </w:r>
      <w:proofErr w:type="spellEnd"/>
      <w:r w:rsidR="0076574F" w:rsidRPr="00F30D50">
        <w:rPr>
          <w:i w:val="0"/>
          <w:sz w:val="20"/>
          <w:lang w:val="en-GB"/>
        </w:rPr>
        <w:t xml:space="preserve"> str. Polytechnic Campus</w:t>
      </w:r>
      <w:r w:rsidR="0076574F">
        <w:rPr>
          <w:i w:val="0"/>
          <w:sz w:val="20"/>
          <w:lang w:val="en-GB"/>
        </w:rPr>
        <w:t xml:space="preserve">, </w:t>
      </w:r>
      <w:r w:rsidR="0076574F" w:rsidRPr="00F30D50">
        <w:rPr>
          <w:i w:val="0"/>
          <w:sz w:val="20"/>
          <w:lang w:val="en-GB"/>
        </w:rPr>
        <w:t xml:space="preserve">15773 </w:t>
      </w:r>
      <w:proofErr w:type="spellStart"/>
      <w:r w:rsidR="0076574F" w:rsidRPr="00F30D50">
        <w:rPr>
          <w:i w:val="0"/>
          <w:sz w:val="20"/>
          <w:lang w:val="en-GB"/>
        </w:rPr>
        <w:t>Zografou</w:t>
      </w:r>
      <w:proofErr w:type="spellEnd"/>
      <w:r w:rsidR="0076574F" w:rsidRPr="00F30D50">
        <w:rPr>
          <w:i w:val="0"/>
          <w:sz w:val="20"/>
          <w:lang w:val="en-GB"/>
        </w:rPr>
        <w:t xml:space="preserve">, </w:t>
      </w:r>
      <w:r w:rsidR="0076574F">
        <w:rPr>
          <w:i w:val="0"/>
          <w:sz w:val="20"/>
          <w:lang w:val="en-GB"/>
        </w:rPr>
        <w:t>Athens, Greece</w:t>
      </w:r>
      <w:r w:rsidR="0076574F" w:rsidRPr="00E76D64">
        <w:rPr>
          <w:i w:val="0"/>
          <w:sz w:val="20"/>
          <w:lang w:val="en-GB"/>
        </w:rPr>
        <w:t xml:space="preserve"> –  e-mail: </w:t>
      </w:r>
      <w:hyperlink r:id="rId10" w:history="1">
        <w:r w:rsidR="0099595E" w:rsidRPr="00D17C11">
          <w:rPr>
            <w:rStyle w:val="Hyperlink"/>
            <w:i w:val="0"/>
            <w:sz w:val="20"/>
            <w:lang w:val="en-GB"/>
          </w:rPr>
          <w:t>valantis.tsiakos@iccs.gr</w:t>
        </w:r>
      </w:hyperlink>
      <w:r w:rsidR="0099595E">
        <w:rPr>
          <w:i w:val="0"/>
          <w:sz w:val="20"/>
          <w:lang w:val="en-GB"/>
        </w:rPr>
        <w:t>,</w:t>
      </w:r>
      <w:r w:rsidR="0076574F">
        <w:rPr>
          <w:i w:val="0"/>
          <w:sz w:val="20"/>
          <w:lang w:val="en-GB"/>
        </w:rPr>
        <w:t xml:space="preserve"> </w:t>
      </w:r>
      <w:hyperlink r:id="rId11" w:history="1">
        <w:r w:rsidR="0076574F" w:rsidRPr="00B76080">
          <w:rPr>
            <w:rStyle w:val="Hyperlink"/>
            <w:i w:val="0"/>
            <w:sz w:val="20"/>
            <w:lang w:val="en-GB"/>
          </w:rPr>
          <w:t>maria.krommyda@iccs.gr</w:t>
        </w:r>
      </w:hyperlink>
      <w:r w:rsidR="0076574F">
        <w:rPr>
          <w:i w:val="0"/>
          <w:sz w:val="20"/>
          <w:lang w:val="en-GB"/>
        </w:rPr>
        <w:t xml:space="preserve">, </w:t>
      </w:r>
      <w:hyperlink r:id="rId12" w:history="1">
        <w:r w:rsidR="0076574F" w:rsidRPr="00B76080">
          <w:rPr>
            <w:rStyle w:val="Hyperlink"/>
            <w:i w:val="0"/>
            <w:sz w:val="20"/>
            <w:lang w:val="en-GB"/>
          </w:rPr>
          <w:t>atsertou@iccs.gr</w:t>
        </w:r>
      </w:hyperlink>
      <w:r w:rsidR="0076574F">
        <w:rPr>
          <w:i w:val="0"/>
          <w:sz w:val="20"/>
          <w:lang w:val="en-GB"/>
        </w:rPr>
        <w:t xml:space="preserve">, </w:t>
      </w:r>
      <w:hyperlink r:id="rId13" w:history="1">
        <w:r w:rsidR="0076574F" w:rsidRPr="00B76080">
          <w:rPr>
            <w:rStyle w:val="Hyperlink"/>
            <w:i w:val="0"/>
            <w:sz w:val="20"/>
            <w:lang w:val="en-GB"/>
          </w:rPr>
          <w:t>a.amditis@iccs.gr</w:t>
        </w:r>
      </w:hyperlink>
    </w:p>
    <w:p w14:paraId="0A6246A5" w14:textId="51F5EA94" w:rsidR="00E76D64" w:rsidRPr="00E76D64" w:rsidRDefault="00E76D64" w:rsidP="00E76D64">
      <w:pPr>
        <w:pStyle w:val="Affiliation"/>
        <w:ind w:left="284" w:right="671"/>
        <w:jc w:val="left"/>
        <w:rPr>
          <w:i w:val="0"/>
          <w:sz w:val="20"/>
          <w:lang w:val="en-GB"/>
        </w:rPr>
      </w:pPr>
      <w:r w:rsidRPr="00E76D64">
        <w:rPr>
          <w:i w:val="0"/>
          <w:sz w:val="20"/>
          <w:vertAlign w:val="superscript"/>
          <w:lang w:val="en-GB"/>
        </w:rPr>
        <w:t>4</w:t>
      </w:r>
      <w:r w:rsidRPr="00E76D64">
        <w:rPr>
          <w:i w:val="0"/>
          <w:sz w:val="20"/>
          <w:lang w:val="en-GB"/>
        </w:rPr>
        <w:t xml:space="preserve"> </w:t>
      </w:r>
      <w:proofErr w:type="spellStart"/>
      <w:r w:rsidR="0076574F">
        <w:rPr>
          <w:i w:val="0"/>
          <w:sz w:val="20"/>
          <w:lang w:val="en-GB"/>
        </w:rPr>
        <w:t>Carr</w:t>
      </w:r>
      <w:proofErr w:type="spellEnd"/>
      <w:r w:rsidR="0076574F">
        <w:rPr>
          <w:i w:val="0"/>
          <w:sz w:val="20"/>
          <w:lang w:val="en-GB"/>
        </w:rPr>
        <w:t xml:space="preserve"> Communications Ltd</w:t>
      </w:r>
      <w:r w:rsidR="0076574F" w:rsidRPr="00E76D64">
        <w:rPr>
          <w:i w:val="0"/>
          <w:sz w:val="20"/>
          <w:lang w:val="en-GB"/>
        </w:rPr>
        <w:t xml:space="preserve">. </w:t>
      </w:r>
      <w:r w:rsidR="0076574F" w:rsidRPr="00154394">
        <w:rPr>
          <w:i w:val="0"/>
          <w:sz w:val="20"/>
          <w:lang w:val="en-GB"/>
        </w:rPr>
        <w:t>5 Northumberland Road</w:t>
      </w:r>
      <w:r w:rsidR="0076574F">
        <w:rPr>
          <w:i w:val="0"/>
          <w:sz w:val="20"/>
          <w:lang w:val="en-GB"/>
        </w:rPr>
        <w:t>,</w:t>
      </w:r>
      <w:r w:rsidR="0076574F" w:rsidRPr="00154394">
        <w:rPr>
          <w:i w:val="0"/>
          <w:sz w:val="20"/>
          <w:lang w:val="en-GB"/>
        </w:rPr>
        <w:t xml:space="preserve"> Ballsbridge</w:t>
      </w:r>
      <w:r w:rsidR="0076574F">
        <w:rPr>
          <w:i w:val="0"/>
          <w:sz w:val="20"/>
          <w:lang w:val="en-GB"/>
        </w:rPr>
        <w:t>,</w:t>
      </w:r>
      <w:r w:rsidR="0076574F" w:rsidRPr="00154394">
        <w:rPr>
          <w:i w:val="0"/>
          <w:sz w:val="20"/>
          <w:lang w:val="en-GB"/>
        </w:rPr>
        <w:t xml:space="preserve"> Dublin 4</w:t>
      </w:r>
      <w:r w:rsidR="0076574F">
        <w:rPr>
          <w:i w:val="0"/>
          <w:sz w:val="20"/>
          <w:lang w:val="en-GB"/>
        </w:rPr>
        <w:t>,</w:t>
      </w:r>
      <w:r w:rsidR="0076574F" w:rsidRPr="00154394">
        <w:rPr>
          <w:i w:val="0"/>
          <w:sz w:val="20"/>
          <w:lang w:val="en-GB"/>
        </w:rPr>
        <w:t xml:space="preserve"> Ireland</w:t>
      </w:r>
      <w:r w:rsidR="0076574F" w:rsidRPr="00E76D64">
        <w:rPr>
          <w:i w:val="0"/>
          <w:sz w:val="20"/>
          <w:lang w:val="en-GB"/>
        </w:rPr>
        <w:t xml:space="preserve"> –  e-mail: </w:t>
      </w:r>
      <w:hyperlink r:id="rId14" w:history="1">
        <w:r w:rsidR="0076574F" w:rsidRPr="00E45225">
          <w:rPr>
            <w:rStyle w:val="Hyperlink"/>
            <w:i w:val="0"/>
            <w:sz w:val="20"/>
            <w:lang w:val="en-GB"/>
          </w:rPr>
          <w:t>amy@carrcommunications.ie</w:t>
        </w:r>
      </w:hyperlink>
    </w:p>
    <w:p w14:paraId="773CEB73" w14:textId="77777777" w:rsidR="00E76D64" w:rsidRPr="00E76D64" w:rsidRDefault="00E76D64" w:rsidP="001178E9">
      <w:pPr>
        <w:pStyle w:val="Affiliation"/>
        <w:ind w:left="284" w:right="671"/>
        <w:jc w:val="left"/>
        <w:rPr>
          <w:i w:val="0"/>
          <w:sz w:val="20"/>
          <w:lang w:val="en-GB"/>
        </w:rPr>
      </w:pPr>
    </w:p>
    <w:p w14:paraId="5D4C577C" w14:textId="77777777" w:rsidR="001178E9" w:rsidRPr="0063148E" w:rsidRDefault="001178E9" w:rsidP="001178E9">
      <w:pPr>
        <w:pStyle w:val="COWM2018keypoints"/>
      </w:pPr>
      <w:r>
        <w:t xml:space="preserve">KEY POINTS </w:t>
      </w:r>
    </w:p>
    <w:p w14:paraId="4B8A2784" w14:textId="3CBE98E6" w:rsidR="00AB1DF7" w:rsidRDefault="00AB1DF7" w:rsidP="001178E9">
      <w:pPr>
        <w:pStyle w:val="COMW2018Keypoints"/>
        <w:rPr>
          <w:lang w:val="en-US"/>
        </w:rPr>
      </w:pPr>
      <w:r>
        <w:rPr>
          <w:lang w:val="en-US"/>
        </w:rPr>
        <w:t xml:space="preserve">This paper reviews a selection of serious games to identify </w:t>
      </w:r>
      <w:r w:rsidR="00C24C61">
        <w:rPr>
          <w:lang w:val="en-US"/>
        </w:rPr>
        <w:t>effective</w:t>
      </w:r>
      <w:r>
        <w:rPr>
          <w:lang w:val="en-US"/>
        </w:rPr>
        <w:t xml:space="preserve"> gamification </w:t>
      </w:r>
      <w:r w:rsidR="00C24C61">
        <w:rPr>
          <w:lang w:val="en-US"/>
        </w:rPr>
        <w:t>strategies</w:t>
      </w:r>
      <w:r>
        <w:rPr>
          <w:lang w:val="en-US"/>
        </w:rPr>
        <w:t xml:space="preserve"> </w:t>
      </w:r>
    </w:p>
    <w:p w14:paraId="08DD0102" w14:textId="524F2C6E" w:rsidR="00AB1DF7" w:rsidRDefault="00AB1DF7" w:rsidP="001178E9">
      <w:pPr>
        <w:pStyle w:val="COMW2018Keypoints"/>
        <w:rPr>
          <w:lang w:val="en-US"/>
        </w:rPr>
      </w:pPr>
      <w:r>
        <w:rPr>
          <w:lang w:val="en-US"/>
        </w:rPr>
        <w:t xml:space="preserve">Such gamification </w:t>
      </w:r>
      <w:r w:rsidR="00C24C61">
        <w:rPr>
          <w:lang w:val="en-US"/>
        </w:rPr>
        <w:t>strategies</w:t>
      </w:r>
      <w:r>
        <w:rPr>
          <w:lang w:val="en-US"/>
        </w:rPr>
        <w:t xml:space="preserve"> can support public participation in citizen observatories</w:t>
      </w:r>
    </w:p>
    <w:p w14:paraId="54C52828" w14:textId="36D6C923" w:rsidR="001178E9" w:rsidRPr="00D44B0F" w:rsidRDefault="006F227E" w:rsidP="001178E9">
      <w:pPr>
        <w:pStyle w:val="COMW2018Keypoints"/>
        <w:rPr>
          <w:lang w:val="en-US"/>
        </w:rPr>
      </w:pPr>
      <w:r>
        <w:rPr>
          <w:lang w:val="en-US"/>
        </w:rPr>
        <w:t>Best practices are presented, from technical elements up to strategic and design aspects</w:t>
      </w:r>
    </w:p>
    <w:p w14:paraId="335202EF" w14:textId="12DAFC2D" w:rsidR="001178E9" w:rsidRPr="006F227E" w:rsidRDefault="001178E9" w:rsidP="006F227E">
      <w:pPr>
        <w:pStyle w:val="COMW2018Keypoints"/>
        <w:numPr>
          <w:ilvl w:val="0"/>
          <w:numId w:val="0"/>
        </w:numPr>
        <w:ind w:left="720" w:hanging="360"/>
        <w:rPr>
          <w:lang w:val="en-US"/>
        </w:rPr>
      </w:pPr>
    </w:p>
    <w:p w14:paraId="6C4756F3" w14:textId="77777777" w:rsidR="001178E9" w:rsidRDefault="00E76484" w:rsidP="001178E9">
      <w:pPr>
        <w:pStyle w:val="COWM2018Section"/>
        <w:rPr>
          <w:lang w:val="en-US"/>
        </w:rPr>
      </w:pPr>
      <w:r>
        <w:rPr>
          <w:lang w:val="en-US"/>
        </w:rPr>
        <w:t>INTRODUCTION</w:t>
      </w:r>
    </w:p>
    <w:p w14:paraId="07DF971A" w14:textId="7A9B4CF3" w:rsidR="002F2FD4" w:rsidRDefault="00E76484" w:rsidP="00324CC2">
      <w:pPr>
        <w:pStyle w:val="COWM2018BodyText"/>
        <w:rPr>
          <w:lang w:val="en-US"/>
        </w:rPr>
      </w:pPr>
      <w:r>
        <w:rPr>
          <w:lang w:val="en-US"/>
        </w:rPr>
        <w:t xml:space="preserve">This paper </w:t>
      </w:r>
      <w:r w:rsidR="002F2FD4">
        <w:rPr>
          <w:lang w:val="en-US"/>
        </w:rPr>
        <w:t xml:space="preserve">summarizes the outcomes of an analysis aimed at identifying </w:t>
      </w:r>
      <w:r w:rsidR="00C86FF5">
        <w:rPr>
          <w:lang w:val="en-US"/>
        </w:rPr>
        <w:t xml:space="preserve">a set of </w:t>
      </w:r>
      <w:r w:rsidR="002F2FD4">
        <w:rPr>
          <w:lang w:val="en-US"/>
        </w:rPr>
        <w:t>best practices</w:t>
      </w:r>
      <w:r w:rsidR="00C86FF5">
        <w:rPr>
          <w:lang w:val="en-US"/>
        </w:rPr>
        <w:t xml:space="preserve"> in serious games, which</w:t>
      </w:r>
      <w:r w:rsidR="002F2FD4">
        <w:rPr>
          <w:lang w:val="en-US"/>
        </w:rPr>
        <w:t xml:space="preserve"> can support public participation in citizen observatories. The analysis was carried out within the context of Scent, </w:t>
      </w:r>
      <w:r w:rsidR="002F2FD4" w:rsidRPr="002F2FD4">
        <w:rPr>
          <w:lang w:val="en-US"/>
        </w:rPr>
        <w:t xml:space="preserve">a European Union research project funded under the Horizon 2020 </w:t>
      </w:r>
      <w:proofErr w:type="spellStart"/>
      <w:r w:rsidR="002F2FD4" w:rsidRPr="002F2FD4">
        <w:rPr>
          <w:lang w:val="en-US"/>
        </w:rPr>
        <w:t>programme</w:t>
      </w:r>
      <w:proofErr w:type="spellEnd"/>
      <w:r w:rsidR="002F2FD4" w:rsidRPr="002F2FD4">
        <w:rPr>
          <w:lang w:val="en-US"/>
        </w:rPr>
        <w:t>.</w:t>
      </w:r>
      <w:r w:rsidR="002F2FD4">
        <w:rPr>
          <w:lang w:val="en-US"/>
        </w:rPr>
        <w:t xml:space="preserve"> Scent </w:t>
      </w:r>
      <w:r w:rsidR="00E76D64">
        <w:rPr>
          <w:lang w:val="en-US"/>
        </w:rPr>
        <w:t>is oriented toward</w:t>
      </w:r>
      <w:r w:rsidR="002F2FD4">
        <w:rPr>
          <w:lang w:val="en-US"/>
        </w:rPr>
        <w:t xml:space="preserve"> creating a variety of software applications – including serious games – that can engage citizens in </w:t>
      </w:r>
      <w:r w:rsidR="00E76D64">
        <w:rPr>
          <w:lang w:val="en-US"/>
        </w:rPr>
        <w:t xml:space="preserve">observing and documenting </w:t>
      </w:r>
      <w:r w:rsidR="002F2FD4" w:rsidRPr="002F2FD4">
        <w:rPr>
          <w:lang w:val="en-US"/>
        </w:rPr>
        <w:t>land-cover use and changes</w:t>
      </w:r>
      <w:r w:rsidR="00E76D64">
        <w:rPr>
          <w:lang w:val="en-US"/>
        </w:rPr>
        <w:t xml:space="preserve">. For example, in Scent Explore, one of </w:t>
      </w:r>
      <w:r w:rsidR="00C86FF5">
        <w:rPr>
          <w:lang w:val="en-US"/>
        </w:rPr>
        <w:t>these</w:t>
      </w:r>
      <w:r w:rsidR="002F2FD4" w:rsidRPr="002F2FD4">
        <w:rPr>
          <w:lang w:val="en-US"/>
        </w:rPr>
        <w:t xml:space="preserve"> </w:t>
      </w:r>
      <w:r w:rsidR="00E76D64">
        <w:rPr>
          <w:lang w:val="en-US"/>
        </w:rPr>
        <w:t xml:space="preserve">software applications, citizens are invited to explore specific geographic areas like the Danube Delta or the </w:t>
      </w:r>
      <w:proofErr w:type="spellStart"/>
      <w:r w:rsidR="00E76D64">
        <w:rPr>
          <w:lang w:val="en-US"/>
        </w:rPr>
        <w:t>Kifisos</w:t>
      </w:r>
      <w:proofErr w:type="spellEnd"/>
      <w:r w:rsidR="00E76D64">
        <w:rPr>
          <w:lang w:val="en-US"/>
        </w:rPr>
        <w:t xml:space="preserve"> river, take pictures and annotate these pictures. Citizens can either (1) take</w:t>
      </w:r>
      <w:r w:rsidR="00E76D64" w:rsidRPr="00E76D64">
        <w:rPr>
          <w:lang w:val="en-US"/>
        </w:rPr>
        <w:t xml:space="preserve"> </w:t>
      </w:r>
      <w:r w:rsidR="00E76D64">
        <w:rPr>
          <w:lang w:val="en-US"/>
        </w:rPr>
        <w:t xml:space="preserve">and annotate </w:t>
      </w:r>
      <w:r w:rsidR="00E76D64" w:rsidRPr="00E76D64">
        <w:rPr>
          <w:lang w:val="en-US"/>
        </w:rPr>
        <w:t>pictures of specific objects in a predefined area (e.g., vegetation in the river bank, waste and brought materials in the manholes, tree banks/branches, dustbins, cars and vehicles along the river bank or in smaller streams connected to the main river, waste and brought materials in the smaller streams connected to the main river, urban sites at small spatial scales e.g. buildings, blocks of flats)</w:t>
      </w:r>
      <w:r w:rsidR="00E76D64">
        <w:rPr>
          <w:lang w:val="en-US"/>
        </w:rPr>
        <w:t xml:space="preserve"> or (2) take</w:t>
      </w:r>
      <w:r w:rsidR="00E76D64" w:rsidRPr="00E76D64">
        <w:rPr>
          <w:lang w:val="en-US"/>
        </w:rPr>
        <w:t xml:space="preserve"> pictures</w:t>
      </w:r>
      <w:r w:rsidR="00E76D64">
        <w:rPr>
          <w:lang w:val="en-US"/>
        </w:rPr>
        <w:t xml:space="preserve"> of water flows</w:t>
      </w:r>
      <w:r w:rsidR="00E76D64" w:rsidRPr="00E76D64">
        <w:rPr>
          <w:lang w:val="en-US"/>
        </w:rPr>
        <w:t xml:space="preserve"> in a very specific and limited geographic area </w:t>
      </w:r>
      <w:r w:rsidR="00E76D64">
        <w:rPr>
          <w:lang w:val="en-US"/>
        </w:rPr>
        <w:t xml:space="preserve">so that the Scent software applications can estimate </w:t>
      </w:r>
      <w:r w:rsidR="00324CC2">
        <w:rPr>
          <w:lang w:val="en-US"/>
        </w:rPr>
        <w:t xml:space="preserve">the </w:t>
      </w:r>
      <w:r w:rsidR="00E76D64" w:rsidRPr="00E76D64">
        <w:rPr>
          <w:lang w:val="en-US"/>
        </w:rPr>
        <w:t>water level</w:t>
      </w:r>
      <w:r w:rsidR="00E76D64">
        <w:rPr>
          <w:lang w:val="en-US"/>
        </w:rPr>
        <w:t>s or</w:t>
      </w:r>
      <w:r w:rsidR="00324CC2">
        <w:rPr>
          <w:lang w:val="en-US"/>
        </w:rPr>
        <w:t xml:space="preserve"> the</w:t>
      </w:r>
      <w:r w:rsidR="00E76D64" w:rsidRPr="00E76D64">
        <w:rPr>
          <w:lang w:val="en-US"/>
        </w:rPr>
        <w:t xml:space="preserve"> cross section geometry</w:t>
      </w:r>
      <w:r w:rsidR="00E76D64">
        <w:rPr>
          <w:lang w:val="en-US"/>
        </w:rPr>
        <w:t xml:space="preserve">. </w:t>
      </w:r>
      <w:r w:rsidR="00324CC2">
        <w:rPr>
          <w:lang w:val="en-US"/>
        </w:rPr>
        <w:t>All the</w:t>
      </w:r>
      <w:r w:rsidR="00E76D64">
        <w:rPr>
          <w:lang w:val="en-US"/>
        </w:rPr>
        <w:t xml:space="preserve"> pictures and the related annotations </w:t>
      </w:r>
      <w:r w:rsidR="00324CC2">
        <w:rPr>
          <w:lang w:val="en-US"/>
        </w:rPr>
        <w:t xml:space="preserve">provided by the citizens </w:t>
      </w:r>
      <w:r w:rsidR="00E76D64">
        <w:rPr>
          <w:lang w:val="en-US"/>
        </w:rPr>
        <w:t xml:space="preserve">are </w:t>
      </w:r>
      <w:r w:rsidR="00324CC2">
        <w:rPr>
          <w:lang w:val="en-US"/>
        </w:rPr>
        <w:t xml:space="preserve">then </w:t>
      </w:r>
      <w:r w:rsidR="00E76D64">
        <w:rPr>
          <w:lang w:val="en-US"/>
        </w:rPr>
        <w:t>collected</w:t>
      </w:r>
      <w:r w:rsidR="00324CC2">
        <w:rPr>
          <w:lang w:val="en-US"/>
        </w:rPr>
        <w:t xml:space="preserve"> and</w:t>
      </w:r>
      <w:r w:rsidR="00E76D64">
        <w:rPr>
          <w:lang w:val="en-US"/>
        </w:rPr>
        <w:t xml:space="preserve"> processed and </w:t>
      </w:r>
      <w:r w:rsidR="00324CC2">
        <w:rPr>
          <w:lang w:val="en-US"/>
        </w:rPr>
        <w:t xml:space="preserve">can </w:t>
      </w:r>
      <w:r w:rsidR="002F2FD4" w:rsidRPr="002F2FD4">
        <w:rPr>
          <w:lang w:val="en-US"/>
        </w:rPr>
        <w:t xml:space="preserve">complement existing forms of monitoring such as satellite and remote sensing which are costly and less dynamic. </w:t>
      </w:r>
      <w:r w:rsidR="00324CC2">
        <w:rPr>
          <w:lang w:val="en-US"/>
        </w:rPr>
        <w:t xml:space="preserve">The Scent applications will be freely distributed with the hope that they will support </w:t>
      </w:r>
      <w:r w:rsidR="00C86FF5">
        <w:rPr>
          <w:lang w:val="en-US"/>
        </w:rPr>
        <w:t xml:space="preserve">the activities of </w:t>
      </w:r>
      <w:r w:rsidR="00324CC2">
        <w:rPr>
          <w:lang w:val="en-US"/>
        </w:rPr>
        <w:t xml:space="preserve">citizen observatories in relation to </w:t>
      </w:r>
      <w:r w:rsidR="00324CC2" w:rsidRPr="00324CC2">
        <w:rPr>
          <w:lang w:val="en-US"/>
        </w:rPr>
        <w:t>land-cover use and changes</w:t>
      </w:r>
      <w:r w:rsidR="00324CC2">
        <w:rPr>
          <w:lang w:val="en-US"/>
        </w:rPr>
        <w:t>.</w:t>
      </w:r>
      <w:r w:rsidR="00324CC2" w:rsidRPr="00324CC2">
        <w:rPr>
          <w:lang w:val="en-US"/>
        </w:rPr>
        <w:t xml:space="preserve"> </w:t>
      </w:r>
    </w:p>
    <w:p w14:paraId="4ECA8DAF" w14:textId="7D220FB5" w:rsidR="00394100" w:rsidRPr="00AA63FB" w:rsidRDefault="00324CC2" w:rsidP="00C86FF5">
      <w:pPr>
        <w:pStyle w:val="COWM2018BodyText"/>
        <w:rPr>
          <w:lang w:val="en-US"/>
        </w:rPr>
      </w:pPr>
      <w:r>
        <w:rPr>
          <w:lang w:val="en-US"/>
        </w:rPr>
        <w:t>A common problem of such citizen observatories is in how to support the public participation (</w:t>
      </w:r>
      <w:proofErr w:type="spellStart"/>
      <w:r w:rsidR="00A77EC4">
        <w:rPr>
          <w:lang w:val="en-US"/>
        </w:rPr>
        <w:t>Rotman</w:t>
      </w:r>
      <w:proofErr w:type="spellEnd"/>
      <w:r w:rsidR="00A77EC4">
        <w:rPr>
          <w:lang w:val="en-US"/>
        </w:rPr>
        <w:t xml:space="preserve"> et al., 2014</w:t>
      </w:r>
      <w:r>
        <w:rPr>
          <w:lang w:val="en-US"/>
        </w:rPr>
        <w:t xml:space="preserve">). Scent relies on a number of gamification mechanisms (rewards, badges, levels, leaderboards) </w:t>
      </w:r>
      <w:r w:rsidR="00394100">
        <w:rPr>
          <w:lang w:val="en-US"/>
        </w:rPr>
        <w:t xml:space="preserve">as a strategy </w:t>
      </w:r>
      <w:r>
        <w:rPr>
          <w:lang w:val="en-US"/>
        </w:rPr>
        <w:t xml:space="preserve">to ignite and sustain the interest of citizens. </w:t>
      </w:r>
      <w:r w:rsidR="00394100">
        <w:rPr>
          <w:lang w:val="en-US"/>
        </w:rPr>
        <w:t xml:space="preserve">This gamification-based engagement strategy was developed after a thorough investigation of existing serious games, which allowed to distill some key learning points. This paper presents these key learning points and elaborates on best practices </w:t>
      </w:r>
      <w:r w:rsidR="00C86FF5">
        <w:rPr>
          <w:lang w:val="en-US"/>
        </w:rPr>
        <w:t>that can be replicated by other projects interested in igniting and securing public participation</w:t>
      </w:r>
      <w:r w:rsidR="00394100">
        <w:rPr>
          <w:lang w:val="en-US"/>
        </w:rPr>
        <w:t>.</w:t>
      </w:r>
    </w:p>
    <w:p w14:paraId="4BAA58DA" w14:textId="77777777" w:rsidR="001178E9" w:rsidRPr="004D4B6B" w:rsidRDefault="00E76484" w:rsidP="001178E9">
      <w:pPr>
        <w:pStyle w:val="COWM2018Section"/>
        <w:rPr>
          <w:lang w:val="en-US"/>
        </w:rPr>
      </w:pPr>
      <w:r>
        <w:rPr>
          <w:lang w:val="en-US"/>
        </w:rPr>
        <w:t>APPROACH</w:t>
      </w:r>
      <w:r w:rsidR="00DD03F4">
        <w:rPr>
          <w:lang w:val="en-US"/>
        </w:rPr>
        <w:t xml:space="preserve"> AND THEORETICAL FRAMEWORK</w:t>
      </w:r>
    </w:p>
    <w:p w14:paraId="611F7AB6" w14:textId="58753827" w:rsidR="001178E9" w:rsidRPr="00DD03F4" w:rsidRDefault="00394100" w:rsidP="00DD03F4">
      <w:pPr>
        <w:pStyle w:val="COWM2018BodyText"/>
        <w:rPr>
          <w:lang w:val="en-GB"/>
        </w:rPr>
      </w:pPr>
      <w:r>
        <w:rPr>
          <w:lang w:val="en-US"/>
        </w:rPr>
        <w:t xml:space="preserve">The findings presented in this paper emerged from an initial review of </w:t>
      </w:r>
      <w:r w:rsidR="00157115">
        <w:rPr>
          <w:lang w:val="en-US"/>
        </w:rPr>
        <w:t>115</w:t>
      </w:r>
      <w:r>
        <w:rPr>
          <w:lang w:val="en-US"/>
        </w:rPr>
        <w:t xml:space="preserve"> games </w:t>
      </w:r>
      <w:r w:rsidR="009F02B3">
        <w:rPr>
          <w:lang w:val="en-US"/>
        </w:rPr>
        <w:t xml:space="preserve">(mostly videogames, </w:t>
      </w:r>
      <w:r w:rsidR="009F02B3">
        <w:rPr>
          <w:lang w:val="en-US"/>
        </w:rPr>
        <w:lastRenderedPageBreak/>
        <w:t xml:space="preserve">even though some were also connected to board games) </w:t>
      </w:r>
      <w:r>
        <w:rPr>
          <w:lang w:val="en-US"/>
        </w:rPr>
        <w:t>and a subsequent and more thorough analysis of 2</w:t>
      </w:r>
      <w:r w:rsidR="00157115">
        <w:rPr>
          <w:lang w:val="en-US"/>
        </w:rPr>
        <w:t>8</w:t>
      </w:r>
      <w:r>
        <w:rPr>
          <w:lang w:val="en-US"/>
        </w:rPr>
        <w:t xml:space="preserve"> games. </w:t>
      </w:r>
      <w:r w:rsidR="00C86FF5">
        <w:rPr>
          <w:lang w:val="en-US"/>
        </w:rPr>
        <w:t xml:space="preserve">The selection of the games to be reviewed emerged while </w:t>
      </w:r>
      <w:r w:rsidRPr="00394100">
        <w:rPr>
          <w:lang w:val="en-GB"/>
        </w:rPr>
        <w:t>look</w:t>
      </w:r>
      <w:r w:rsidR="00C86FF5">
        <w:rPr>
          <w:lang w:val="en-GB"/>
        </w:rPr>
        <w:t>ing at both academic sources (i.e</w:t>
      </w:r>
      <w:r w:rsidRPr="00394100">
        <w:rPr>
          <w:lang w:val="en-GB"/>
        </w:rPr>
        <w:t xml:space="preserve">., </w:t>
      </w:r>
      <w:r w:rsidR="00C86FF5">
        <w:rPr>
          <w:lang w:val="en-GB"/>
        </w:rPr>
        <w:t>conference papers and journal</w:t>
      </w:r>
      <w:r w:rsidRPr="00394100">
        <w:rPr>
          <w:lang w:val="en-GB"/>
        </w:rPr>
        <w:t xml:space="preserve"> articles in the areas of environmental sciences, geography and game studies) and non-academic sources (e.g., websites that collect best examples in gamification, like Climate Interactive</w:t>
      </w:r>
      <w:r w:rsidRPr="00394100">
        <w:rPr>
          <w:vertAlign w:val="superscript"/>
          <w:lang w:val="en-GB"/>
        </w:rPr>
        <w:footnoteReference w:id="1"/>
      </w:r>
      <w:r w:rsidRPr="00394100">
        <w:rPr>
          <w:lang w:val="en-GB"/>
        </w:rPr>
        <w:t>, Make Us of</w:t>
      </w:r>
      <w:r w:rsidRPr="00394100">
        <w:rPr>
          <w:vertAlign w:val="superscript"/>
          <w:lang w:val="en-GB"/>
        </w:rPr>
        <w:footnoteReference w:id="2"/>
      </w:r>
      <w:r w:rsidRPr="00394100">
        <w:rPr>
          <w:lang w:val="en-GB"/>
        </w:rPr>
        <w:t>, Game4Sustainability</w:t>
      </w:r>
      <w:r w:rsidRPr="00394100">
        <w:rPr>
          <w:vertAlign w:val="superscript"/>
          <w:lang w:val="en-GB"/>
        </w:rPr>
        <w:footnoteReference w:id="3"/>
      </w:r>
      <w:r w:rsidRPr="00394100">
        <w:rPr>
          <w:lang w:val="en-GB"/>
        </w:rPr>
        <w:t xml:space="preserve">). This review helped us in selecting games that were well-documented (also in terms of accompanying visual material) and that had the potential to further the understanding of some gamification mechanisms considering </w:t>
      </w:r>
      <w:r w:rsidR="00DD03F4">
        <w:rPr>
          <w:lang w:val="en-GB"/>
        </w:rPr>
        <w:t>the specific context of the citizen observatories</w:t>
      </w:r>
      <w:r w:rsidR="001178E9" w:rsidRPr="00B915A8">
        <w:rPr>
          <w:lang w:val="en-US"/>
        </w:rPr>
        <w:t xml:space="preserve">. </w:t>
      </w:r>
    </w:p>
    <w:p w14:paraId="0FB377F4" w14:textId="38782A31" w:rsidR="00DD03F4" w:rsidRDefault="00DD03F4" w:rsidP="00BA14E7">
      <w:pPr>
        <w:pStyle w:val="COWM2018BodyText"/>
        <w:rPr>
          <w:lang w:val="en-GB"/>
        </w:rPr>
      </w:pPr>
      <w:r>
        <w:rPr>
          <w:lang w:val="en-US"/>
        </w:rPr>
        <w:t xml:space="preserve">The work of </w:t>
      </w:r>
      <w:r w:rsidR="00C86FF5">
        <w:rPr>
          <w:lang w:val="en-US"/>
        </w:rPr>
        <w:t xml:space="preserve">a variety of </w:t>
      </w:r>
      <w:r>
        <w:rPr>
          <w:lang w:val="en-US"/>
        </w:rPr>
        <w:t>scholars and practitioners provided a framework to analyze the motivational dimension of gamification</w:t>
      </w:r>
      <w:r w:rsidR="001C0F8A">
        <w:rPr>
          <w:lang w:val="en-US"/>
        </w:rPr>
        <w:t xml:space="preserve"> and serious games</w:t>
      </w:r>
      <w:r>
        <w:rPr>
          <w:lang w:val="en-US"/>
        </w:rPr>
        <w:t xml:space="preserve">. </w:t>
      </w:r>
      <w:r w:rsidRPr="00DD03F4">
        <w:rPr>
          <w:lang w:val="en-GB"/>
        </w:rPr>
        <w:t xml:space="preserve">With a perspective crossing </w:t>
      </w:r>
      <w:r w:rsidR="006F227E">
        <w:rPr>
          <w:lang w:val="en-GB"/>
        </w:rPr>
        <w:t xml:space="preserve">social and positive psychology, </w:t>
      </w:r>
      <w:proofErr w:type="spellStart"/>
      <w:r w:rsidRPr="00DD03F4">
        <w:rPr>
          <w:lang w:val="en-GB"/>
        </w:rPr>
        <w:t>McGonigal</w:t>
      </w:r>
      <w:proofErr w:type="spellEnd"/>
      <w:r w:rsidRPr="00DD03F4">
        <w:rPr>
          <w:lang w:val="en-GB"/>
        </w:rPr>
        <w:t xml:space="preserve"> </w:t>
      </w:r>
      <w:r w:rsidR="00BA14E7">
        <w:rPr>
          <w:lang w:val="en-GB"/>
        </w:rPr>
        <w:t xml:space="preserve">(2011) </w:t>
      </w:r>
      <w:r w:rsidRPr="00DD03F4">
        <w:rPr>
          <w:lang w:val="en-GB"/>
        </w:rPr>
        <w:t xml:space="preserve">argues </w:t>
      </w:r>
      <w:r w:rsidR="006F227E">
        <w:rPr>
          <w:lang w:val="en-GB"/>
        </w:rPr>
        <w:t>how</w:t>
      </w:r>
      <w:r w:rsidRPr="00DD03F4">
        <w:rPr>
          <w:lang w:val="en-GB"/>
        </w:rPr>
        <w:t xml:space="preserve"> a good gameplay can elicit rewarding emotional and cognitive states and act as a powerful motivational factor. This is one of the reasons </w:t>
      </w:r>
      <w:r w:rsidR="006F227E">
        <w:rPr>
          <w:lang w:val="en-GB"/>
        </w:rPr>
        <w:t>why in recent times various gamification</w:t>
      </w:r>
      <w:r w:rsidRPr="00DD03F4">
        <w:rPr>
          <w:lang w:val="en-GB"/>
        </w:rPr>
        <w:t xml:space="preserve"> mechanisms have been increasingly used </w:t>
      </w:r>
      <w:r w:rsidR="00BA14E7">
        <w:rPr>
          <w:lang w:val="en-GB"/>
        </w:rPr>
        <w:t>in non-leisure contexts (</w:t>
      </w:r>
      <w:proofErr w:type="spellStart"/>
      <w:r w:rsidR="00BA14E7">
        <w:rPr>
          <w:lang w:val="en-GB"/>
        </w:rPr>
        <w:t>Hamari</w:t>
      </w:r>
      <w:proofErr w:type="spellEnd"/>
      <w:r w:rsidR="00EC45FE">
        <w:rPr>
          <w:lang w:val="en-GB"/>
        </w:rPr>
        <w:t>,</w:t>
      </w:r>
      <w:r w:rsidRPr="00DD03F4">
        <w:rPr>
          <w:lang w:val="en-GB"/>
        </w:rPr>
        <w:t xml:space="preserve"> 2013). As the gamification expert Yu-kai Chou points out: “in a few short years, gamification has reached a social tipping point and is starting to creep into every aspect of our lives - from education, work, marketing, parenting, sustainability, all the way to healthcare</w:t>
      </w:r>
      <w:r w:rsidR="00BA14E7">
        <w:rPr>
          <w:lang w:val="en-GB"/>
        </w:rPr>
        <w:t xml:space="preserve"> and scientific research” (Chou</w:t>
      </w:r>
      <w:r w:rsidR="00EC45FE">
        <w:rPr>
          <w:lang w:val="en-GB"/>
        </w:rPr>
        <w:t>,</w:t>
      </w:r>
      <w:r w:rsidRPr="00DD03F4">
        <w:rPr>
          <w:lang w:val="en-GB"/>
        </w:rPr>
        <w:t xml:space="preserve"> 2015: pp. 10-11). </w:t>
      </w:r>
      <w:r w:rsidR="00BA14E7">
        <w:rPr>
          <w:lang w:val="en-GB"/>
        </w:rPr>
        <w:t>Games can become</w:t>
      </w:r>
      <w:r w:rsidR="00BA14E7" w:rsidRPr="00BA14E7">
        <w:rPr>
          <w:lang w:val="en-GB"/>
        </w:rPr>
        <w:t xml:space="preserve"> an immersive experience that engage</w:t>
      </w:r>
      <w:r w:rsidR="006F227E">
        <w:rPr>
          <w:lang w:val="en-GB"/>
        </w:rPr>
        <w:t>s</w:t>
      </w:r>
      <w:r w:rsidR="00BA14E7" w:rsidRPr="00BA14E7">
        <w:rPr>
          <w:lang w:val="en-GB"/>
        </w:rPr>
        <w:t xml:space="preserve"> the player at a level that is fulfilling and rewarding</w:t>
      </w:r>
      <w:r w:rsidR="00BA14E7">
        <w:rPr>
          <w:lang w:val="en-GB"/>
        </w:rPr>
        <w:t xml:space="preserve"> (Schell</w:t>
      </w:r>
      <w:r w:rsidR="00EC45FE">
        <w:rPr>
          <w:lang w:val="en-GB"/>
        </w:rPr>
        <w:t>,</w:t>
      </w:r>
      <w:r w:rsidR="00BA14E7">
        <w:rPr>
          <w:lang w:val="en-GB"/>
        </w:rPr>
        <w:t xml:space="preserve"> 2008</w:t>
      </w:r>
      <w:r w:rsidR="00BA14E7" w:rsidRPr="00BA14E7">
        <w:rPr>
          <w:lang w:val="en-GB"/>
        </w:rPr>
        <w:t>)</w:t>
      </w:r>
      <w:r w:rsidR="00BA14E7">
        <w:rPr>
          <w:lang w:val="en-GB"/>
        </w:rPr>
        <w:t xml:space="preserve">. </w:t>
      </w:r>
      <w:r w:rsidR="00BA14E7" w:rsidRPr="00BA14E7">
        <w:rPr>
          <w:lang w:val="en-GB"/>
        </w:rPr>
        <w:t>This is a key point, stressed by many authors who focused on how fun is a critical component of games and their cap</w:t>
      </w:r>
      <w:r w:rsidR="00BA14E7">
        <w:rPr>
          <w:lang w:val="en-GB"/>
        </w:rPr>
        <w:t>acity to motivate people (Burke</w:t>
      </w:r>
      <w:r w:rsidR="00EC45FE">
        <w:rPr>
          <w:lang w:val="en-GB"/>
        </w:rPr>
        <w:t>,</w:t>
      </w:r>
      <w:r w:rsidR="00BA14E7">
        <w:rPr>
          <w:lang w:val="en-GB"/>
        </w:rPr>
        <w:t xml:space="preserve"> 2011; </w:t>
      </w:r>
      <w:proofErr w:type="spellStart"/>
      <w:r w:rsidR="00BA14E7">
        <w:rPr>
          <w:lang w:val="en-GB"/>
        </w:rPr>
        <w:t>Koster</w:t>
      </w:r>
      <w:proofErr w:type="spellEnd"/>
      <w:r w:rsidR="00EC45FE">
        <w:rPr>
          <w:lang w:val="en-GB"/>
        </w:rPr>
        <w:t>,</w:t>
      </w:r>
      <w:r w:rsidR="00BA14E7">
        <w:rPr>
          <w:lang w:val="en-GB"/>
        </w:rPr>
        <w:t xml:space="preserve"> 2005; Groh</w:t>
      </w:r>
      <w:r w:rsidR="00EC45FE">
        <w:rPr>
          <w:lang w:val="en-GB"/>
        </w:rPr>
        <w:t>,</w:t>
      </w:r>
      <w:r w:rsidR="00BA14E7" w:rsidRPr="00BA14E7">
        <w:rPr>
          <w:lang w:val="en-GB"/>
        </w:rPr>
        <w:t xml:space="preserve"> 2012; Lee and Hammer, 2011</w:t>
      </w:r>
      <w:r w:rsidR="005803A0">
        <w:rPr>
          <w:lang w:val="en-GB"/>
        </w:rPr>
        <w:t xml:space="preserve">; </w:t>
      </w:r>
      <w:proofErr w:type="spellStart"/>
      <w:r w:rsidR="007F1301">
        <w:rPr>
          <w:lang w:val="en-GB"/>
        </w:rPr>
        <w:t>Levtov</w:t>
      </w:r>
      <w:proofErr w:type="spellEnd"/>
      <w:r w:rsidR="007F1301">
        <w:rPr>
          <w:lang w:val="en-GB"/>
        </w:rPr>
        <w:t xml:space="preserve"> </w:t>
      </w:r>
      <w:r w:rsidR="005803A0">
        <w:rPr>
          <w:lang w:val="en-GB"/>
        </w:rPr>
        <w:t>et al.</w:t>
      </w:r>
      <w:r w:rsidR="00EC45FE">
        <w:rPr>
          <w:lang w:val="en-GB"/>
        </w:rPr>
        <w:t>,</w:t>
      </w:r>
      <w:r w:rsidR="005803A0">
        <w:rPr>
          <w:lang w:val="en-GB"/>
        </w:rPr>
        <w:t xml:space="preserve"> </w:t>
      </w:r>
      <w:r w:rsidR="007F1301">
        <w:rPr>
          <w:lang w:val="en-GB"/>
        </w:rPr>
        <w:t>2016)</w:t>
      </w:r>
      <w:r w:rsidR="00BA14E7" w:rsidRPr="00BA14E7">
        <w:rPr>
          <w:lang w:val="en-GB"/>
        </w:rPr>
        <w:t xml:space="preserve">.   </w:t>
      </w:r>
    </w:p>
    <w:p w14:paraId="730D8B54" w14:textId="58894781" w:rsidR="001178E9" w:rsidRPr="00AB1DF7" w:rsidRDefault="007A2966" w:rsidP="00AB1DF7">
      <w:pPr>
        <w:pStyle w:val="COWM2018BodyText"/>
        <w:rPr>
          <w:lang w:val="en-GB"/>
        </w:rPr>
      </w:pPr>
      <w:r w:rsidRPr="007A2966">
        <w:rPr>
          <w:lang w:val="en-GB"/>
        </w:rPr>
        <w:t>Various authors offer a characterization of the various components of gamification (</w:t>
      </w:r>
      <w:proofErr w:type="spellStart"/>
      <w:r w:rsidR="00AB1DF7">
        <w:rPr>
          <w:lang w:val="en-GB"/>
        </w:rPr>
        <w:t>Deterding</w:t>
      </w:r>
      <w:proofErr w:type="spellEnd"/>
      <w:r w:rsidR="00AB1DF7">
        <w:rPr>
          <w:lang w:val="en-GB"/>
        </w:rPr>
        <w:t xml:space="preserve"> et al.</w:t>
      </w:r>
      <w:r w:rsidR="00EC45FE">
        <w:rPr>
          <w:lang w:val="en-GB"/>
        </w:rPr>
        <w:t>,</w:t>
      </w:r>
      <w:r w:rsidRPr="007A2966">
        <w:rPr>
          <w:lang w:val="en-GB"/>
        </w:rPr>
        <w:t xml:space="preserve"> 2011; </w:t>
      </w:r>
      <w:proofErr w:type="spellStart"/>
      <w:r w:rsidRPr="007A2966">
        <w:rPr>
          <w:lang w:val="en-GB"/>
        </w:rPr>
        <w:t>Zichermann</w:t>
      </w:r>
      <w:proofErr w:type="spellEnd"/>
      <w:r w:rsidRPr="007A2966">
        <w:rPr>
          <w:lang w:val="en-GB"/>
        </w:rPr>
        <w:t xml:space="preserve"> &amp; Cunningham, 2011).</w:t>
      </w:r>
      <w:r w:rsidR="001C0F8A">
        <w:rPr>
          <w:lang w:val="en-GB"/>
        </w:rPr>
        <w:t xml:space="preserve"> </w:t>
      </w:r>
      <w:r w:rsidR="001C0F8A" w:rsidRPr="001C0F8A">
        <w:rPr>
          <w:lang w:val="en-GB"/>
        </w:rPr>
        <w:t xml:space="preserve">The categorization offered by Schell (2008) has the advantage to look at the overall elements of a game and to see how the game mechanics </w:t>
      </w:r>
      <w:r w:rsidR="001C0F8A">
        <w:rPr>
          <w:lang w:val="en-GB"/>
        </w:rPr>
        <w:t>(</w:t>
      </w:r>
      <w:r w:rsidR="001C0F8A" w:rsidRPr="001C0F8A">
        <w:rPr>
          <w:lang w:val="en-GB"/>
        </w:rPr>
        <w:t>procedures and rules of a game</w:t>
      </w:r>
      <w:r w:rsidR="001C0F8A">
        <w:rPr>
          <w:lang w:val="en-GB"/>
        </w:rPr>
        <w:t xml:space="preserve">, </w:t>
      </w:r>
      <w:r w:rsidR="001C0F8A" w:rsidRPr="001C0F8A">
        <w:rPr>
          <w:lang w:val="en-GB"/>
        </w:rPr>
        <w:t>goal</w:t>
      </w:r>
      <w:r w:rsidR="001C0F8A">
        <w:rPr>
          <w:lang w:val="en-GB"/>
        </w:rPr>
        <w:t>s</w:t>
      </w:r>
      <w:r w:rsidR="001C0F8A" w:rsidRPr="001C0F8A">
        <w:rPr>
          <w:lang w:val="en-GB"/>
        </w:rPr>
        <w:t>, incentives, change of levels, points, badges, etc.)</w:t>
      </w:r>
      <w:r w:rsidR="00C86FF5">
        <w:rPr>
          <w:lang w:val="en-GB"/>
        </w:rPr>
        <w:t xml:space="preserve"> </w:t>
      </w:r>
      <w:r w:rsidR="001C0F8A" w:rsidRPr="001C0F8A">
        <w:rPr>
          <w:lang w:val="en-GB"/>
        </w:rPr>
        <w:t xml:space="preserve">interact with three </w:t>
      </w:r>
      <w:r w:rsidR="006F227E">
        <w:rPr>
          <w:lang w:val="en-GB"/>
        </w:rPr>
        <w:t xml:space="preserve">other </w:t>
      </w:r>
      <w:r w:rsidR="00C86FF5">
        <w:rPr>
          <w:lang w:val="en-GB"/>
        </w:rPr>
        <w:t xml:space="preserve">key </w:t>
      </w:r>
      <w:r w:rsidR="001C0F8A" w:rsidRPr="001C0F8A">
        <w:rPr>
          <w:lang w:val="en-GB"/>
        </w:rPr>
        <w:t>elements (st</w:t>
      </w:r>
      <w:r w:rsidR="00C86FF5">
        <w:rPr>
          <w:lang w:val="en-GB"/>
        </w:rPr>
        <w:t>ory, aesthetics and technology).</w:t>
      </w:r>
      <w:r w:rsidR="00A472BF">
        <w:rPr>
          <w:lang w:val="en-GB"/>
        </w:rPr>
        <w:t xml:space="preserve"> </w:t>
      </w:r>
      <w:r w:rsidR="00AB15DF">
        <w:rPr>
          <w:lang w:val="en-GB"/>
        </w:rPr>
        <w:t>W</w:t>
      </w:r>
      <w:r w:rsidR="009F02B3">
        <w:rPr>
          <w:lang w:val="en-GB"/>
        </w:rPr>
        <w:t>e used these four categories</w:t>
      </w:r>
      <w:r w:rsidR="00AB15DF">
        <w:rPr>
          <w:lang w:val="en-GB"/>
        </w:rPr>
        <w:t xml:space="preserve"> for our analysis</w:t>
      </w:r>
      <w:r w:rsidR="009F02B3">
        <w:rPr>
          <w:lang w:val="en-GB"/>
        </w:rPr>
        <w:t>.</w:t>
      </w:r>
    </w:p>
    <w:p w14:paraId="69A6FE7D" w14:textId="77777777" w:rsidR="001178E9" w:rsidRDefault="00E76484" w:rsidP="001178E9">
      <w:pPr>
        <w:pStyle w:val="COWM2018Section"/>
        <w:rPr>
          <w:lang w:val="en-US"/>
        </w:rPr>
      </w:pPr>
      <w:r>
        <w:rPr>
          <w:lang w:val="en-US"/>
        </w:rPr>
        <w:t>FINDINGS</w:t>
      </w:r>
    </w:p>
    <w:p w14:paraId="20B13A82" w14:textId="299371D9" w:rsidR="006F227E" w:rsidRDefault="006F227E" w:rsidP="007F0808">
      <w:pPr>
        <w:pStyle w:val="COWM2018BodyText"/>
        <w:rPr>
          <w:lang w:val="en-US"/>
        </w:rPr>
      </w:pPr>
      <w:r>
        <w:rPr>
          <w:lang w:val="en-US"/>
        </w:rPr>
        <w:t xml:space="preserve">Our analysis showed that </w:t>
      </w:r>
      <w:r w:rsidR="007F0808">
        <w:rPr>
          <w:lang w:val="en-US"/>
        </w:rPr>
        <w:t>some</w:t>
      </w:r>
      <w:r w:rsidR="00E5382B" w:rsidRPr="00E5382B">
        <w:rPr>
          <w:lang w:val="en-US"/>
        </w:rPr>
        <w:t xml:space="preserve"> </w:t>
      </w:r>
      <w:r>
        <w:rPr>
          <w:lang w:val="en-US"/>
        </w:rPr>
        <w:t>gamification strategies work</w:t>
      </w:r>
      <w:r w:rsidR="00E5382B" w:rsidRPr="00E5382B">
        <w:rPr>
          <w:lang w:val="en-US"/>
        </w:rPr>
        <w:t xml:space="preserve"> particularly well</w:t>
      </w:r>
      <w:r>
        <w:rPr>
          <w:lang w:val="en-US"/>
        </w:rPr>
        <w:t xml:space="preserve"> as engaging mechanisms to support public participation</w:t>
      </w:r>
      <w:r w:rsidR="007F0808">
        <w:rPr>
          <w:lang w:val="en-US"/>
        </w:rPr>
        <w:t xml:space="preserve"> (Table 1).</w:t>
      </w:r>
    </w:p>
    <w:p w14:paraId="4DC52318" w14:textId="179126EB" w:rsidR="007F0808" w:rsidRDefault="007F0808" w:rsidP="007F0808">
      <w:pPr>
        <w:pStyle w:val="Caption"/>
        <w:keepNext/>
        <w:rPr>
          <w:lang w:val="en-GB"/>
        </w:rPr>
      </w:pPr>
      <w:r w:rsidRPr="007F0808">
        <w:rPr>
          <w:lang w:val="en-GB"/>
        </w:rPr>
        <w:t xml:space="preserve">Table </w:t>
      </w:r>
      <w:r>
        <w:fldChar w:fldCharType="begin"/>
      </w:r>
      <w:r w:rsidRPr="007F0808">
        <w:rPr>
          <w:lang w:val="en-GB"/>
        </w:rPr>
        <w:instrText xml:space="preserve"> SEQ Table \* ARABIC </w:instrText>
      </w:r>
      <w:r>
        <w:fldChar w:fldCharType="separate"/>
      </w:r>
      <w:r w:rsidRPr="007F0808">
        <w:rPr>
          <w:noProof/>
          <w:lang w:val="en-GB"/>
        </w:rPr>
        <w:t>1</w:t>
      </w:r>
      <w:r>
        <w:fldChar w:fldCharType="end"/>
      </w:r>
      <w:r w:rsidR="00A77EC4" w:rsidRPr="00A77EC4">
        <w:rPr>
          <w:lang w:val="en-GB"/>
        </w:rPr>
        <w:t>.</w:t>
      </w:r>
      <w:r w:rsidRPr="007F0808">
        <w:rPr>
          <w:lang w:val="en-GB"/>
        </w:rPr>
        <w:t xml:space="preserve"> </w:t>
      </w:r>
      <w:r w:rsidRPr="00A77EC4">
        <w:rPr>
          <w:b w:val="0"/>
          <w:lang w:val="en-GB"/>
        </w:rPr>
        <w:t>Gamification strategies emerged from our analysis of serious games to support public engagement and citizen observatories</w:t>
      </w:r>
      <w:r w:rsidR="00A77EC4">
        <w:rPr>
          <w:b w:val="0"/>
          <w:lang w:val="en-GB"/>
        </w:rPr>
        <w:t>.</w:t>
      </w:r>
    </w:p>
    <w:p w14:paraId="22DFD4AC" w14:textId="77777777" w:rsidR="007F0808" w:rsidRPr="007F0808" w:rsidRDefault="007F0808" w:rsidP="007F0808">
      <w:pPr>
        <w:rPr>
          <w:lang w:val="en-GB"/>
        </w:rPr>
      </w:pPr>
    </w:p>
    <w:tbl>
      <w:tblPr>
        <w:tblStyle w:val="TableGrid"/>
        <w:tblW w:w="0" w:type="auto"/>
        <w:tblLook w:val="04A0" w:firstRow="1" w:lastRow="0" w:firstColumn="1" w:lastColumn="0" w:noHBand="0" w:noVBand="1"/>
      </w:tblPr>
      <w:tblGrid>
        <w:gridCol w:w="1520"/>
        <w:gridCol w:w="8096"/>
      </w:tblGrid>
      <w:tr w:rsidR="007F0808" w14:paraId="14B41985" w14:textId="77777777" w:rsidTr="00A472BF">
        <w:tc>
          <w:tcPr>
            <w:tcW w:w="1531" w:type="dxa"/>
            <w:shd w:val="clear" w:color="auto" w:fill="BFBFBF" w:themeFill="background1" w:themeFillShade="BF"/>
          </w:tcPr>
          <w:p w14:paraId="124DDEEB" w14:textId="503E168F" w:rsidR="006F227E" w:rsidRPr="005B6E69" w:rsidRDefault="00C24C61" w:rsidP="006F227E">
            <w:pPr>
              <w:pStyle w:val="COWM2018BodyText"/>
              <w:ind w:firstLine="0"/>
              <w:rPr>
                <w:sz w:val="20"/>
                <w:lang w:val="en-US"/>
              </w:rPr>
            </w:pPr>
            <w:r w:rsidRPr="005B6E69">
              <w:rPr>
                <w:sz w:val="20"/>
                <w:lang w:val="en-US"/>
              </w:rPr>
              <w:t>Category</w:t>
            </w:r>
            <w:r w:rsidR="006F227E" w:rsidRPr="005B6E69">
              <w:rPr>
                <w:sz w:val="20"/>
                <w:lang w:val="en-US"/>
              </w:rPr>
              <w:t xml:space="preserve"> </w:t>
            </w:r>
          </w:p>
        </w:tc>
        <w:tc>
          <w:tcPr>
            <w:tcW w:w="8311" w:type="dxa"/>
            <w:shd w:val="clear" w:color="auto" w:fill="BFBFBF" w:themeFill="background1" w:themeFillShade="BF"/>
          </w:tcPr>
          <w:p w14:paraId="506D85D5" w14:textId="02F4CC1C" w:rsidR="006F227E" w:rsidRPr="005B6E69" w:rsidRDefault="007F0808" w:rsidP="00E5382B">
            <w:pPr>
              <w:pStyle w:val="COWM2018BodyText"/>
              <w:ind w:firstLine="0"/>
              <w:rPr>
                <w:sz w:val="20"/>
                <w:lang w:val="en-US"/>
              </w:rPr>
            </w:pPr>
            <w:r w:rsidRPr="005B6E69">
              <w:rPr>
                <w:sz w:val="20"/>
                <w:lang w:val="en-US"/>
              </w:rPr>
              <w:t>Strategy</w:t>
            </w:r>
          </w:p>
        </w:tc>
      </w:tr>
      <w:tr w:rsidR="00A472BF" w:rsidRPr="0076574F" w14:paraId="1BC78FE9" w14:textId="77777777" w:rsidTr="00A472BF">
        <w:trPr>
          <w:trHeight w:val="371"/>
        </w:trPr>
        <w:tc>
          <w:tcPr>
            <w:tcW w:w="1531" w:type="dxa"/>
          </w:tcPr>
          <w:p w14:paraId="152F3B7B" w14:textId="51E8AA72" w:rsidR="00A472BF" w:rsidRPr="005B6E69" w:rsidRDefault="00A472BF" w:rsidP="007F0808">
            <w:pPr>
              <w:pStyle w:val="COWM2018BodyText"/>
              <w:ind w:firstLine="0"/>
              <w:rPr>
                <w:sz w:val="20"/>
                <w:lang w:val="en-US"/>
              </w:rPr>
            </w:pPr>
            <w:r w:rsidRPr="005B6E69">
              <w:rPr>
                <w:sz w:val="20"/>
                <w:lang w:val="en-US"/>
              </w:rPr>
              <w:t>Story</w:t>
            </w:r>
          </w:p>
        </w:tc>
        <w:tc>
          <w:tcPr>
            <w:tcW w:w="8311" w:type="dxa"/>
          </w:tcPr>
          <w:p w14:paraId="50099C8C" w14:textId="2588FD3A" w:rsidR="00A472BF" w:rsidRPr="005B6E69" w:rsidRDefault="00C24C61" w:rsidP="00AB15DF">
            <w:pPr>
              <w:pStyle w:val="COWM2018BodyText"/>
              <w:ind w:firstLine="0"/>
              <w:rPr>
                <w:sz w:val="20"/>
                <w:lang w:val="en-US"/>
              </w:rPr>
            </w:pPr>
            <w:r w:rsidRPr="005B6E69">
              <w:rPr>
                <w:sz w:val="20"/>
                <w:lang w:val="en-US"/>
              </w:rPr>
              <w:t>Some games contain</w:t>
            </w:r>
            <w:r w:rsidR="00A472BF" w:rsidRPr="005B6E69">
              <w:rPr>
                <w:sz w:val="20"/>
                <w:lang w:val="en-US"/>
              </w:rPr>
              <w:t xml:space="preserve"> some educational components (e.g., diagrams, short videos, and illustrations) that visually ‘translate</w:t>
            </w:r>
            <w:bookmarkStart w:id="0" w:name="_GoBack"/>
            <w:bookmarkEnd w:id="0"/>
            <w:r w:rsidR="00A472BF" w:rsidRPr="005B6E69">
              <w:rPr>
                <w:sz w:val="20"/>
                <w:lang w:val="en-US"/>
              </w:rPr>
              <w:t xml:space="preserve">’ scientific knowledge (e.g., concepts from earth observation) into visual formats that </w:t>
            </w:r>
            <w:r w:rsidRPr="005B6E69">
              <w:rPr>
                <w:sz w:val="20"/>
                <w:lang w:val="en-US"/>
              </w:rPr>
              <w:t>are</w:t>
            </w:r>
            <w:r w:rsidR="00A472BF" w:rsidRPr="005B6E69">
              <w:rPr>
                <w:sz w:val="20"/>
                <w:lang w:val="en-US"/>
              </w:rPr>
              <w:t xml:space="preserve"> easier to understand to broader publics, thus activating knowledge translation mechanisms (Simeone et al.</w:t>
            </w:r>
            <w:r w:rsidR="00EC45FE" w:rsidRPr="005B6E69">
              <w:rPr>
                <w:sz w:val="20"/>
                <w:lang w:val="en-US"/>
              </w:rPr>
              <w:t>,</w:t>
            </w:r>
            <w:r w:rsidR="00A472BF" w:rsidRPr="005B6E69">
              <w:rPr>
                <w:sz w:val="20"/>
                <w:lang w:val="en-US"/>
              </w:rPr>
              <w:t xml:space="preserve"> 2017</w:t>
            </w:r>
            <w:r w:rsidR="00EC45FE" w:rsidRPr="005B6E69">
              <w:rPr>
                <w:sz w:val="20"/>
                <w:lang w:val="en-US"/>
              </w:rPr>
              <w:t>a; Simeone et al., 2017b</w:t>
            </w:r>
            <w:r w:rsidR="00A472BF" w:rsidRPr="005B6E69">
              <w:rPr>
                <w:sz w:val="20"/>
                <w:lang w:val="en-US"/>
              </w:rPr>
              <w:t>)</w:t>
            </w:r>
            <w:r w:rsidRPr="005B6E69">
              <w:rPr>
                <w:sz w:val="20"/>
                <w:lang w:val="en-US"/>
              </w:rPr>
              <w:t>. These knowledge translation mechanisms can align and motivate diverse target audiences (e.g., scientific experts and normal citizens)</w:t>
            </w:r>
            <w:r w:rsidR="00EC45FE" w:rsidRPr="005B6E69">
              <w:rPr>
                <w:sz w:val="20"/>
                <w:lang w:val="en-US"/>
              </w:rPr>
              <w:t>.</w:t>
            </w:r>
            <w:r w:rsidR="00A472BF" w:rsidRPr="005B6E69">
              <w:rPr>
                <w:sz w:val="20"/>
                <w:lang w:val="en-US"/>
              </w:rPr>
              <w:t xml:space="preserve"> </w:t>
            </w:r>
          </w:p>
        </w:tc>
      </w:tr>
      <w:tr w:rsidR="00EC45FE" w:rsidRPr="0076574F" w14:paraId="6C150581" w14:textId="77777777" w:rsidTr="00A472BF">
        <w:trPr>
          <w:trHeight w:val="371"/>
        </w:trPr>
        <w:tc>
          <w:tcPr>
            <w:tcW w:w="1531" w:type="dxa"/>
          </w:tcPr>
          <w:p w14:paraId="6314ED2D" w14:textId="5896119C" w:rsidR="00EC45FE" w:rsidRPr="005B6E69" w:rsidRDefault="00EC45FE" w:rsidP="007F0808">
            <w:pPr>
              <w:pStyle w:val="COWM2018BodyText"/>
              <w:ind w:firstLine="0"/>
              <w:rPr>
                <w:sz w:val="20"/>
                <w:lang w:val="en-US"/>
              </w:rPr>
            </w:pPr>
            <w:r w:rsidRPr="005B6E69">
              <w:rPr>
                <w:sz w:val="20"/>
                <w:lang w:val="en-US"/>
              </w:rPr>
              <w:t>Story</w:t>
            </w:r>
          </w:p>
        </w:tc>
        <w:tc>
          <w:tcPr>
            <w:tcW w:w="8311" w:type="dxa"/>
          </w:tcPr>
          <w:p w14:paraId="34DBB755" w14:textId="6EBE4351" w:rsidR="00EC45FE" w:rsidRPr="005B6E69" w:rsidRDefault="00EC45FE" w:rsidP="00EC45FE">
            <w:pPr>
              <w:pStyle w:val="COWM2018BodyText"/>
              <w:ind w:firstLine="0"/>
              <w:rPr>
                <w:sz w:val="20"/>
                <w:lang w:val="en-US"/>
              </w:rPr>
            </w:pPr>
            <w:r w:rsidRPr="005B6E69">
              <w:rPr>
                <w:sz w:val="20"/>
                <w:lang w:val="en-US"/>
              </w:rPr>
              <w:t>However, in some games, the educational aspect overshadows the gamification. To secure the players’ engagement, it is important to carefully balance the education aspect with solid game mechanics.</w:t>
            </w:r>
          </w:p>
        </w:tc>
      </w:tr>
      <w:tr w:rsidR="00EC45FE" w:rsidRPr="0076574F" w14:paraId="4FC8F2AD" w14:textId="77777777" w:rsidTr="00A472BF">
        <w:trPr>
          <w:trHeight w:val="371"/>
        </w:trPr>
        <w:tc>
          <w:tcPr>
            <w:tcW w:w="1531" w:type="dxa"/>
          </w:tcPr>
          <w:p w14:paraId="0692553E" w14:textId="7CD37843" w:rsidR="00EC45FE" w:rsidRPr="005B6E69" w:rsidRDefault="00EC45FE" w:rsidP="007F0808">
            <w:pPr>
              <w:pStyle w:val="COWM2018BodyText"/>
              <w:ind w:firstLine="0"/>
              <w:rPr>
                <w:sz w:val="20"/>
                <w:lang w:val="en-US"/>
              </w:rPr>
            </w:pPr>
            <w:r w:rsidRPr="005B6E69">
              <w:rPr>
                <w:sz w:val="20"/>
                <w:lang w:val="en-US"/>
              </w:rPr>
              <w:t>Story</w:t>
            </w:r>
          </w:p>
        </w:tc>
        <w:tc>
          <w:tcPr>
            <w:tcW w:w="8311" w:type="dxa"/>
          </w:tcPr>
          <w:p w14:paraId="36DCCD9E" w14:textId="31A60F79" w:rsidR="00EC45FE" w:rsidRPr="005B6E69" w:rsidRDefault="00EC45FE" w:rsidP="00C24C61">
            <w:pPr>
              <w:pStyle w:val="COWM2018BodyText"/>
              <w:ind w:firstLine="0"/>
              <w:rPr>
                <w:sz w:val="20"/>
                <w:lang w:val="en-US"/>
              </w:rPr>
            </w:pPr>
            <w:r w:rsidRPr="005B6E69">
              <w:rPr>
                <w:sz w:val="20"/>
                <w:lang w:val="en-US"/>
              </w:rPr>
              <w:t>In relation to the narrative dimension of the game</w:t>
            </w:r>
            <w:r w:rsidR="004F7D02" w:rsidRPr="005B6E69">
              <w:rPr>
                <w:sz w:val="20"/>
                <w:lang w:val="en-US"/>
              </w:rPr>
              <w:t>s</w:t>
            </w:r>
            <w:r w:rsidRPr="005B6E69">
              <w:rPr>
                <w:sz w:val="20"/>
                <w:lang w:val="en-US"/>
              </w:rPr>
              <w:t>, stories that are simple, predetermined and easy to grasp seem to be particularly suitable fo</w:t>
            </w:r>
            <w:r w:rsidR="004F7D02" w:rsidRPr="005B6E69">
              <w:rPr>
                <w:sz w:val="20"/>
                <w:lang w:val="en-US"/>
              </w:rPr>
              <w:t>r serious games</w:t>
            </w:r>
            <w:r w:rsidRPr="005B6E69">
              <w:rPr>
                <w:sz w:val="20"/>
                <w:lang w:val="en-US"/>
              </w:rPr>
              <w:t xml:space="preserve">. In some particularly successful games, the narrative layer within the game (e.g., stories of the main characters and their actions) </w:t>
            </w:r>
            <w:r w:rsidR="00C24C61" w:rsidRPr="005B6E69">
              <w:rPr>
                <w:sz w:val="20"/>
                <w:lang w:val="en-US"/>
              </w:rPr>
              <w:t>i</w:t>
            </w:r>
            <w:r w:rsidRPr="005B6E69">
              <w:rPr>
                <w:sz w:val="20"/>
                <w:lang w:val="en-US"/>
              </w:rPr>
              <w:t xml:space="preserve">s intertwined with real life stories anchored to a real location and/or </w:t>
            </w:r>
            <w:proofErr w:type="gramStart"/>
            <w:r w:rsidRPr="005B6E69">
              <w:rPr>
                <w:sz w:val="20"/>
                <w:lang w:val="en-US"/>
              </w:rPr>
              <w:t>real life</w:t>
            </w:r>
            <w:proofErr w:type="gramEnd"/>
            <w:r w:rsidRPr="005B6E69">
              <w:rPr>
                <w:sz w:val="20"/>
                <w:lang w:val="en-US"/>
              </w:rPr>
              <w:t xml:space="preserve"> conditions.</w:t>
            </w:r>
            <w:r w:rsidR="00C24C61" w:rsidRPr="005B6E69">
              <w:rPr>
                <w:sz w:val="20"/>
                <w:lang w:val="en-US"/>
              </w:rPr>
              <w:t xml:space="preserve"> </w:t>
            </w:r>
          </w:p>
        </w:tc>
      </w:tr>
      <w:tr w:rsidR="00EC45FE" w:rsidRPr="0076574F" w14:paraId="09C182D7" w14:textId="77777777" w:rsidTr="00A472BF">
        <w:trPr>
          <w:trHeight w:val="371"/>
        </w:trPr>
        <w:tc>
          <w:tcPr>
            <w:tcW w:w="1531" w:type="dxa"/>
          </w:tcPr>
          <w:p w14:paraId="7A01D0C2" w14:textId="1CD233E3" w:rsidR="00EC45FE" w:rsidRPr="005B6E69" w:rsidRDefault="00EC45FE" w:rsidP="007F0808">
            <w:pPr>
              <w:pStyle w:val="COWM2018BodyText"/>
              <w:ind w:firstLine="0"/>
              <w:rPr>
                <w:sz w:val="20"/>
                <w:lang w:val="en-US"/>
              </w:rPr>
            </w:pPr>
            <w:r w:rsidRPr="005B6E69">
              <w:rPr>
                <w:sz w:val="20"/>
                <w:lang w:val="en-US"/>
              </w:rPr>
              <w:t>Game mechanics</w:t>
            </w:r>
          </w:p>
        </w:tc>
        <w:tc>
          <w:tcPr>
            <w:tcW w:w="8311" w:type="dxa"/>
          </w:tcPr>
          <w:p w14:paraId="32B2A06F" w14:textId="4AAC74CB" w:rsidR="00EC45FE" w:rsidRPr="005B6E69" w:rsidRDefault="00EC45FE" w:rsidP="009F02B3">
            <w:pPr>
              <w:pStyle w:val="COWM2018BodyText"/>
              <w:ind w:firstLine="0"/>
              <w:rPr>
                <w:sz w:val="20"/>
                <w:lang w:val="en-US"/>
              </w:rPr>
            </w:pPr>
            <w:r w:rsidRPr="005B6E69">
              <w:rPr>
                <w:sz w:val="20"/>
                <w:lang w:val="en-US"/>
              </w:rPr>
              <w:t>In terms of gameplay, fast and straightforward game mechanics that allow to play also for just few minutes seem to be particularly suitable for a public of casual gamers and, as such, for broader audiences.</w:t>
            </w:r>
            <w:r w:rsidR="004F7D02" w:rsidRPr="005B6E69">
              <w:rPr>
                <w:sz w:val="20"/>
                <w:lang w:val="en-US"/>
              </w:rPr>
              <w:t xml:space="preserve"> These game mechanics also work well for those games that require </w:t>
            </w:r>
            <w:r w:rsidR="009F02B3" w:rsidRPr="005B6E69">
              <w:rPr>
                <w:sz w:val="20"/>
                <w:lang w:val="en-US"/>
              </w:rPr>
              <w:t xml:space="preserve">the players to carry </w:t>
            </w:r>
            <w:r w:rsidR="009F02B3" w:rsidRPr="005B6E69">
              <w:rPr>
                <w:sz w:val="20"/>
                <w:lang w:val="en-US"/>
              </w:rPr>
              <w:lastRenderedPageBreak/>
              <w:t xml:space="preserve">out </w:t>
            </w:r>
            <w:r w:rsidR="004F7D02" w:rsidRPr="005B6E69">
              <w:rPr>
                <w:sz w:val="20"/>
                <w:lang w:val="en-US"/>
              </w:rPr>
              <w:t xml:space="preserve">operations of data collection (e.g., taking pictures, recording measurements, etc.). </w:t>
            </w:r>
            <w:r w:rsidR="009F02B3" w:rsidRPr="005B6E69">
              <w:rPr>
                <w:sz w:val="20"/>
                <w:lang w:val="en-US"/>
              </w:rPr>
              <w:t xml:space="preserve">Such </w:t>
            </w:r>
            <w:r w:rsidR="004F7D02" w:rsidRPr="005B6E69">
              <w:rPr>
                <w:sz w:val="20"/>
                <w:lang w:val="en-US"/>
              </w:rPr>
              <w:t xml:space="preserve">operations should </w:t>
            </w:r>
            <w:r w:rsidR="009F02B3" w:rsidRPr="005B6E69">
              <w:rPr>
                <w:sz w:val="20"/>
                <w:lang w:val="en-US"/>
              </w:rPr>
              <w:t xml:space="preserve">be </w:t>
            </w:r>
            <w:r w:rsidR="00C24C61" w:rsidRPr="005B6E69">
              <w:rPr>
                <w:sz w:val="20"/>
                <w:lang w:val="en-US"/>
              </w:rPr>
              <w:t xml:space="preserve">seamlessly </w:t>
            </w:r>
            <w:r w:rsidR="009F02B3" w:rsidRPr="005B6E69">
              <w:rPr>
                <w:sz w:val="20"/>
                <w:lang w:val="en-US"/>
              </w:rPr>
              <w:t>integrated within the whole gameplay.</w:t>
            </w:r>
          </w:p>
        </w:tc>
      </w:tr>
      <w:tr w:rsidR="009F02B3" w:rsidRPr="0076574F" w14:paraId="67ECB42D" w14:textId="77777777" w:rsidTr="00A472BF">
        <w:trPr>
          <w:trHeight w:val="371"/>
        </w:trPr>
        <w:tc>
          <w:tcPr>
            <w:tcW w:w="1531" w:type="dxa"/>
          </w:tcPr>
          <w:p w14:paraId="143DDD06" w14:textId="56EBF7C7" w:rsidR="009F02B3" w:rsidRPr="005B6E69" w:rsidRDefault="009F02B3" w:rsidP="007F0808">
            <w:pPr>
              <w:pStyle w:val="COWM2018BodyText"/>
              <w:ind w:firstLine="0"/>
              <w:rPr>
                <w:sz w:val="20"/>
                <w:lang w:val="en-US"/>
              </w:rPr>
            </w:pPr>
            <w:r w:rsidRPr="005B6E69">
              <w:rPr>
                <w:sz w:val="20"/>
                <w:lang w:val="en-US"/>
              </w:rPr>
              <w:lastRenderedPageBreak/>
              <w:t>Game mechanics</w:t>
            </w:r>
          </w:p>
        </w:tc>
        <w:tc>
          <w:tcPr>
            <w:tcW w:w="8311" w:type="dxa"/>
          </w:tcPr>
          <w:p w14:paraId="2454E548" w14:textId="5DF65303" w:rsidR="009F02B3" w:rsidRPr="005B6E69" w:rsidRDefault="00A2591C" w:rsidP="00C24C61">
            <w:pPr>
              <w:pStyle w:val="COWM2018BodyText"/>
              <w:ind w:firstLine="0"/>
              <w:rPr>
                <w:sz w:val="20"/>
                <w:lang w:val="en-US"/>
              </w:rPr>
            </w:pPr>
            <w:r w:rsidRPr="005B6E69">
              <w:rPr>
                <w:sz w:val="20"/>
                <w:lang w:val="en-US"/>
              </w:rPr>
              <w:t>Strategic and complex simulation games do not seem to work particularly well for c</w:t>
            </w:r>
            <w:r w:rsidR="00C24C61" w:rsidRPr="005B6E69">
              <w:rPr>
                <w:sz w:val="20"/>
                <w:lang w:val="en-US"/>
              </w:rPr>
              <w:t>itizen observatories</w:t>
            </w:r>
            <w:r w:rsidRPr="005B6E69">
              <w:rPr>
                <w:sz w:val="20"/>
                <w:lang w:val="en-US"/>
              </w:rPr>
              <w:t xml:space="preserve"> </w:t>
            </w:r>
            <w:r w:rsidR="00C24C61" w:rsidRPr="005B6E69">
              <w:rPr>
                <w:sz w:val="20"/>
                <w:lang w:val="en-US"/>
              </w:rPr>
              <w:t>since</w:t>
            </w:r>
            <w:r w:rsidRPr="005B6E69">
              <w:rPr>
                <w:sz w:val="20"/>
                <w:lang w:val="en-US"/>
              </w:rPr>
              <w:t xml:space="preserve"> they require significant resources to be designed, developed and maintained, and </w:t>
            </w:r>
            <w:r w:rsidR="00C24C61" w:rsidRPr="005B6E69">
              <w:rPr>
                <w:sz w:val="20"/>
                <w:lang w:val="en-US"/>
              </w:rPr>
              <w:t>since</w:t>
            </w:r>
            <w:r w:rsidRPr="005B6E69">
              <w:rPr>
                <w:sz w:val="20"/>
                <w:lang w:val="en-US"/>
              </w:rPr>
              <w:t xml:space="preserve"> they require time and sustained commitment from the players. </w:t>
            </w:r>
            <w:r w:rsidR="009F02B3" w:rsidRPr="005B6E69">
              <w:rPr>
                <w:sz w:val="20"/>
                <w:lang w:val="en-US"/>
              </w:rPr>
              <w:t>A</w:t>
            </w:r>
            <w:r w:rsidRPr="005B6E69">
              <w:rPr>
                <w:sz w:val="20"/>
                <w:lang w:val="en-US"/>
              </w:rPr>
              <w:t>n easier engagement s</w:t>
            </w:r>
            <w:r w:rsidR="009F02B3" w:rsidRPr="005B6E69">
              <w:rPr>
                <w:sz w:val="20"/>
                <w:lang w:val="en-US"/>
              </w:rPr>
              <w:t xml:space="preserve">trategy </w:t>
            </w:r>
            <w:r w:rsidRPr="005B6E69">
              <w:rPr>
                <w:sz w:val="20"/>
                <w:lang w:val="en-US"/>
              </w:rPr>
              <w:t xml:space="preserve">is </w:t>
            </w:r>
            <w:r w:rsidR="009F02B3" w:rsidRPr="005B6E69">
              <w:rPr>
                <w:sz w:val="20"/>
                <w:lang w:val="en-US"/>
              </w:rPr>
              <w:t xml:space="preserve">to </w:t>
            </w:r>
            <w:r w:rsidRPr="005B6E69">
              <w:rPr>
                <w:sz w:val="20"/>
                <w:lang w:val="en-US"/>
              </w:rPr>
              <w:t>articulate</w:t>
            </w:r>
            <w:r w:rsidR="009F02B3" w:rsidRPr="005B6E69">
              <w:rPr>
                <w:sz w:val="20"/>
                <w:lang w:val="en-US"/>
              </w:rPr>
              <w:t xml:space="preserve"> the overall game mechanics around a series of mini-games anchored to a main unifying educational narrative (e.g., the main storyline driving the specific citizen observatory). These mini-games make the overall gameplay dynamic, fun and diverse.</w:t>
            </w:r>
            <w:r w:rsidR="00CE2FC9" w:rsidRPr="005B6E69">
              <w:rPr>
                <w:sz w:val="20"/>
                <w:lang w:val="en-US"/>
              </w:rPr>
              <w:t xml:space="preserve"> </w:t>
            </w:r>
          </w:p>
        </w:tc>
      </w:tr>
      <w:tr w:rsidR="00EC45FE" w:rsidRPr="0076574F" w14:paraId="2284032D" w14:textId="77777777" w:rsidTr="00A472BF">
        <w:trPr>
          <w:trHeight w:val="371"/>
        </w:trPr>
        <w:tc>
          <w:tcPr>
            <w:tcW w:w="1531" w:type="dxa"/>
          </w:tcPr>
          <w:p w14:paraId="0709B425" w14:textId="1168261B" w:rsidR="00EC45FE" w:rsidRPr="005B6E69" w:rsidRDefault="009F02B3" w:rsidP="007F0808">
            <w:pPr>
              <w:pStyle w:val="COWM2018BodyText"/>
              <w:ind w:firstLine="0"/>
              <w:rPr>
                <w:sz w:val="20"/>
                <w:lang w:val="en-US"/>
              </w:rPr>
            </w:pPr>
            <w:r w:rsidRPr="005B6E69">
              <w:rPr>
                <w:sz w:val="20"/>
                <w:lang w:val="en-US"/>
              </w:rPr>
              <w:t>Game mechanics</w:t>
            </w:r>
          </w:p>
        </w:tc>
        <w:tc>
          <w:tcPr>
            <w:tcW w:w="8311" w:type="dxa"/>
          </w:tcPr>
          <w:p w14:paraId="1A50A2D8" w14:textId="4DDB86A9" w:rsidR="00EC45FE" w:rsidRPr="005B6E69" w:rsidRDefault="00EC45FE" w:rsidP="00CE2FC9">
            <w:pPr>
              <w:pStyle w:val="COWM2018BodyText"/>
              <w:ind w:firstLine="0"/>
              <w:rPr>
                <w:sz w:val="20"/>
                <w:lang w:val="en-US"/>
              </w:rPr>
            </w:pPr>
            <w:r w:rsidRPr="005B6E69">
              <w:rPr>
                <w:sz w:val="20"/>
                <w:lang w:val="en-US"/>
              </w:rPr>
              <w:t>Interactions among players is a key element to support challenges, rewards and the players</w:t>
            </w:r>
            <w:r w:rsidR="009F02B3" w:rsidRPr="005B6E69">
              <w:rPr>
                <w:sz w:val="20"/>
                <w:lang w:val="en-US"/>
              </w:rPr>
              <w:t xml:space="preserve">’ overall level of engagement. </w:t>
            </w:r>
            <w:r w:rsidR="00CE2FC9" w:rsidRPr="005B6E69">
              <w:rPr>
                <w:sz w:val="20"/>
                <w:lang w:val="en-US"/>
              </w:rPr>
              <w:t xml:space="preserve">Within the context of citizen observatories, players should not only compete against each other in relation to their scores and </w:t>
            </w:r>
            <w:r w:rsidR="00C24C61" w:rsidRPr="005B6E69">
              <w:rPr>
                <w:sz w:val="20"/>
                <w:lang w:val="en-US"/>
              </w:rPr>
              <w:t xml:space="preserve">their </w:t>
            </w:r>
            <w:r w:rsidR="00CE2FC9" w:rsidRPr="005B6E69">
              <w:rPr>
                <w:sz w:val="20"/>
                <w:lang w:val="en-US"/>
              </w:rPr>
              <w:t>position in a leaderboard, but be rewarded with messages that clearly show the impact that their individual and collective actions are having on the real world</w:t>
            </w:r>
            <w:r w:rsidRPr="005B6E69">
              <w:rPr>
                <w:sz w:val="20"/>
                <w:lang w:val="en-US"/>
              </w:rPr>
              <w:t>.</w:t>
            </w:r>
          </w:p>
        </w:tc>
      </w:tr>
      <w:tr w:rsidR="007F0808" w:rsidRPr="0076574F" w14:paraId="7E0E6A4E" w14:textId="77777777" w:rsidTr="007F0808">
        <w:tc>
          <w:tcPr>
            <w:tcW w:w="1531" w:type="dxa"/>
          </w:tcPr>
          <w:p w14:paraId="08896A83" w14:textId="2DC2EFFD" w:rsidR="006F227E" w:rsidRPr="005B6E69" w:rsidRDefault="00A472BF" w:rsidP="00E5382B">
            <w:pPr>
              <w:pStyle w:val="COWM2018BodyText"/>
              <w:ind w:firstLine="0"/>
              <w:rPr>
                <w:sz w:val="20"/>
                <w:lang w:val="en-US"/>
              </w:rPr>
            </w:pPr>
            <w:r w:rsidRPr="005B6E69">
              <w:rPr>
                <w:sz w:val="20"/>
                <w:lang w:val="en-US"/>
              </w:rPr>
              <w:t>Technology</w:t>
            </w:r>
          </w:p>
        </w:tc>
        <w:tc>
          <w:tcPr>
            <w:tcW w:w="8311" w:type="dxa"/>
          </w:tcPr>
          <w:p w14:paraId="1AC7CCF4" w14:textId="2E0C893E" w:rsidR="006F227E" w:rsidRPr="005B6E69" w:rsidRDefault="009F02B3" w:rsidP="00CE2FC9">
            <w:pPr>
              <w:pStyle w:val="COWM2018BodyText"/>
              <w:ind w:firstLine="0"/>
              <w:rPr>
                <w:sz w:val="20"/>
                <w:lang w:val="en-US"/>
              </w:rPr>
            </w:pPr>
            <w:r w:rsidRPr="005B6E69">
              <w:rPr>
                <w:sz w:val="20"/>
                <w:lang w:val="en-US"/>
              </w:rPr>
              <w:t xml:space="preserve">A browser-based distribution strategy - e.g., cross-platform games, such as HTML5-based games that can be played on various devices: laptops, desktop computers, tablets and smartphones - gives the players the greatest flexibility in terms of accessing the game. </w:t>
            </w:r>
          </w:p>
        </w:tc>
      </w:tr>
      <w:tr w:rsidR="007F0808" w:rsidRPr="0076574F" w14:paraId="68D6E780" w14:textId="77777777" w:rsidTr="007F0808">
        <w:tc>
          <w:tcPr>
            <w:tcW w:w="1531" w:type="dxa"/>
          </w:tcPr>
          <w:p w14:paraId="0A111EFC" w14:textId="50A0F746" w:rsidR="006F227E" w:rsidRPr="005B6E69" w:rsidRDefault="00A472BF" w:rsidP="00E5382B">
            <w:pPr>
              <w:pStyle w:val="COWM2018BodyText"/>
              <w:ind w:firstLine="0"/>
              <w:rPr>
                <w:sz w:val="20"/>
                <w:lang w:val="en-US"/>
              </w:rPr>
            </w:pPr>
            <w:r w:rsidRPr="005B6E69">
              <w:rPr>
                <w:sz w:val="20"/>
                <w:lang w:val="en-US"/>
              </w:rPr>
              <w:t>Technology</w:t>
            </w:r>
          </w:p>
        </w:tc>
        <w:tc>
          <w:tcPr>
            <w:tcW w:w="8311" w:type="dxa"/>
          </w:tcPr>
          <w:p w14:paraId="4DDE6BB5" w14:textId="1F86ED19" w:rsidR="006F227E" w:rsidRPr="005B6E69" w:rsidRDefault="00A472BF" w:rsidP="00CE2FC9">
            <w:pPr>
              <w:pStyle w:val="COWM2018BodyText"/>
              <w:ind w:firstLine="0"/>
              <w:rPr>
                <w:sz w:val="20"/>
                <w:lang w:val="en-US"/>
              </w:rPr>
            </w:pPr>
            <w:r w:rsidRPr="005B6E69">
              <w:rPr>
                <w:sz w:val="20"/>
                <w:lang w:val="en-US"/>
              </w:rPr>
              <w:t xml:space="preserve">In some cases, to play a videogame a preliminary user registration is required. </w:t>
            </w:r>
            <w:r w:rsidR="00CE2FC9" w:rsidRPr="005B6E69">
              <w:rPr>
                <w:sz w:val="20"/>
                <w:lang w:val="en-US"/>
              </w:rPr>
              <w:t xml:space="preserve">Our recommendation would be to </w:t>
            </w:r>
            <w:r w:rsidRPr="005B6E69">
              <w:rPr>
                <w:sz w:val="20"/>
                <w:lang w:val="en-US"/>
              </w:rPr>
              <w:t xml:space="preserve">also offer the possibility to play without any registration (e.g., following what can be termed as </w:t>
            </w:r>
            <w:r w:rsidR="00CE2FC9" w:rsidRPr="005B6E69">
              <w:rPr>
                <w:sz w:val="20"/>
                <w:lang w:val="en-US"/>
              </w:rPr>
              <w:t xml:space="preserve">a </w:t>
            </w:r>
            <w:r w:rsidRPr="005B6E69">
              <w:rPr>
                <w:sz w:val="20"/>
                <w:lang w:val="en-US"/>
              </w:rPr>
              <w:t xml:space="preserve">‘guest mode’). </w:t>
            </w:r>
            <w:r w:rsidR="00CE2FC9" w:rsidRPr="005B6E69">
              <w:rPr>
                <w:sz w:val="20"/>
                <w:lang w:val="en-US"/>
              </w:rPr>
              <w:t>S</w:t>
            </w:r>
            <w:r w:rsidRPr="005B6E69">
              <w:rPr>
                <w:sz w:val="20"/>
                <w:lang w:val="en-US"/>
              </w:rPr>
              <w:t>ome users do not want to register and provide their</w:t>
            </w:r>
            <w:r w:rsidR="00CE2FC9" w:rsidRPr="005B6E69">
              <w:rPr>
                <w:sz w:val="20"/>
                <w:lang w:val="en-US"/>
              </w:rPr>
              <w:t xml:space="preserve"> personal data to play the game</w:t>
            </w:r>
            <w:r w:rsidRPr="005B6E69">
              <w:rPr>
                <w:sz w:val="20"/>
                <w:lang w:val="en-US"/>
              </w:rPr>
              <w:t>.</w:t>
            </w:r>
          </w:p>
        </w:tc>
      </w:tr>
      <w:tr w:rsidR="00CE2FC9" w:rsidRPr="0076574F" w14:paraId="71308EEB" w14:textId="77777777" w:rsidTr="007F0808">
        <w:tc>
          <w:tcPr>
            <w:tcW w:w="1531" w:type="dxa"/>
          </w:tcPr>
          <w:p w14:paraId="177C1728" w14:textId="2C43826E" w:rsidR="00CE2FC9" w:rsidRPr="005B6E69" w:rsidRDefault="00CE2FC9" w:rsidP="00E5382B">
            <w:pPr>
              <w:pStyle w:val="COWM2018BodyText"/>
              <w:ind w:firstLine="0"/>
              <w:rPr>
                <w:sz w:val="20"/>
                <w:lang w:val="en-US"/>
              </w:rPr>
            </w:pPr>
            <w:r w:rsidRPr="005B6E69">
              <w:rPr>
                <w:sz w:val="20"/>
                <w:lang w:val="en-US"/>
              </w:rPr>
              <w:t>Aesthetics</w:t>
            </w:r>
          </w:p>
        </w:tc>
        <w:tc>
          <w:tcPr>
            <w:tcW w:w="8311" w:type="dxa"/>
          </w:tcPr>
          <w:p w14:paraId="0E912476" w14:textId="42685B64" w:rsidR="00CE2FC9" w:rsidRPr="005B6E69" w:rsidRDefault="00CE2FC9" w:rsidP="00E5382B">
            <w:pPr>
              <w:pStyle w:val="COWM2018BodyText"/>
              <w:ind w:firstLine="0"/>
              <w:rPr>
                <w:sz w:val="20"/>
                <w:lang w:val="en-US"/>
              </w:rPr>
            </w:pPr>
            <w:proofErr w:type="spellStart"/>
            <w:r w:rsidRPr="005B6E69">
              <w:rPr>
                <w:sz w:val="20"/>
                <w:lang w:val="en-US"/>
              </w:rPr>
              <w:t>Bidimensional</w:t>
            </w:r>
            <w:proofErr w:type="spellEnd"/>
            <w:r w:rsidRPr="005B6E69">
              <w:rPr>
                <w:sz w:val="20"/>
                <w:lang w:val="en-US"/>
              </w:rPr>
              <w:t xml:space="preserve"> graphics, simple but still curated and polished, seem to be more suitable for cross-platform design and development strategies. A basic but effective graphics can contribute to the playability and enjoyment of the game. 3D elements can be used, but with flat rendering so as not to require high processing power from devices such as smartphones and tablets</w:t>
            </w:r>
            <w:r w:rsidR="00C24C61" w:rsidRPr="005B6E69">
              <w:rPr>
                <w:sz w:val="20"/>
                <w:lang w:val="en-US"/>
              </w:rPr>
              <w:t>.</w:t>
            </w:r>
          </w:p>
        </w:tc>
      </w:tr>
    </w:tbl>
    <w:p w14:paraId="7B7DEBF4" w14:textId="77777777" w:rsidR="00E5382B" w:rsidRPr="00E5382B" w:rsidRDefault="00E5382B" w:rsidP="00C24C61">
      <w:pPr>
        <w:pStyle w:val="COWM2018BodyText"/>
        <w:ind w:firstLine="0"/>
        <w:rPr>
          <w:lang w:val="en-US"/>
        </w:rPr>
      </w:pPr>
    </w:p>
    <w:p w14:paraId="65EDB33A" w14:textId="1D2D8A52" w:rsidR="001178E9" w:rsidRDefault="006F0EE0" w:rsidP="001178E9">
      <w:pPr>
        <w:pStyle w:val="COWM2018Section"/>
        <w:rPr>
          <w:lang w:val="en-US"/>
        </w:rPr>
      </w:pPr>
      <w:r>
        <w:rPr>
          <w:lang w:val="en-US"/>
        </w:rPr>
        <w:t xml:space="preserve">CONCLUDING </w:t>
      </w:r>
      <w:r w:rsidR="002F2FD4">
        <w:rPr>
          <w:lang w:val="en-US"/>
        </w:rPr>
        <w:t>REMARKS</w:t>
      </w:r>
    </w:p>
    <w:p w14:paraId="407F57CE" w14:textId="77777777" w:rsidR="00E808C5" w:rsidRDefault="00C24C61" w:rsidP="00976150">
      <w:pPr>
        <w:pStyle w:val="COWM2018BodyText"/>
        <w:rPr>
          <w:lang w:val="en-US"/>
        </w:rPr>
      </w:pPr>
      <w:r>
        <w:rPr>
          <w:lang w:val="en-US"/>
        </w:rPr>
        <w:t>Gamification strategies, such as the ones</w:t>
      </w:r>
      <w:r w:rsidR="00976150">
        <w:rPr>
          <w:lang w:val="en-US"/>
        </w:rPr>
        <w:t xml:space="preserve"> </w:t>
      </w:r>
      <w:r>
        <w:rPr>
          <w:lang w:val="en-US"/>
        </w:rPr>
        <w:t>presented in the Table 1, have the potential to support the engagement of broad audiences</w:t>
      </w:r>
      <w:r w:rsidR="00976150">
        <w:rPr>
          <w:lang w:val="en-US"/>
        </w:rPr>
        <w:t>.</w:t>
      </w:r>
      <w:r>
        <w:rPr>
          <w:lang w:val="en-US"/>
        </w:rPr>
        <w:t xml:space="preserve"> As such, we are currently using some of these gamification strategies in the Scent applications. </w:t>
      </w:r>
      <w:r w:rsidR="00E808C5">
        <w:rPr>
          <w:lang w:val="en-US"/>
        </w:rPr>
        <w:t xml:space="preserve">Figure 1 shows some features of a Scent application where the players are requested to explore some geographic areas and locate and capture some little monsters. While doing so, the players are also invited to take and annotate pictures in relation to </w:t>
      </w:r>
      <w:r w:rsidR="00E808C5" w:rsidRPr="00E808C5">
        <w:rPr>
          <w:lang w:val="en-US"/>
        </w:rPr>
        <w:t>land-cover use and changes</w:t>
      </w:r>
      <w:r w:rsidR="00E808C5">
        <w:rPr>
          <w:lang w:val="en-US"/>
        </w:rPr>
        <w:t>.</w:t>
      </w:r>
    </w:p>
    <w:p w14:paraId="49540CE2" w14:textId="77777777" w:rsidR="00E808C5" w:rsidRDefault="00E808C5" w:rsidP="00E808C5">
      <w:pPr>
        <w:pStyle w:val="COWM2018BodyText"/>
        <w:rPr>
          <w:lang w:val="en-US"/>
        </w:rPr>
      </w:pPr>
      <w:r>
        <w:rPr>
          <w:lang w:val="en-US"/>
        </w:rPr>
        <w:t xml:space="preserve">Gamification is a powerful tool, but it is also important to keep in mind that it has some limitations. </w:t>
      </w:r>
      <w:r w:rsidRPr="00E808C5">
        <w:rPr>
          <w:lang w:val="en-GB"/>
        </w:rPr>
        <w:t xml:space="preserve">Beside the many voices praising the potential of gamification and serious games, various authors and scholars have expressed quite critical positions in relation to gamification. The media studies scholars and game designer Ian </w:t>
      </w:r>
      <w:proofErr w:type="spellStart"/>
      <w:r w:rsidRPr="00E808C5">
        <w:rPr>
          <w:lang w:val="en-GB"/>
        </w:rPr>
        <w:t>Bogost</w:t>
      </w:r>
      <w:proofErr w:type="spellEnd"/>
      <w:r w:rsidRPr="00E808C5">
        <w:rPr>
          <w:lang w:val="en-GB"/>
        </w:rPr>
        <w:t xml:space="preserve"> states that “gamification is marketing bullshit” (</w:t>
      </w:r>
      <w:proofErr w:type="spellStart"/>
      <w:r w:rsidRPr="00E808C5">
        <w:rPr>
          <w:lang w:val="en-GB"/>
        </w:rPr>
        <w:t>Bogost</w:t>
      </w:r>
      <w:proofErr w:type="spellEnd"/>
      <w:r w:rsidRPr="00E808C5">
        <w:rPr>
          <w:lang w:val="en-GB"/>
        </w:rPr>
        <w:t xml:space="preserve">, 2011) as the concept and the application of it have been extremely oversimplified, at a point that the complex dynamics behind the creation of a successful game have been reduced to the mere use of game properties such as points or levels. Similarly, </w:t>
      </w:r>
      <w:proofErr w:type="spellStart"/>
      <w:r w:rsidRPr="00E808C5">
        <w:rPr>
          <w:lang w:val="en-GB"/>
        </w:rPr>
        <w:t>Werbach</w:t>
      </w:r>
      <w:proofErr w:type="spellEnd"/>
      <w:r w:rsidRPr="00E808C5">
        <w:rPr>
          <w:lang w:val="en-GB"/>
        </w:rPr>
        <w:t xml:space="preserve"> and Hunter (2012) state that many gamified systems fail due to poor design and the uncritical application of easy gamification-based fixes. In a quite vocal way, Chang (2012) states that gamification as applied to many current projects is a techno-utopian fantasy. </w:t>
      </w:r>
      <w:proofErr w:type="spellStart"/>
      <w:r w:rsidRPr="00E808C5">
        <w:rPr>
          <w:lang w:val="en-GB"/>
        </w:rPr>
        <w:t>Antin</w:t>
      </w:r>
      <w:proofErr w:type="spellEnd"/>
      <w:r w:rsidRPr="00E808C5">
        <w:rPr>
          <w:lang w:val="en-GB"/>
        </w:rPr>
        <w:t xml:space="preserve"> (2012) posits that it is not really elements such as the uncritical use of points that drive engagement, but rather social factors such as self-efficacy, community and peer approval that reward users. </w:t>
      </w:r>
      <w:r>
        <w:rPr>
          <w:lang w:val="en-US"/>
        </w:rPr>
        <w:t xml:space="preserve"> </w:t>
      </w:r>
    </w:p>
    <w:p w14:paraId="07190AD3" w14:textId="05C4B13B" w:rsidR="00E808C5" w:rsidRDefault="00E808C5" w:rsidP="00E808C5">
      <w:pPr>
        <w:pStyle w:val="COWM2018BodyText"/>
        <w:rPr>
          <w:lang w:val="en-US"/>
        </w:rPr>
      </w:pPr>
      <w:r>
        <w:rPr>
          <w:lang w:val="en-US"/>
        </w:rPr>
        <w:t xml:space="preserve">This final point is particularly important in relation to citizen observatories. It is the case that </w:t>
      </w:r>
      <w:r w:rsidR="005B6E69">
        <w:rPr>
          <w:lang w:val="en-US"/>
        </w:rPr>
        <w:t>several</w:t>
      </w:r>
      <w:r>
        <w:rPr>
          <w:lang w:val="en-US"/>
        </w:rPr>
        <w:t xml:space="preserve"> citizen observatories precisely ask the users or the citizens to perform actions that can have an effective impact on the real world. This can support self-efficacy and dynamics of community building and peer approval. Our final consideration is, therefore, to make use of gamification strategies such as the ones we presented in this paper, but to keep in mind that gamification </w:t>
      </w:r>
      <w:r w:rsidR="005B6E69">
        <w:rPr>
          <w:lang w:val="en-US"/>
        </w:rPr>
        <w:t>is not a panacea that can be uncritically applied and fix any project, but that it must be coherently intertwined with a broad engagement strategy where the citizens can fully appreciate the positive impact provided by their support.</w:t>
      </w:r>
    </w:p>
    <w:p w14:paraId="662BF17A" w14:textId="77777777" w:rsidR="00685F17" w:rsidRDefault="00685F17" w:rsidP="00E808C5">
      <w:pPr>
        <w:pStyle w:val="COWM2018BodyText"/>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840"/>
      </w:tblGrid>
      <w:tr w:rsidR="000A2850" w14:paraId="7A05C489" w14:textId="77777777" w:rsidTr="00685F17">
        <w:tc>
          <w:tcPr>
            <w:tcW w:w="5961" w:type="dxa"/>
          </w:tcPr>
          <w:p w14:paraId="23580082" w14:textId="421D7F04" w:rsidR="00685F17" w:rsidRDefault="00685F17" w:rsidP="00E808C5">
            <w:pPr>
              <w:pStyle w:val="COWM2018BodyText"/>
              <w:ind w:firstLine="0"/>
              <w:rPr>
                <w:lang w:val="en-GB"/>
              </w:rPr>
            </w:pPr>
            <w:r>
              <w:rPr>
                <w:noProof/>
                <w:lang w:val="en-GB" w:eastAsia="en-GB"/>
              </w:rPr>
              <w:lastRenderedPageBreak/>
              <w:drawing>
                <wp:inline distT="0" distB="0" distL="0" distR="0" wp14:anchorId="009E93F9" wp14:editId="0BBBB1CD">
                  <wp:extent cx="2988194" cy="1686523"/>
                  <wp:effectExtent l="0" t="0" r="0" b="0"/>
                  <wp:docPr id="2" name="Picture 2" descr="../../../../../Downloads/schermat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schermata_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94327" cy="1746424"/>
                          </a:xfrm>
                          <a:prstGeom prst="rect">
                            <a:avLst/>
                          </a:prstGeom>
                          <a:noFill/>
                          <a:ln>
                            <a:noFill/>
                          </a:ln>
                        </pic:spPr>
                      </pic:pic>
                    </a:graphicData>
                  </a:graphic>
                </wp:inline>
              </w:drawing>
            </w:r>
          </w:p>
        </w:tc>
        <w:tc>
          <w:tcPr>
            <w:tcW w:w="3881" w:type="dxa"/>
          </w:tcPr>
          <w:p w14:paraId="021851C6" w14:textId="249FF51B" w:rsidR="00685F17" w:rsidRDefault="000A2850" w:rsidP="00E808C5">
            <w:pPr>
              <w:pStyle w:val="COWM2018BodyText"/>
              <w:ind w:firstLine="0"/>
              <w:rPr>
                <w:lang w:val="en-GB"/>
              </w:rPr>
            </w:pPr>
            <w:r>
              <w:rPr>
                <w:noProof/>
                <w:lang w:val="en-GB" w:eastAsia="en-GB"/>
              </w:rPr>
              <w:drawing>
                <wp:inline distT="0" distB="0" distL="0" distR="0" wp14:anchorId="4A19524C" wp14:editId="44A28612">
                  <wp:extent cx="3022634" cy="1693329"/>
                  <wp:effectExtent l="0" t="0" r="0" b="0"/>
                  <wp:docPr id="4" name="Picture 4" descr="../../../../../Desktop/schermat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hermata_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14956" cy="1801071"/>
                          </a:xfrm>
                          <a:prstGeom prst="rect">
                            <a:avLst/>
                          </a:prstGeom>
                          <a:noFill/>
                          <a:ln>
                            <a:noFill/>
                          </a:ln>
                        </pic:spPr>
                      </pic:pic>
                    </a:graphicData>
                  </a:graphic>
                </wp:inline>
              </w:drawing>
            </w:r>
          </w:p>
        </w:tc>
      </w:tr>
    </w:tbl>
    <w:p w14:paraId="64A73A50" w14:textId="5E634EA5" w:rsidR="001178E9" w:rsidRPr="00685F17" w:rsidRDefault="001178E9" w:rsidP="00685F17">
      <w:pPr>
        <w:pStyle w:val="Caption"/>
        <w:rPr>
          <w:lang w:val="en-US"/>
        </w:rPr>
      </w:pPr>
      <w:r w:rsidRPr="008E49D3">
        <w:rPr>
          <w:lang w:val="en-US"/>
        </w:rPr>
        <w:t xml:space="preserve">Figure </w:t>
      </w:r>
      <w:r w:rsidR="00711B44">
        <w:fldChar w:fldCharType="begin"/>
      </w:r>
      <w:r w:rsidRPr="008E49D3">
        <w:rPr>
          <w:lang w:val="en-US"/>
        </w:rPr>
        <w:instrText xml:space="preserve"> SEQ Figure \* ARABIC </w:instrText>
      </w:r>
      <w:r w:rsidR="00711B44">
        <w:fldChar w:fldCharType="separate"/>
      </w:r>
      <w:r w:rsidRPr="008E49D3">
        <w:rPr>
          <w:noProof/>
          <w:lang w:val="en-US"/>
        </w:rPr>
        <w:t>1</w:t>
      </w:r>
      <w:r w:rsidR="00711B44">
        <w:fldChar w:fldCharType="end"/>
      </w:r>
      <w:r w:rsidRPr="008E49D3">
        <w:rPr>
          <w:lang w:val="en-US"/>
        </w:rPr>
        <w:t xml:space="preserve">. </w:t>
      </w:r>
      <w:r w:rsidR="00685F17">
        <w:rPr>
          <w:b w:val="0"/>
          <w:spacing w:val="4"/>
          <w:lang w:val="en-US"/>
        </w:rPr>
        <w:t>Scent Explore: the player explores a geographic area, locates some little monsters, takes and annotates pictures and thus increases her score.</w:t>
      </w:r>
    </w:p>
    <w:p w14:paraId="7E74F75C" w14:textId="77777777" w:rsidR="001178E9" w:rsidRPr="001178E9" w:rsidRDefault="001178E9" w:rsidP="001178E9">
      <w:pPr>
        <w:pStyle w:val="COWM2018TitleBibliography"/>
        <w:rPr>
          <w:lang w:val="en-US"/>
        </w:rPr>
      </w:pPr>
      <w:r w:rsidRPr="001178E9">
        <w:rPr>
          <w:lang w:val="en-US"/>
        </w:rPr>
        <w:t>References</w:t>
      </w:r>
    </w:p>
    <w:p w14:paraId="331A28D3" w14:textId="23A2BA81" w:rsidR="005B6E69" w:rsidRPr="005B6E69" w:rsidRDefault="005B6E69" w:rsidP="005B6E69">
      <w:pPr>
        <w:pStyle w:val="Reference"/>
        <w:ind w:left="284" w:hanging="284"/>
      </w:pPr>
      <w:r>
        <w:t xml:space="preserve">J. </w:t>
      </w:r>
      <w:proofErr w:type="spellStart"/>
      <w:proofErr w:type="gramStart"/>
      <w:r>
        <w:t>Antin</w:t>
      </w:r>
      <w:proofErr w:type="spellEnd"/>
      <w:r>
        <w:t xml:space="preserve"> </w:t>
      </w:r>
      <w:r w:rsidRPr="005B6E69">
        <w:t xml:space="preserve"> (</w:t>
      </w:r>
      <w:proofErr w:type="gramEnd"/>
      <w:r w:rsidRPr="005B6E69">
        <w:t xml:space="preserve">2012), Gamification is not a dirty word. </w:t>
      </w:r>
      <w:r w:rsidRPr="005B6E69">
        <w:rPr>
          <w:i/>
        </w:rPr>
        <w:t>Interactions</w:t>
      </w:r>
      <w:r w:rsidR="00C21E9D">
        <w:rPr>
          <w:i/>
        </w:rPr>
        <w:t>,</w:t>
      </w:r>
      <w:r w:rsidRPr="005B6E69">
        <w:t xml:space="preserve"> 19, 14</w:t>
      </w:r>
      <w:r>
        <w:t>.</w:t>
      </w:r>
    </w:p>
    <w:p w14:paraId="327FADDF" w14:textId="7267BBAE" w:rsidR="005B6E69" w:rsidRDefault="005B6E69" w:rsidP="005B6E69">
      <w:pPr>
        <w:pStyle w:val="Reference"/>
        <w:ind w:left="284" w:hanging="284"/>
      </w:pPr>
      <w:r>
        <w:t xml:space="preserve">I. </w:t>
      </w:r>
      <w:proofErr w:type="spellStart"/>
      <w:r>
        <w:t>Bogost</w:t>
      </w:r>
      <w:proofErr w:type="spellEnd"/>
      <w:r>
        <w:t xml:space="preserve"> </w:t>
      </w:r>
      <w:r w:rsidRPr="005B6E69">
        <w:t xml:space="preserve">(2011), </w:t>
      </w:r>
      <w:r w:rsidRPr="005B6E69">
        <w:rPr>
          <w:i/>
        </w:rPr>
        <w:t>Gamification is Bullshit</w:t>
      </w:r>
      <w:r w:rsidRPr="005B6E69">
        <w:t xml:space="preserve">. Available from </w:t>
      </w:r>
      <w:hyperlink r:id="rId17">
        <w:r w:rsidRPr="005B6E69">
          <w:rPr>
            <w:rStyle w:val="Hyperlink"/>
          </w:rPr>
          <w:t>http://www.bogost.com/blog/gamification_is_bullshit.shtml</w:t>
        </w:r>
      </w:hyperlink>
    </w:p>
    <w:p w14:paraId="0843C413" w14:textId="3D1FBC00" w:rsidR="005B6E69" w:rsidRPr="005B6E69" w:rsidRDefault="005B6E69" w:rsidP="005B6E69">
      <w:pPr>
        <w:pStyle w:val="Reference"/>
        <w:ind w:left="284" w:hanging="284"/>
      </w:pPr>
      <w:r>
        <w:t>E. Y. Chang</w:t>
      </w:r>
      <w:r w:rsidRPr="005B6E69">
        <w:t xml:space="preserve"> (2012), </w:t>
      </w:r>
      <w:proofErr w:type="spellStart"/>
      <w:r w:rsidRPr="005B6E69">
        <w:rPr>
          <w:i/>
        </w:rPr>
        <w:t>Technoqueer</w:t>
      </w:r>
      <w:proofErr w:type="spellEnd"/>
      <w:r w:rsidRPr="005B6E69">
        <w:rPr>
          <w:i/>
        </w:rPr>
        <w:t xml:space="preserve">: Re/Con/Figuring </w:t>
      </w:r>
      <w:proofErr w:type="spellStart"/>
      <w:r w:rsidRPr="005B6E69">
        <w:rPr>
          <w:i/>
        </w:rPr>
        <w:t>Posthuman</w:t>
      </w:r>
      <w:proofErr w:type="spellEnd"/>
      <w:r w:rsidRPr="005B6E69">
        <w:rPr>
          <w:i/>
        </w:rPr>
        <w:t xml:space="preserve"> Narratives</w:t>
      </w:r>
      <w:r>
        <w:rPr>
          <w:i/>
        </w:rPr>
        <w:t>,</w:t>
      </w:r>
      <w:r>
        <w:t xml:space="preserve"> Ph.D.</w:t>
      </w:r>
      <w:r w:rsidRPr="005B6E69">
        <w:t xml:space="preserve"> Dissertation, University of Washington</w:t>
      </w:r>
      <w:r>
        <w:t>.</w:t>
      </w:r>
    </w:p>
    <w:p w14:paraId="54172E1C" w14:textId="1EA77778" w:rsidR="00976150" w:rsidRDefault="00976150" w:rsidP="00976150">
      <w:pPr>
        <w:pStyle w:val="Reference"/>
        <w:ind w:left="284" w:hanging="284"/>
      </w:pPr>
      <w:r w:rsidRPr="00976150">
        <w:t>Y-K.</w:t>
      </w:r>
      <w:r>
        <w:t xml:space="preserve"> Chou</w:t>
      </w:r>
      <w:r w:rsidRPr="00976150">
        <w:t xml:space="preserve"> (2015), </w:t>
      </w:r>
      <w:r w:rsidRPr="00976150">
        <w:rPr>
          <w:i/>
        </w:rPr>
        <w:t xml:space="preserve">Actionable Gamification - Beyond Points, Badges, and </w:t>
      </w:r>
      <w:proofErr w:type="spellStart"/>
      <w:r w:rsidRPr="00976150">
        <w:rPr>
          <w:i/>
        </w:rPr>
        <w:t>Leaderboards</w:t>
      </w:r>
      <w:proofErr w:type="spellEnd"/>
      <w:r w:rsidRPr="00976150">
        <w:t xml:space="preserve">, </w:t>
      </w:r>
      <w:proofErr w:type="spellStart"/>
      <w:r w:rsidRPr="00976150">
        <w:t>Octalysis</w:t>
      </w:r>
      <w:proofErr w:type="spellEnd"/>
      <w:r w:rsidRPr="00976150">
        <w:t xml:space="preserve"> Media</w:t>
      </w:r>
      <w:r w:rsidR="00F30073">
        <w:t>.</w:t>
      </w:r>
    </w:p>
    <w:p w14:paraId="76C27FA3" w14:textId="1C4B0457" w:rsidR="00F30073" w:rsidRDefault="00F30073" w:rsidP="00AB1DF7">
      <w:pPr>
        <w:pStyle w:val="Reference"/>
        <w:ind w:left="284" w:hanging="284"/>
      </w:pPr>
      <w:r>
        <w:t>S.</w:t>
      </w:r>
      <w:r w:rsidRPr="00F30073">
        <w:t xml:space="preserve"> </w:t>
      </w:r>
      <w:proofErr w:type="spellStart"/>
      <w:r w:rsidRPr="00F30073">
        <w:t>Deterding</w:t>
      </w:r>
      <w:proofErr w:type="spellEnd"/>
      <w:r>
        <w:t xml:space="preserve">, </w:t>
      </w:r>
      <w:r w:rsidRPr="00F30073">
        <w:t>R</w:t>
      </w:r>
      <w:r>
        <w:t>.</w:t>
      </w:r>
      <w:r w:rsidRPr="00F30073">
        <w:t xml:space="preserve"> Khaled</w:t>
      </w:r>
      <w:r>
        <w:t xml:space="preserve">, </w:t>
      </w:r>
      <w:r w:rsidRPr="00F30073">
        <w:t>L</w:t>
      </w:r>
      <w:r>
        <w:t>.</w:t>
      </w:r>
      <w:r w:rsidRPr="00F30073">
        <w:t xml:space="preserve"> </w:t>
      </w:r>
      <w:proofErr w:type="spellStart"/>
      <w:r w:rsidRPr="00F30073">
        <w:t>Nacke</w:t>
      </w:r>
      <w:proofErr w:type="spellEnd"/>
      <w:r w:rsidR="00AB1DF7">
        <w:t xml:space="preserve">, </w:t>
      </w:r>
      <w:r w:rsidR="00AB1DF7" w:rsidRPr="00AB1DF7">
        <w:t xml:space="preserve">D. Dixon </w:t>
      </w:r>
      <w:r>
        <w:t>(201</w:t>
      </w:r>
      <w:r w:rsidR="00AB1DF7">
        <w:t>1</w:t>
      </w:r>
      <w:r>
        <w:t xml:space="preserve">), </w:t>
      </w:r>
      <w:r w:rsidR="00AB1DF7" w:rsidRPr="00AB1DF7">
        <w:rPr>
          <w:i/>
        </w:rPr>
        <w:t>Gamification: Toward a Definition</w:t>
      </w:r>
      <w:r>
        <w:t xml:space="preserve">, in </w:t>
      </w:r>
      <w:r w:rsidRPr="00F30073">
        <w:t xml:space="preserve">Proceedings of </w:t>
      </w:r>
      <w:r w:rsidR="00AB1DF7">
        <w:t>CHI2011, A</w:t>
      </w:r>
      <w:r w:rsidR="00AB1DF7" w:rsidRPr="00AB1DF7">
        <w:t>CM  978-1-4503-0268-5/11/05</w:t>
      </w:r>
      <w:r w:rsidR="00AB1DF7">
        <w:t>.</w:t>
      </w:r>
    </w:p>
    <w:p w14:paraId="66FDD243" w14:textId="22CA0D19" w:rsidR="00976150" w:rsidRPr="00976150" w:rsidRDefault="00976150" w:rsidP="00976150">
      <w:pPr>
        <w:pStyle w:val="Reference"/>
        <w:ind w:left="284" w:hanging="284"/>
      </w:pPr>
      <w:r>
        <w:t xml:space="preserve">F. </w:t>
      </w:r>
      <w:r w:rsidRPr="00976150">
        <w:t>Groh (2012), Gamification: State of the Art Definition and Utilization</w:t>
      </w:r>
      <w:r w:rsidR="00F30073">
        <w:t>,</w:t>
      </w:r>
      <w:r w:rsidRPr="00976150">
        <w:t xml:space="preserve"> </w:t>
      </w:r>
      <w:r w:rsidR="00F30073">
        <w:t>i</w:t>
      </w:r>
      <w:r w:rsidRPr="00976150">
        <w:t xml:space="preserve">n </w:t>
      </w:r>
      <w:r w:rsidRPr="00976150">
        <w:rPr>
          <w:i/>
        </w:rPr>
        <w:t>Proceedings of the 4th seminar on Research Trends in Media Informatics</w:t>
      </w:r>
      <w:r w:rsidRPr="00976150">
        <w:t>, 39-46</w:t>
      </w:r>
      <w:r>
        <w:t>.</w:t>
      </w:r>
    </w:p>
    <w:p w14:paraId="745FE318" w14:textId="2A0D818C" w:rsidR="00976150" w:rsidRDefault="00976150" w:rsidP="00976150">
      <w:pPr>
        <w:pStyle w:val="Reference"/>
        <w:ind w:left="284" w:hanging="284"/>
      </w:pPr>
      <w:r>
        <w:t xml:space="preserve">J. </w:t>
      </w:r>
      <w:proofErr w:type="spellStart"/>
      <w:r>
        <w:t>Hamari</w:t>
      </w:r>
      <w:proofErr w:type="spellEnd"/>
      <w:r w:rsidRPr="00976150">
        <w:t xml:space="preserve"> (2013), Transforming homo </w:t>
      </w:r>
      <w:proofErr w:type="spellStart"/>
      <w:r w:rsidRPr="00976150">
        <w:t>economicus</w:t>
      </w:r>
      <w:proofErr w:type="spellEnd"/>
      <w:r w:rsidRPr="00976150">
        <w:t xml:space="preserve"> into homo </w:t>
      </w:r>
      <w:proofErr w:type="spellStart"/>
      <w:r w:rsidRPr="00976150">
        <w:t>ludens</w:t>
      </w:r>
      <w:proofErr w:type="spellEnd"/>
      <w:r w:rsidRPr="00976150">
        <w:t xml:space="preserve">: A field experiment on gamification in a utilitarian peer-to-peer trading service. </w:t>
      </w:r>
      <w:r w:rsidRPr="00976150">
        <w:rPr>
          <w:i/>
        </w:rPr>
        <w:t>Electronic Commerce Research and Applications</w:t>
      </w:r>
      <w:r w:rsidRPr="00976150">
        <w:t xml:space="preserve">, 12. </w:t>
      </w:r>
    </w:p>
    <w:p w14:paraId="100DA94A" w14:textId="1E8A3C0F" w:rsidR="00976150" w:rsidRDefault="00976150" w:rsidP="00976150">
      <w:pPr>
        <w:pStyle w:val="Reference"/>
      </w:pPr>
      <w:r w:rsidRPr="00976150">
        <w:t xml:space="preserve">R. </w:t>
      </w:r>
      <w:proofErr w:type="spellStart"/>
      <w:r w:rsidRPr="00976150">
        <w:t>Koster</w:t>
      </w:r>
      <w:proofErr w:type="spellEnd"/>
      <w:r>
        <w:t xml:space="preserve"> (2005),</w:t>
      </w:r>
      <w:r w:rsidRPr="00976150">
        <w:t xml:space="preserve"> </w:t>
      </w:r>
      <w:r w:rsidRPr="00976150">
        <w:rPr>
          <w:i/>
        </w:rPr>
        <w:t>A theory of fun for game design</w:t>
      </w:r>
      <w:r>
        <w:t>,</w:t>
      </w:r>
      <w:r w:rsidRPr="00976150">
        <w:t xml:space="preserve"> </w:t>
      </w:r>
      <w:proofErr w:type="spellStart"/>
      <w:r w:rsidRPr="00976150">
        <w:t>Paraglyph</w:t>
      </w:r>
      <w:proofErr w:type="spellEnd"/>
      <w:r w:rsidRPr="00976150">
        <w:t xml:space="preserve"> Press</w:t>
      </w:r>
      <w:r>
        <w:t>.</w:t>
      </w:r>
    </w:p>
    <w:p w14:paraId="20BEB042" w14:textId="1DFA6C7F" w:rsidR="00976150" w:rsidRDefault="00976150" w:rsidP="009A29C9">
      <w:pPr>
        <w:pStyle w:val="Reference"/>
        <w:ind w:left="284" w:hanging="284"/>
      </w:pPr>
      <w:r>
        <w:t xml:space="preserve">J.J. </w:t>
      </w:r>
      <w:r w:rsidRPr="00976150">
        <w:t>Lee, J.J.</w:t>
      </w:r>
      <w:r>
        <w:t xml:space="preserve"> and</w:t>
      </w:r>
      <w:r w:rsidRPr="00976150">
        <w:t xml:space="preserve"> </w:t>
      </w:r>
      <w:r>
        <w:t xml:space="preserve">J. </w:t>
      </w:r>
      <w:r w:rsidRPr="00976150">
        <w:t>Hammer (2011), Gamification in ed</w:t>
      </w:r>
      <w:r>
        <w:t>ucation: what, how, why bother?</w:t>
      </w:r>
      <w:r w:rsidRPr="00976150">
        <w:t xml:space="preserve"> </w:t>
      </w:r>
      <w:r w:rsidRPr="009A29C9">
        <w:rPr>
          <w:i/>
        </w:rPr>
        <w:t>Academic Exchange Quarterly</w:t>
      </w:r>
      <w:r w:rsidRPr="00976150">
        <w:t>, 15(2)</w:t>
      </w:r>
      <w:r>
        <w:t>.</w:t>
      </w:r>
    </w:p>
    <w:p w14:paraId="5F3B70AC" w14:textId="39F33207" w:rsidR="007F1301" w:rsidRPr="00976150" w:rsidRDefault="007F1301" w:rsidP="009A29C9">
      <w:pPr>
        <w:pStyle w:val="Reference"/>
        <w:ind w:left="284" w:hanging="284"/>
      </w:pPr>
      <w:r w:rsidRPr="007F1301">
        <w:t xml:space="preserve">Y. </w:t>
      </w:r>
      <w:proofErr w:type="spellStart"/>
      <w:r w:rsidRPr="007F1301">
        <w:t>Levtov</w:t>
      </w:r>
      <w:proofErr w:type="spellEnd"/>
      <w:r w:rsidRPr="007F1301">
        <w:t xml:space="preserve">, L. </w:t>
      </w:r>
      <w:proofErr w:type="spellStart"/>
      <w:r w:rsidRPr="007F1301">
        <w:t>Picinali</w:t>
      </w:r>
      <w:proofErr w:type="spellEnd"/>
      <w:r w:rsidRPr="007F1301">
        <w:t xml:space="preserve">, M. </w:t>
      </w:r>
      <w:proofErr w:type="spellStart"/>
      <w:r w:rsidRPr="007F1301">
        <w:t>D'Cruz</w:t>
      </w:r>
      <w:proofErr w:type="spellEnd"/>
      <w:r w:rsidRPr="007F1301">
        <w:t>, L. Simeone (2016), 3D Tune-In: The Use of 3D Sound and Gamification to Aid Better Adoption of Hearing Aid Technologies</w:t>
      </w:r>
      <w:r>
        <w:t xml:space="preserve">, </w:t>
      </w:r>
      <w:r w:rsidRPr="009A29C9">
        <w:rPr>
          <w:i/>
        </w:rPr>
        <w:t>Audio Engineering Society Convention</w:t>
      </w:r>
      <w:r>
        <w:t>,</w:t>
      </w:r>
      <w:r w:rsidRPr="007F1301">
        <w:t xml:space="preserve"> 140</w:t>
      </w:r>
      <w:r>
        <w:t xml:space="preserve">, </w:t>
      </w:r>
      <w:r w:rsidRPr="007F1301">
        <w:t>http://www.aes.org/e-lib/browse.cfm?elib=18172</w:t>
      </w:r>
      <w:r>
        <w:t>.</w:t>
      </w:r>
    </w:p>
    <w:p w14:paraId="597C8DDC" w14:textId="6C1DC2CD" w:rsidR="00976150" w:rsidRDefault="00976150" w:rsidP="00976150">
      <w:pPr>
        <w:pStyle w:val="Reference"/>
        <w:ind w:left="284" w:hanging="284"/>
      </w:pPr>
      <w:r>
        <w:t xml:space="preserve">J. </w:t>
      </w:r>
      <w:proofErr w:type="spellStart"/>
      <w:r w:rsidRPr="00976150">
        <w:t>McGonigal</w:t>
      </w:r>
      <w:proofErr w:type="spellEnd"/>
      <w:r>
        <w:t xml:space="preserve"> </w:t>
      </w:r>
      <w:r w:rsidRPr="00976150">
        <w:t xml:space="preserve">(2011), </w:t>
      </w:r>
      <w:r w:rsidRPr="00976150">
        <w:rPr>
          <w:i/>
        </w:rPr>
        <w:t>Reality is broken why games make us better and how they can change the world</w:t>
      </w:r>
      <w:r w:rsidRPr="00976150">
        <w:t>, Penguin Press</w:t>
      </w:r>
      <w:r>
        <w:t>.</w:t>
      </w:r>
    </w:p>
    <w:p w14:paraId="35B3C393" w14:textId="018EC595" w:rsidR="00FE2E30" w:rsidRPr="00976150" w:rsidRDefault="00FE2E30" w:rsidP="00FE2E30">
      <w:pPr>
        <w:pStyle w:val="Reference"/>
        <w:ind w:left="284" w:hanging="284"/>
      </w:pPr>
      <w:r>
        <w:t xml:space="preserve">D. </w:t>
      </w:r>
      <w:proofErr w:type="spellStart"/>
      <w:r>
        <w:t>Rotman</w:t>
      </w:r>
      <w:proofErr w:type="spellEnd"/>
      <w:r>
        <w:t>,</w:t>
      </w:r>
      <w:r w:rsidRPr="00FE2E30">
        <w:t xml:space="preserve"> </w:t>
      </w:r>
      <w:r>
        <w:t xml:space="preserve">J. Hammock, J. </w:t>
      </w:r>
      <w:proofErr w:type="spellStart"/>
      <w:r>
        <w:t>Preece</w:t>
      </w:r>
      <w:proofErr w:type="spellEnd"/>
      <w:r>
        <w:t>,</w:t>
      </w:r>
      <w:r w:rsidRPr="00FE2E30">
        <w:t xml:space="preserve"> </w:t>
      </w:r>
      <w:r>
        <w:t xml:space="preserve">D. </w:t>
      </w:r>
      <w:r w:rsidRPr="00FE2E30">
        <w:t xml:space="preserve">Hansen, </w:t>
      </w:r>
      <w:r>
        <w:t>C. Boston, A. Bowser, and Y.</w:t>
      </w:r>
      <w:r w:rsidRPr="00FE2E30">
        <w:t xml:space="preserve"> He (2014)</w:t>
      </w:r>
      <w:r w:rsidR="00A77EC4">
        <w:t>,</w:t>
      </w:r>
      <w:r w:rsidRPr="00FE2E30">
        <w:t xml:space="preserve"> Motivations Affecting Initial and Long-Term Participation in Citizen Scie</w:t>
      </w:r>
      <w:r>
        <w:t>nce Projects in Three Countries,</w:t>
      </w:r>
      <w:r w:rsidRPr="00FE2E30">
        <w:t xml:space="preserve"> </w:t>
      </w:r>
      <w:r>
        <w:t xml:space="preserve">in </w:t>
      </w:r>
      <w:proofErr w:type="spellStart"/>
      <w:r w:rsidRPr="00FE2E30">
        <w:rPr>
          <w:i/>
        </w:rPr>
        <w:t>iConference</w:t>
      </w:r>
      <w:proofErr w:type="spellEnd"/>
      <w:r w:rsidRPr="00FE2E30">
        <w:rPr>
          <w:i/>
        </w:rPr>
        <w:t xml:space="preserve"> 2014 Proceedings</w:t>
      </w:r>
      <w:r>
        <w:t>, 110-124</w:t>
      </w:r>
      <w:r w:rsidRPr="00FE2E30">
        <w:t xml:space="preserve">. </w:t>
      </w:r>
    </w:p>
    <w:p w14:paraId="08025E4C" w14:textId="4CC71F6B" w:rsidR="00976150" w:rsidRDefault="00976150" w:rsidP="00976150">
      <w:pPr>
        <w:pStyle w:val="Reference"/>
        <w:ind w:left="284" w:hanging="284"/>
      </w:pPr>
      <w:r>
        <w:t>J. Schell</w:t>
      </w:r>
      <w:r w:rsidRPr="00976150">
        <w:t xml:space="preserve"> (2008), </w:t>
      </w:r>
      <w:r w:rsidRPr="00976150">
        <w:rPr>
          <w:i/>
        </w:rPr>
        <w:t>The Art of Game Design</w:t>
      </w:r>
      <w:r w:rsidRPr="00976150">
        <w:t>, Morgan Kaufmann</w:t>
      </w:r>
      <w:r>
        <w:t>.</w:t>
      </w:r>
    </w:p>
    <w:p w14:paraId="46689264" w14:textId="48BB4FC3" w:rsidR="009D4F97" w:rsidRDefault="009D4F97" w:rsidP="009D4F97">
      <w:pPr>
        <w:pStyle w:val="Reference"/>
        <w:ind w:left="284" w:hanging="284"/>
      </w:pPr>
      <w:r>
        <w:t xml:space="preserve">L. </w:t>
      </w:r>
      <w:r w:rsidRPr="009D4F97">
        <w:t xml:space="preserve">Simeone, </w:t>
      </w:r>
      <w:r>
        <w:t xml:space="preserve">G. </w:t>
      </w:r>
      <w:proofErr w:type="spellStart"/>
      <w:r>
        <w:t>Secundo</w:t>
      </w:r>
      <w:proofErr w:type="spellEnd"/>
      <w:r>
        <w:t xml:space="preserve">, G. </w:t>
      </w:r>
      <w:proofErr w:type="spellStart"/>
      <w:r>
        <w:t>Schiuma</w:t>
      </w:r>
      <w:proofErr w:type="spellEnd"/>
      <w:r>
        <w:t xml:space="preserve"> </w:t>
      </w:r>
      <w:r w:rsidRPr="009D4F97">
        <w:t>(2017</w:t>
      </w:r>
      <w:r w:rsidR="00A472BF">
        <w:t>a</w:t>
      </w:r>
      <w:r w:rsidRPr="009D4F97">
        <w:t>)</w:t>
      </w:r>
      <w:r>
        <w:t>,</w:t>
      </w:r>
      <w:r w:rsidRPr="009D4F97">
        <w:t xml:space="preserve"> Knowledge translation mechanisms in open innovation: the role of design in R&amp;D projects. </w:t>
      </w:r>
      <w:r w:rsidRPr="009D4F97">
        <w:rPr>
          <w:i/>
          <w:iCs/>
        </w:rPr>
        <w:t>Journal of Knowledge Management</w:t>
      </w:r>
      <w:r>
        <w:t xml:space="preserve">, </w:t>
      </w:r>
      <w:r w:rsidRPr="009D4F97">
        <w:t xml:space="preserve">21, </w:t>
      </w:r>
      <w:r>
        <w:t xml:space="preserve">6, </w:t>
      </w:r>
      <w:r w:rsidRPr="009D4F97">
        <w:t>1406-1429</w:t>
      </w:r>
      <w:r>
        <w:t>.</w:t>
      </w:r>
    </w:p>
    <w:p w14:paraId="512EC67B" w14:textId="57AB47D5" w:rsidR="00A472BF" w:rsidRDefault="00A472BF" w:rsidP="00A472BF">
      <w:pPr>
        <w:pStyle w:val="Reference"/>
        <w:ind w:left="284" w:hanging="284"/>
      </w:pPr>
      <w:r>
        <w:t xml:space="preserve">L. </w:t>
      </w:r>
      <w:r w:rsidRPr="009D4F97">
        <w:t xml:space="preserve">Simeone, </w:t>
      </w:r>
      <w:r>
        <w:t xml:space="preserve">G. </w:t>
      </w:r>
      <w:proofErr w:type="spellStart"/>
      <w:r>
        <w:t>Secundo</w:t>
      </w:r>
      <w:proofErr w:type="spellEnd"/>
      <w:r>
        <w:t xml:space="preserve">, G. </w:t>
      </w:r>
      <w:r w:rsidRPr="00A472BF">
        <w:t>(2017</w:t>
      </w:r>
      <w:r>
        <w:t>b</w:t>
      </w:r>
      <w:r w:rsidRPr="00A472BF">
        <w:t>)</w:t>
      </w:r>
      <w:r>
        <w:t>,</w:t>
      </w:r>
      <w:r w:rsidRPr="00A472BF">
        <w:t xml:space="preserve"> Adopting a design approach to translate needs and interests of stakeholders in academic entrepreneurship: The MIT </w:t>
      </w:r>
      <w:proofErr w:type="spellStart"/>
      <w:r w:rsidRPr="00A472BF">
        <w:t>Senseable</w:t>
      </w:r>
      <w:proofErr w:type="spellEnd"/>
      <w:r w:rsidRPr="00A472BF">
        <w:t xml:space="preserve"> City Lab case. </w:t>
      </w:r>
      <w:proofErr w:type="spellStart"/>
      <w:r w:rsidRPr="00A472BF">
        <w:rPr>
          <w:i/>
          <w:iCs/>
        </w:rPr>
        <w:t>Technovation</w:t>
      </w:r>
      <w:proofErr w:type="spellEnd"/>
      <w:r>
        <w:t>, 64,</w:t>
      </w:r>
      <w:r w:rsidRPr="00A472BF">
        <w:t xml:space="preserve"> 58-67</w:t>
      </w:r>
      <w:r>
        <w:t>.</w:t>
      </w:r>
    </w:p>
    <w:p w14:paraId="2D0873D5" w14:textId="56D75EAB" w:rsidR="005B6E69" w:rsidRDefault="005B6E69" w:rsidP="005B6E69">
      <w:pPr>
        <w:pStyle w:val="Reference"/>
        <w:ind w:left="284" w:hanging="284"/>
      </w:pPr>
      <w:r>
        <w:t xml:space="preserve">K. </w:t>
      </w:r>
      <w:proofErr w:type="spellStart"/>
      <w:r w:rsidRPr="005B6E69">
        <w:t>Werbach</w:t>
      </w:r>
      <w:proofErr w:type="spellEnd"/>
      <w:r w:rsidRPr="005B6E69">
        <w:t xml:space="preserve">, </w:t>
      </w:r>
      <w:r>
        <w:t xml:space="preserve">D. </w:t>
      </w:r>
      <w:r w:rsidRPr="005B6E69">
        <w:t xml:space="preserve">Hunter (2012), </w:t>
      </w:r>
      <w:r w:rsidRPr="005B6E69">
        <w:rPr>
          <w:i/>
        </w:rPr>
        <w:t>How game thinking can revolutionize your business -</w:t>
      </w:r>
      <w:r w:rsidRPr="005B6E69">
        <w:rPr>
          <w:b/>
          <w:i/>
        </w:rPr>
        <w:t xml:space="preserve"> </w:t>
      </w:r>
      <w:r w:rsidRPr="005B6E69">
        <w:rPr>
          <w:i/>
        </w:rPr>
        <w:t>Gamification for learning</w:t>
      </w:r>
      <w:r w:rsidRPr="005B6E69">
        <w:t>, Wharton Digital Press</w:t>
      </w:r>
      <w:r>
        <w:t>.</w:t>
      </w:r>
    </w:p>
    <w:p w14:paraId="6CF6DD0D" w14:textId="1F57AD00" w:rsidR="00AB1DF7" w:rsidRPr="00AB1DF7" w:rsidRDefault="00AB1DF7" w:rsidP="00AB1DF7">
      <w:pPr>
        <w:pStyle w:val="Reference"/>
        <w:ind w:left="284" w:hanging="284"/>
      </w:pPr>
      <w:r>
        <w:t xml:space="preserve">G. </w:t>
      </w:r>
      <w:proofErr w:type="spellStart"/>
      <w:r>
        <w:t>Zichermann</w:t>
      </w:r>
      <w:proofErr w:type="spellEnd"/>
      <w:r w:rsidRPr="00AB1DF7">
        <w:t xml:space="preserve"> and </w:t>
      </w:r>
      <w:r>
        <w:t>C. Cunningham</w:t>
      </w:r>
      <w:r w:rsidRPr="00AB1DF7">
        <w:t xml:space="preserve"> (2011), </w:t>
      </w:r>
      <w:r w:rsidRPr="00AB1DF7">
        <w:rPr>
          <w:i/>
        </w:rPr>
        <w:t>Gamification by design</w:t>
      </w:r>
      <w:r w:rsidRPr="00AB1DF7">
        <w:t>, O’Reilly</w:t>
      </w:r>
      <w:r w:rsidR="005B6E69">
        <w:t>.</w:t>
      </w:r>
    </w:p>
    <w:p w14:paraId="2722612E" w14:textId="77777777" w:rsidR="00AB1DF7" w:rsidRPr="009D4F97" w:rsidRDefault="00AB1DF7" w:rsidP="009D4F97">
      <w:pPr>
        <w:pStyle w:val="Reference"/>
        <w:ind w:left="284" w:hanging="284"/>
      </w:pPr>
    </w:p>
    <w:p w14:paraId="5707F814" w14:textId="77777777" w:rsidR="00D17920" w:rsidRPr="001178E9" w:rsidRDefault="00D17920">
      <w:pPr>
        <w:rPr>
          <w:lang w:val="en-US"/>
        </w:rPr>
      </w:pPr>
    </w:p>
    <w:sectPr w:rsidR="00D17920" w:rsidRPr="001178E9" w:rsidSect="001178E9">
      <w:headerReference w:type="even" r:id="rId18"/>
      <w:headerReference w:type="default" r:id="rId19"/>
      <w:footerReference w:type="even" r:id="rId20"/>
      <w:footerReference w:type="default" r:id="rId21"/>
      <w:headerReference w:type="first" r:id="rId22"/>
      <w:pgSz w:w="11906" w:h="16838" w:code="9"/>
      <w:pgMar w:top="1729" w:right="1140" w:bottom="1412" w:left="1140" w:header="567" w:footer="0" w:gutter="0"/>
      <w:pgNumType w:start="1"/>
      <w:cols w:space="709"/>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099BF" w14:textId="77777777" w:rsidR="001A0A7B" w:rsidRDefault="001A0A7B" w:rsidP="00711B44">
      <w:r>
        <w:separator/>
      </w:r>
    </w:p>
  </w:endnote>
  <w:endnote w:type="continuationSeparator" w:id="0">
    <w:p w14:paraId="3993FE6F" w14:textId="77777777" w:rsidR="001A0A7B" w:rsidRDefault="001A0A7B" w:rsidP="0071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131F3" w14:textId="77777777" w:rsidR="00B915A8" w:rsidRDefault="001A0A7B" w:rsidP="009B47DB">
    <w:pPr>
      <w:pStyle w:val="Footer"/>
      <w:rPr>
        <w:rStyle w:val="PageNumber"/>
      </w:rPr>
    </w:pPr>
  </w:p>
  <w:p w14:paraId="6EC5E8E1" w14:textId="77777777" w:rsidR="00B915A8" w:rsidRDefault="001A0A7B" w:rsidP="009B47DB">
    <w:pPr>
      <w:pStyle w:val="Footer"/>
      <w:rPr>
        <w:rStyle w:val="PageNumber"/>
      </w:rPr>
    </w:pPr>
  </w:p>
  <w:p w14:paraId="3983E305" w14:textId="77777777" w:rsidR="00B915A8" w:rsidRDefault="001A0A7B" w:rsidP="009B47D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3A42C" w14:textId="77777777" w:rsidR="00B915A8" w:rsidRDefault="001A0A7B" w:rsidP="009B47DB">
    <w:pPr>
      <w:pStyle w:val="Footer"/>
      <w:rPr>
        <w:rStyle w:val="PageNumber"/>
      </w:rPr>
    </w:pPr>
  </w:p>
  <w:p w14:paraId="4A8DFEEE" w14:textId="77777777" w:rsidR="00B915A8" w:rsidRDefault="001A0A7B" w:rsidP="009B47DB">
    <w:pPr>
      <w:pStyle w:val="Footer"/>
      <w:rPr>
        <w:rStyle w:val="PageNumber"/>
      </w:rPr>
    </w:pPr>
  </w:p>
  <w:p w14:paraId="4479CD39" w14:textId="77777777" w:rsidR="00B915A8" w:rsidRDefault="001A0A7B" w:rsidP="009B47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22E7C" w14:textId="77777777" w:rsidR="001A0A7B" w:rsidRDefault="001A0A7B" w:rsidP="00711B44">
      <w:r>
        <w:separator/>
      </w:r>
    </w:p>
  </w:footnote>
  <w:footnote w:type="continuationSeparator" w:id="0">
    <w:p w14:paraId="37B10A36" w14:textId="77777777" w:rsidR="001A0A7B" w:rsidRDefault="001A0A7B" w:rsidP="00711B44">
      <w:r>
        <w:continuationSeparator/>
      </w:r>
    </w:p>
  </w:footnote>
  <w:footnote w:id="1">
    <w:p w14:paraId="2C4BEEC9" w14:textId="77777777" w:rsidR="00394100" w:rsidRPr="00C46B19" w:rsidRDefault="00394100" w:rsidP="00394100">
      <w:pPr>
        <w:rPr>
          <w:lang w:val="en-GB"/>
        </w:rPr>
      </w:pPr>
      <w:r>
        <w:rPr>
          <w:vertAlign w:val="superscript"/>
        </w:rPr>
        <w:footnoteRef/>
      </w:r>
      <w:r w:rsidRPr="00C46B19">
        <w:rPr>
          <w:lang w:val="en-GB"/>
        </w:rPr>
        <w:t xml:space="preserve"> </w:t>
      </w:r>
      <w:hyperlink r:id="rId1">
        <w:r w:rsidRPr="00C46B19">
          <w:rPr>
            <w:color w:val="1155CC"/>
            <w:u w:val="single"/>
            <w:lang w:val="en-GB"/>
          </w:rPr>
          <w:t>https://www.climateinteractive.org/policy-exercises-and-serious-games/19-climate-games-that-could-change-the-future/</w:t>
        </w:r>
      </w:hyperlink>
    </w:p>
  </w:footnote>
  <w:footnote w:id="2">
    <w:p w14:paraId="781465CA" w14:textId="77777777" w:rsidR="00394100" w:rsidRPr="00C46B19" w:rsidRDefault="00394100" w:rsidP="00394100">
      <w:pPr>
        <w:rPr>
          <w:lang w:val="en-GB"/>
        </w:rPr>
      </w:pPr>
      <w:r>
        <w:rPr>
          <w:vertAlign w:val="superscript"/>
        </w:rPr>
        <w:footnoteRef/>
      </w:r>
      <w:r w:rsidRPr="00C46B19">
        <w:rPr>
          <w:lang w:val="en-GB"/>
        </w:rPr>
        <w:t xml:space="preserve"> </w:t>
      </w:r>
      <w:hyperlink r:id="rId2">
        <w:r w:rsidRPr="00C46B19">
          <w:rPr>
            <w:color w:val="1155CC"/>
            <w:u w:val="single"/>
            <w:lang w:val="en-GB"/>
          </w:rPr>
          <w:t>http://www.makeuseof.com/tag/10-environmental-games-teach-kids-earth-ecology-conservation/</w:t>
        </w:r>
      </w:hyperlink>
    </w:p>
  </w:footnote>
  <w:footnote w:id="3">
    <w:p w14:paraId="4191EF3E" w14:textId="77777777" w:rsidR="00394100" w:rsidRDefault="00394100" w:rsidP="00394100">
      <w:r>
        <w:rPr>
          <w:vertAlign w:val="superscript"/>
        </w:rPr>
        <w:footnoteRef/>
      </w:r>
      <w:r>
        <w:t xml:space="preserve"> </w:t>
      </w:r>
      <w:hyperlink r:id="rId3">
        <w:r>
          <w:rPr>
            <w:color w:val="1155CC"/>
            <w:u w:val="single"/>
          </w:rPr>
          <w:t>http://www.games4sustainability.org/</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2867E" w14:textId="77777777" w:rsidR="00B915A8" w:rsidRPr="0024152B" w:rsidRDefault="001178E9" w:rsidP="009B47DB">
    <w:pPr>
      <w:pStyle w:val="Header"/>
    </w:pPr>
    <w:r w:rsidRPr="0024152B">
      <w:t>Primo autore et al.  (Iniziale Nome punto Cognome et al.) – Titolo sintetico per la memoria</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8738D" w14:textId="205FFA8C" w:rsidR="00B915A8" w:rsidRPr="00B11039" w:rsidRDefault="0076574F" w:rsidP="00B11039">
    <w:pPr>
      <w:pStyle w:val="Header"/>
      <w:ind w:firstLine="793"/>
      <w:rPr>
        <w:lang w:val="en-US"/>
      </w:rPr>
    </w:pPr>
    <w:r>
      <w:rPr>
        <w:noProof/>
        <w:lang w:val="en-GB" w:eastAsia="en-GB"/>
      </w:rPr>
      <w:drawing>
        <wp:anchor distT="0" distB="0" distL="114300" distR="114300" simplePos="0" relativeHeight="251662336" behindDoc="0" locked="0" layoutInCell="1" allowOverlap="1" wp14:anchorId="783EE0B8" wp14:editId="11EBDBE7">
          <wp:simplePos x="0" y="0"/>
          <wp:positionH relativeFrom="column">
            <wp:posOffset>-56515</wp:posOffset>
          </wp:positionH>
          <wp:positionV relativeFrom="paragraph">
            <wp:posOffset>-64770</wp:posOffset>
          </wp:positionV>
          <wp:extent cx="571500" cy="200025"/>
          <wp:effectExtent l="0" t="0" r="12700" b="3175"/>
          <wp:wrapNone/>
          <wp:docPr id="5" name="Picture 3" descr="COWM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WM_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pic:spPr>
              </pic:pic>
            </a:graphicData>
          </a:graphic>
          <wp14:sizeRelH relativeFrom="page">
            <wp14:pctWidth>0</wp14:pctWidth>
          </wp14:sizeRelH>
          <wp14:sizeRelV relativeFrom="page">
            <wp14:pctHeight>0</wp14:pctHeight>
          </wp14:sizeRelV>
        </wp:anchor>
      </w:drawing>
    </w:r>
    <w:r w:rsidR="002F2FD4">
      <w:rPr>
        <w:lang w:val="en-US"/>
      </w:rPr>
      <w:t>L</w:t>
    </w:r>
    <w:r w:rsidR="001178E9" w:rsidRPr="00B11039">
      <w:rPr>
        <w:lang w:val="en-US"/>
      </w:rPr>
      <w:t xml:space="preserve">. </w:t>
    </w:r>
    <w:r w:rsidR="002F2FD4">
      <w:rPr>
        <w:lang w:val="en-US"/>
      </w:rPr>
      <w:t>Simeone</w:t>
    </w:r>
    <w:r w:rsidR="001178E9" w:rsidRPr="00B11039">
      <w:rPr>
        <w:lang w:val="en-US"/>
      </w:rPr>
      <w:t xml:space="preserve"> et al.– </w:t>
    </w:r>
    <w:r w:rsidR="002F2FD4" w:rsidRPr="002F2FD4">
      <w:rPr>
        <w:lang w:val="en-US"/>
      </w:rPr>
      <w:t>Best practices in serious games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C5E11" w14:textId="62687E8E" w:rsidR="00B915A8" w:rsidRPr="005635D2" w:rsidRDefault="0076574F" w:rsidP="009B47DB">
    <w:pPr>
      <w:pStyle w:val="HeaderFisrtpag"/>
      <w:ind w:left="0"/>
      <w:rPr>
        <w:sz w:val="20"/>
        <w:lang w:val="en-US"/>
      </w:rPr>
    </w:pPr>
    <w:r>
      <w:rPr>
        <w:sz w:val="20"/>
        <w:lang w:val="en-GB" w:eastAsia="en-GB"/>
      </w:rPr>
      <w:drawing>
        <wp:anchor distT="0" distB="0" distL="114300" distR="114300" simplePos="0" relativeHeight="251660288" behindDoc="0" locked="0" layoutInCell="1" allowOverlap="1" wp14:anchorId="1F3FF8F8" wp14:editId="17E25F23">
          <wp:simplePos x="0" y="0"/>
          <wp:positionH relativeFrom="column">
            <wp:posOffset>-419100</wp:posOffset>
          </wp:positionH>
          <wp:positionV relativeFrom="paragraph">
            <wp:posOffset>-58420</wp:posOffset>
          </wp:positionV>
          <wp:extent cx="1567815" cy="539115"/>
          <wp:effectExtent l="0" t="0" r="6985" b="0"/>
          <wp:wrapNone/>
          <wp:docPr id="3" name="Picture 1" descr="COWM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WM_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815" cy="539115"/>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GB" w:eastAsia="en-GB"/>
      </w:rPr>
      <w:drawing>
        <wp:anchor distT="0" distB="0" distL="114300" distR="114300" simplePos="0" relativeHeight="251661312" behindDoc="0" locked="0" layoutInCell="1" allowOverlap="1" wp14:anchorId="743EFAF6" wp14:editId="23ED1513">
          <wp:simplePos x="0" y="0"/>
          <wp:positionH relativeFrom="column">
            <wp:posOffset>5125720</wp:posOffset>
          </wp:positionH>
          <wp:positionV relativeFrom="paragraph">
            <wp:posOffset>48895</wp:posOffset>
          </wp:positionV>
          <wp:extent cx="1572260" cy="354330"/>
          <wp:effectExtent l="0" t="0" r="2540" b="1270"/>
          <wp:wrapNone/>
          <wp:docPr id="1" name="Picture 2" descr="20170303logo-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0303logo-traspar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2260" cy="354330"/>
                  </a:xfrm>
                  <a:prstGeom prst="rect">
                    <a:avLst/>
                  </a:prstGeom>
                  <a:noFill/>
                </pic:spPr>
              </pic:pic>
            </a:graphicData>
          </a:graphic>
          <wp14:sizeRelH relativeFrom="page">
            <wp14:pctWidth>0</wp14:pctWidth>
          </wp14:sizeRelH>
          <wp14:sizeRelV relativeFrom="page">
            <wp14:pctHeight>0</wp14:pctHeight>
          </wp14:sizeRelV>
        </wp:anchor>
      </w:drawing>
    </w:r>
    <w:r w:rsidR="001178E9">
      <w:rPr>
        <w:sz w:val="20"/>
        <w:lang w:val="en-US"/>
      </w:rPr>
      <w:t>2</w:t>
    </w:r>
    <w:r w:rsidR="001178E9" w:rsidRPr="005635D2">
      <w:rPr>
        <w:sz w:val="20"/>
        <w:vertAlign w:val="superscript"/>
        <w:lang w:val="en-US"/>
      </w:rPr>
      <w:t xml:space="preserve">nd </w:t>
    </w:r>
    <w:r w:rsidR="001178E9" w:rsidRPr="005635D2">
      <w:rPr>
        <w:sz w:val="20"/>
        <w:lang w:val="en-US"/>
      </w:rPr>
      <w:t xml:space="preserve">International Conference </w:t>
    </w:r>
  </w:p>
  <w:p w14:paraId="2CB18F03" w14:textId="77777777" w:rsidR="00B915A8" w:rsidRPr="005635D2" w:rsidRDefault="001178E9" w:rsidP="009B47DB">
    <w:pPr>
      <w:pStyle w:val="HeaderFisrtpag"/>
      <w:ind w:left="0"/>
      <w:rPr>
        <w:sz w:val="20"/>
        <w:lang w:val="en-US"/>
      </w:rPr>
    </w:pPr>
    <w:r w:rsidRPr="005635D2">
      <w:rPr>
        <w:b/>
        <w:sz w:val="20"/>
        <w:lang w:val="en-US"/>
      </w:rPr>
      <w:t>Citizen Observatories for natural hazards and Water Management</w:t>
    </w:r>
  </w:p>
  <w:p w14:paraId="32C841F4" w14:textId="77777777" w:rsidR="00B915A8" w:rsidRPr="005635D2" w:rsidRDefault="001178E9" w:rsidP="009B47DB">
    <w:pPr>
      <w:pStyle w:val="HeaderFisrtpag"/>
      <w:rPr>
        <w:rStyle w:val="HeaderChar"/>
        <w:sz w:val="20"/>
        <w:lang w:val="en-US"/>
      </w:rPr>
    </w:pPr>
    <w:r w:rsidRPr="005635D2">
      <w:rPr>
        <w:sz w:val="20"/>
        <w:lang w:val="en-US"/>
      </w:rPr>
      <w:t>Venice, 27-30 November 201</w:t>
    </w:r>
    <w:r w:rsidRPr="005635D2">
      <w:rPr>
        <w:rStyle w:val="HeaderChar"/>
        <w:sz w:val="20"/>
        <w:lang w:val="en-US"/>
      </w:rPr>
      <w:t>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952A5"/>
    <w:multiLevelType w:val="multilevel"/>
    <w:tmpl w:val="6F849228"/>
    <w:lvl w:ilvl="0">
      <w:start w:val="1"/>
      <w:numFmt w:val="decimal"/>
      <w:pStyle w:val="COWM2018Section"/>
      <w:lvlText w:val="%1"/>
      <w:lvlJc w:val="left"/>
      <w:pPr>
        <w:tabs>
          <w:tab w:val="num" w:pos="432"/>
        </w:tabs>
        <w:ind w:left="432" w:hanging="432"/>
      </w:pPr>
    </w:lvl>
    <w:lvl w:ilvl="1">
      <w:start w:val="1"/>
      <w:numFmt w:val="decimal"/>
      <w:pStyle w:val="COWM2018SubSection"/>
      <w:lvlText w:val="%1.%2"/>
      <w:lvlJc w:val="left"/>
      <w:pPr>
        <w:tabs>
          <w:tab w:val="num" w:pos="576"/>
        </w:tabs>
        <w:ind w:left="576" w:hanging="576"/>
      </w:pPr>
    </w:lvl>
    <w:lvl w:ilvl="2">
      <w:start w:val="1"/>
      <w:numFmt w:val="decimal"/>
      <w:pStyle w:val="COWM2018SubSubSection"/>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6303378D"/>
    <w:multiLevelType w:val="hybridMultilevel"/>
    <w:tmpl w:val="6D829ABA"/>
    <w:lvl w:ilvl="0" w:tplc="3F76F910">
      <w:start w:val="1"/>
      <w:numFmt w:val="bullet"/>
      <w:pStyle w:val="COMW2018Keypoints"/>
      <w:lvlText w:val=""/>
      <w:lvlJc w:val="left"/>
      <w:pPr>
        <w:ind w:left="72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E9"/>
    <w:rsid w:val="000A2850"/>
    <w:rsid w:val="001178E9"/>
    <w:rsid w:val="00157115"/>
    <w:rsid w:val="001A0A7B"/>
    <w:rsid w:val="001C0F8A"/>
    <w:rsid w:val="001F3AD0"/>
    <w:rsid w:val="00234E16"/>
    <w:rsid w:val="002F2FD4"/>
    <w:rsid w:val="00324CC2"/>
    <w:rsid w:val="00394100"/>
    <w:rsid w:val="003B06D9"/>
    <w:rsid w:val="004868B1"/>
    <w:rsid w:val="004F7D02"/>
    <w:rsid w:val="005803A0"/>
    <w:rsid w:val="005B6E69"/>
    <w:rsid w:val="00685F17"/>
    <w:rsid w:val="006F0EE0"/>
    <w:rsid w:val="006F227E"/>
    <w:rsid w:val="00711B44"/>
    <w:rsid w:val="0076574F"/>
    <w:rsid w:val="007A2966"/>
    <w:rsid w:val="007C6635"/>
    <w:rsid w:val="007F0808"/>
    <w:rsid w:val="007F1301"/>
    <w:rsid w:val="00876B62"/>
    <w:rsid w:val="00976150"/>
    <w:rsid w:val="0099595E"/>
    <w:rsid w:val="009A29C9"/>
    <w:rsid w:val="009D4F97"/>
    <w:rsid w:val="009F02B3"/>
    <w:rsid w:val="00A14A26"/>
    <w:rsid w:val="00A2591C"/>
    <w:rsid w:val="00A472BF"/>
    <w:rsid w:val="00A570AF"/>
    <w:rsid w:val="00A6500F"/>
    <w:rsid w:val="00A77EC4"/>
    <w:rsid w:val="00AB15DF"/>
    <w:rsid w:val="00AB1DF7"/>
    <w:rsid w:val="00AF10FD"/>
    <w:rsid w:val="00B41C39"/>
    <w:rsid w:val="00BA14E7"/>
    <w:rsid w:val="00C21E9D"/>
    <w:rsid w:val="00C24C61"/>
    <w:rsid w:val="00C46B19"/>
    <w:rsid w:val="00C7789B"/>
    <w:rsid w:val="00C86FF5"/>
    <w:rsid w:val="00CC2D3D"/>
    <w:rsid w:val="00CE2FC9"/>
    <w:rsid w:val="00D17920"/>
    <w:rsid w:val="00D44B0F"/>
    <w:rsid w:val="00DD03F4"/>
    <w:rsid w:val="00E5382B"/>
    <w:rsid w:val="00E76484"/>
    <w:rsid w:val="00E76D64"/>
    <w:rsid w:val="00E808C5"/>
    <w:rsid w:val="00EC45FE"/>
    <w:rsid w:val="00F30073"/>
    <w:rsid w:val="00F65785"/>
    <w:rsid w:val="00F71744"/>
    <w:rsid w:val="00FE2E30"/>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FE0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78E9"/>
    <w:pPr>
      <w:autoSpaceDE w:val="0"/>
      <w:autoSpaceDN w:val="0"/>
      <w:spacing w:after="0" w:line="240" w:lineRule="auto"/>
    </w:pPr>
    <w:rPr>
      <w:rFonts w:ascii="Times New Roman" w:eastAsia="Times New Roman" w:hAnsi="Times New Roman" w:cs="Times New Roman"/>
      <w:sz w:val="20"/>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WM2018TitleArticle">
    <w:name w:val="COWM2018_Title_Article"/>
    <w:next w:val="Normal"/>
    <w:uiPriority w:val="99"/>
    <w:rsid w:val="001178E9"/>
    <w:pPr>
      <w:autoSpaceDE w:val="0"/>
      <w:autoSpaceDN w:val="0"/>
      <w:spacing w:before="120" w:after="120" w:line="240" w:lineRule="auto"/>
      <w:jc w:val="center"/>
    </w:pPr>
    <w:rPr>
      <w:rFonts w:ascii="Times New Roman" w:eastAsia="Times New Roman" w:hAnsi="Times New Roman" w:cs="Times New Roman"/>
      <w:b/>
      <w:bCs/>
      <w:caps/>
      <w:sz w:val="28"/>
      <w:szCs w:val="24"/>
      <w:lang w:eastAsia="it-IT"/>
    </w:rPr>
  </w:style>
  <w:style w:type="paragraph" w:customStyle="1" w:styleId="COWM2018TitleBibliography">
    <w:name w:val="COWM2018_Title_Bibliography"/>
    <w:autoRedefine/>
    <w:uiPriority w:val="99"/>
    <w:rsid w:val="001178E9"/>
    <w:pPr>
      <w:autoSpaceDE w:val="0"/>
      <w:autoSpaceDN w:val="0"/>
      <w:spacing w:before="240" w:after="240" w:line="240" w:lineRule="auto"/>
    </w:pPr>
    <w:rPr>
      <w:rFonts w:ascii="Times New Roman" w:eastAsia="Times New Roman" w:hAnsi="Times New Roman" w:cs="Times New Roman"/>
      <w:b/>
      <w:bCs/>
      <w:smallCaps/>
      <w:szCs w:val="20"/>
      <w:lang w:val="en-GB" w:eastAsia="it-IT"/>
    </w:rPr>
  </w:style>
  <w:style w:type="paragraph" w:customStyle="1" w:styleId="COWM2018BodyText">
    <w:name w:val="COWM2018_Body_Text"/>
    <w:uiPriority w:val="99"/>
    <w:rsid w:val="001178E9"/>
    <w:pPr>
      <w:widowControl w:val="0"/>
      <w:autoSpaceDE w:val="0"/>
      <w:autoSpaceDN w:val="0"/>
      <w:spacing w:after="100" w:line="240" w:lineRule="auto"/>
      <w:ind w:firstLine="284"/>
      <w:jc w:val="both"/>
    </w:pPr>
    <w:rPr>
      <w:rFonts w:ascii="Times New Roman" w:eastAsia="Times New Roman" w:hAnsi="Times New Roman" w:cs="Times New Roman"/>
      <w:szCs w:val="20"/>
      <w:lang w:eastAsia="it-IT"/>
    </w:rPr>
  </w:style>
  <w:style w:type="paragraph" w:customStyle="1" w:styleId="COWM2018Section">
    <w:name w:val="COWM2018_Section"/>
    <w:next w:val="COWM2018BodyText"/>
    <w:autoRedefine/>
    <w:uiPriority w:val="99"/>
    <w:rsid w:val="001178E9"/>
    <w:pPr>
      <w:widowControl w:val="0"/>
      <w:numPr>
        <w:numId w:val="1"/>
      </w:numPr>
      <w:autoSpaceDE w:val="0"/>
      <w:autoSpaceDN w:val="0"/>
      <w:spacing w:before="360" w:after="240" w:line="240" w:lineRule="auto"/>
      <w:jc w:val="both"/>
    </w:pPr>
    <w:rPr>
      <w:rFonts w:ascii="Times New Roman" w:eastAsia="Times New Roman" w:hAnsi="Times New Roman" w:cs="Times New Roman"/>
      <w:b/>
      <w:bCs/>
      <w:smallCaps/>
      <w:szCs w:val="20"/>
      <w:lang w:eastAsia="it-IT"/>
    </w:rPr>
  </w:style>
  <w:style w:type="paragraph" w:customStyle="1" w:styleId="COWM2018SubSection">
    <w:name w:val="COWM2018_SubSection"/>
    <w:next w:val="COWM2018BodyText"/>
    <w:autoRedefine/>
    <w:uiPriority w:val="99"/>
    <w:rsid w:val="001178E9"/>
    <w:pPr>
      <w:numPr>
        <w:ilvl w:val="1"/>
        <w:numId w:val="1"/>
      </w:numPr>
      <w:autoSpaceDE w:val="0"/>
      <w:autoSpaceDN w:val="0"/>
      <w:spacing w:before="120" w:after="0" w:line="360" w:lineRule="auto"/>
      <w:jc w:val="both"/>
    </w:pPr>
    <w:rPr>
      <w:rFonts w:ascii="Times New Roman" w:eastAsia="Times New Roman" w:hAnsi="Times New Roman" w:cs="Times New Roman"/>
      <w:b/>
      <w:bCs/>
      <w:szCs w:val="20"/>
      <w:lang w:eastAsia="it-IT"/>
    </w:rPr>
  </w:style>
  <w:style w:type="paragraph" w:customStyle="1" w:styleId="COWM2018SubSubSection">
    <w:name w:val="COWM2018_SubSubSection"/>
    <w:next w:val="COWM2018BodyText"/>
    <w:autoRedefine/>
    <w:uiPriority w:val="99"/>
    <w:rsid w:val="001178E9"/>
    <w:pPr>
      <w:numPr>
        <w:ilvl w:val="2"/>
        <w:numId w:val="1"/>
      </w:numPr>
      <w:autoSpaceDE w:val="0"/>
      <w:autoSpaceDN w:val="0"/>
      <w:spacing w:before="60" w:after="60" w:line="240" w:lineRule="auto"/>
      <w:jc w:val="both"/>
    </w:pPr>
    <w:rPr>
      <w:rFonts w:ascii="Times New Roman" w:eastAsia="Times New Roman" w:hAnsi="Times New Roman" w:cs="Times New Roman"/>
      <w:b/>
      <w:bCs/>
      <w:szCs w:val="20"/>
      <w:lang w:eastAsia="it-IT"/>
    </w:rPr>
  </w:style>
  <w:style w:type="paragraph" w:customStyle="1" w:styleId="COWM2018Reference">
    <w:name w:val="COWM2018_Reference"/>
    <w:basedOn w:val="Normal"/>
    <w:autoRedefine/>
    <w:uiPriority w:val="99"/>
    <w:rsid w:val="001178E9"/>
    <w:pPr>
      <w:widowControl w:val="0"/>
      <w:ind w:left="284" w:hanging="284"/>
      <w:jc w:val="both"/>
    </w:pPr>
    <w:rPr>
      <w:sz w:val="18"/>
      <w:szCs w:val="18"/>
    </w:rPr>
  </w:style>
  <w:style w:type="paragraph" w:styleId="Footer">
    <w:name w:val="footer"/>
    <w:basedOn w:val="Normal"/>
    <w:link w:val="FooterChar"/>
    <w:uiPriority w:val="99"/>
    <w:rsid w:val="001178E9"/>
    <w:pPr>
      <w:tabs>
        <w:tab w:val="center" w:pos="4819"/>
        <w:tab w:val="right" w:pos="9638"/>
      </w:tabs>
      <w:ind w:left="57"/>
    </w:pPr>
  </w:style>
  <w:style w:type="character" w:customStyle="1" w:styleId="FooterChar">
    <w:name w:val="Footer Char"/>
    <w:basedOn w:val="DefaultParagraphFont"/>
    <w:link w:val="Footer"/>
    <w:uiPriority w:val="99"/>
    <w:rsid w:val="001178E9"/>
    <w:rPr>
      <w:rFonts w:ascii="Times New Roman" w:eastAsia="Times New Roman" w:hAnsi="Times New Roman" w:cs="Times New Roman"/>
      <w:sz w:val="20"/>
      <w:szCs w:val="20"/>
    </w:rPr>
  </w:style>
  <w:style w:type="character" w:styleId="PageNumber">
    <w:name w:val="page number"/>
    <w:basedOn w:val="DefaultParagraphFont"/>
    <w:uiPriority w:val="99"/>
    <w:rsid w:val="001178E9"/>
  </w:style>
  <w:style w:type="paragraph" w:styleId="Header">
    <w:name w:val="header"/>
    <w:aliases w:val="COWM2018_Header"/>
    <w:basedOn w:val="Normal"/>
    <w:link w:val="HeaderChar"/>
    <w:uiPriority w:val="99"/>
    <w:rsid w:val="001178E9"/>
    <w:pPr>
      <w:pBdr>
        <w:bottom w:val="single" w:sz="4" w:space="1" w:color="auto"/>
      </w:pBdr>
      <w:tabs>
        <w:tab w:val="center" w:pos="4819"/>
        <w:tab w:val="right" w:pos="9638"/>
      </w:tabs>
      <w:ind w:left="58"/>
    </w:pPr>
    <w:rPr>
      <w:i/>
      <w:sz w:val="18"/>
    </w:rPr>
  </w:style>
  <w:style w:type="character" w:customStyle="1" w:styleId="HeaderChar">
    <w:name w:val="Header Char"/>
    <w:aliases w:val="COWM2018_Header Char"/>
    <w:basedOn w:val="DefaultParagraphFont"/>
    <w:link w:val="Header"/>
    <w:uiPriority w:val="99"/>
    <w:rsid w:val="001178E9"/>
    <w:rPr>
      <w:rFonts w:ascii="Times New Roman" w:eastAsia="Times New Roman" w:hAnsi="Times New Roman" w:cs="Times New Roman"/>
      <w:i/>
      <w:sz w:val="18"/>
      <w:szCs w:val="20"/>
      <w:lang w:eastAsia="it-IT"/>
    </w:rPr>
  </w:style>
  <w:style w:type="paragraph" w:customStyle="1" w:styleId="COWM2018keypoints">
    <w:name w:val="COWM2018_keypoints"/>
    <w:basedOn w:val="Normal"/>
    <w:link w:val="COWM2018keypointsCarattere"/>
    <w:qFormat/>
    <w:rsid w:val="001178E9"/>
    <w:pPr>
      <w:spacing w:before="360" w:after="100"/>
    </w:pPr>
    <w:rPr>
      <w:b/>
      <w:i/>
      <w:iCs/>
      <w:szCs w:val="18"/>
    </w:rPr>
  </w:style>
  <w:style w:type="paragraph" w:customStyle="1" w:styleId="Author">
    <w:name w:val="Author"/>
    <w:basedOn w:val="Title"/>
    <w:rsid w:val="001178E9"/>
    <w:pPr>
      <w:autoSpaceDE/>
      <w:autoSpaceDN/>
      <w:spacing w:before="0" w:after="0"/>
    </w:pPr>
    <w:rPr>
      <w:rFonts w:ascii="Times New Roman" w:hAnsi="Times New Roman" w:cs="Arial"/>
      <w:b w:val="0"/>
      <w:sz w:val="24"/>
      <w:szCs w:val="24"/>
      <w:lang w:val="en-US" w:eastAsia="en-US"/>
    </w:rPr>
  </w:style>
  <w:style w:type="character" w:customStyle="1" w:styleId="COWM2018keypointsCarattere">
    <w:name w:val="COWM2018_keypoints Carattere"/>
    <w:link w:val="COWM2018keypoints"/>
    <w:rsid w:val="001178E9"/>
    <w:rPr>
      <w:rFonts w:ascii="Times New Roman" w:eastAsia="Times New Roman" w:hAnsi="Times New Roman" w:cs="Times New Roman"/>
      <w:b/>
      <w:i/>
      <w:iCs/>
      <w:sz w:val="20"/>
      <w:szCs w:val="18"/>
    </w:rPr>
  </w:style>
  <w:style w:type="paragraph" w:customStyle="1" w:styleId="HeaderFisrtpag">
    <w:name w:val="Header_Fisrt_pag"/>
    <w:basedOn w:val="Header"/>
    <w:link w:val="HeaderFisrtpagChar"/>
    <w:qFormat/>
    <w:rsid w:val="001178E9"/>
    <w:pPr>
      <w:pBdr>
        <w:bottom w:val="none" w:sz="0" w:space="0" w:color="auto"/>
      </w:pBdr>
      <w:jc w:val="center"/>
    </w:pPr>
    <w:rPr>
      <w:noProof/>
    </w:rPr>
  </w:style>
  <w:style w:type="paragraph" w:styleId="Title">
    <w:name w:val="Title"/>
    <w:basedOn w:val="Normal"/>
    <w:next w:val="Normal"/>
    <w:link w:val="TitleChar"/>
    <w:uiPriority w:val="99"/>
    <w:qFormat/>
    <w:rsid w:val="001178E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rsid w:val="001178E9"/>
    <w:rPr>
      <w:rFonts w:ascii="Cambria" w:eastAsia="Times New Roman" w:hAnsi="Cambria" w:cs="Times New Roman"/>
      <w:b/>
      <w:bCs/>
      <w:kern w:val="28"/>
      <w:sz w:val="32"/>
      <w:szCs w:val="32"/>
      <w:lang w:eastAsia="it-IT"/>
    </w:rPr>
  </w:style>
  <w:style w:type="character" w:customStyle="1" w:styleId="HeaderFisrtpagChar">
    <w:name w:val="Header_Fisrt_pag Char"/>
    <w:link w:val="HeaderFisrtpag"/>
    <w:rsid w:val="001178E9"/>
    <w:rPr>
      <w:rFonts w:ascii="Times New Roman" w:eastAsia="Times New Roman" w:hAnsi="Times New Roman" w:cs="Times New Roman"/>
      <w:i/>
      <w:noProof/>
      <w:sz w:val="18"/>
      <w:szCs w:val="20"/>
      <w:lang w:eastAsia="it-IT"/>
    </w:rPr>
  </w:style>
  <w:style w:type="paragraph" w:customStyle="1" w:styleId="COMW2018Keypoints">
    <w:name w:val="COMW2018_Keypoints"/>
    <w:basedOn w:val="Normal"/>
    <w:link w:val="COMW2018KeypointsCarattere"/>
    <w:rsid w:val="001178E9"/>
    <w:pPr>
      <w:numPr>
        <w:numId w:val="2"/>
      </w:numPr>
    </w:pPr>
    <w:rPr>
      <w:i/>
      <w:iCs/>
      <w:szCs w:val="18"/>
    </w:rPr>
  </w:style>
  <w:style w:type="character" w:customStyle="1" w:styleId="COMW2018KeypointsCarattere">
    <w:name w:val="COMW2018_Keypoints Carattere"/>
    <w:link w:val="COMW2018Keypoints"/>
    <w:rsid w:val="001178E9"/>
    <w:rPr>
      <w:rFonts w:ascii="Times New Roman" w:eastAsia="Times New Roman" w:hAnsi="Times New Roman" w:cs="Times New Roman"/>
      <w:i/>
      <w:iCs/>
      <w:sz w:val="20"/>
      <w:szCs w:val="18"/>
    </w:rPr>
  </w:style>
  <w:style w:type="paragraph" w:customStyle="1" w:styleId="Affiliation">
    <w:name w:val="Affiliation"/>
    <w:basedOn w:val="Header"/>
    <w:rsid w:val="001178E9"/>
    <w:pPr>
      <w:pBdr>
        <w:bottom w:val="none" w:sz="0" w:space="0" w:color="auto"/>
      </w:pBdr>
      <w:tabs>
        <w:tab w:val="clear" w:pos="4819"/>
        <w:tab w:val="clear" w:pos="9638"/>
        <w:tab w:val="center" w:pos="4320"/>
        <w:tab w:val="right" w:pos="8640"/>
      </w:tabs>
      <w:autoSpaceDE/>
      <w:autoSpaceDN/>
      <w:ind w:left="0"/>
      <w:jc w:val="center"/>
    </w:pPr>
    <w:rPr>
      <w:iCs/>
      <w:sz w:val="24"/>
      <w:szCs w:val="24"/>
      <w:lang w:val="en-US" w:eastAsia="en-US"/>
    </w:rPr>
  </w:style>
  <w:style w:type="paragraph" w:customStyle="1" w:styleId="Reference">
    <w:name w:val="Reference"/>
    <w:basedOn w:val="Normal"/>
    <w:rsid w:val="001178E9"/>
    <w:pPr>
      <w:autoSpaceDE/>
      <w:autoSpaceDN/>
      <w:ind w:left="720" w:hanging="720"/>
      <w:jc w:val="both"/>
    </w:pPr>
    <w:rPr>
      <w:lang w:val="en-GB" w:eastAsia="en-US"/>
    </w:rPr>
  </w:style>
  <w:style w:type="paragraph" w:styleId="Caption">
    <w:name w:val="caption"/>
    <w:basedOn w:val="Normal"/>
    <w:next w:val="Normal"/>
    <w:uiPriority w:val="35"/>
    <w:unhideWhenUsed/>
    <w:qFormat/>
    <w:rsid w:val="001178E9"/>
    <w:rPr>
      <w:b/>
      <w:bCs/>
    </w:rPr>
  </w:style>
  <w:style w:type="paragraph" w:customStyle="1" w:styleId="TextICOMM">
    <w:name w:val="Text [ICOMM]"/>
    <w:basedOn w:val="Normal"/>
    <w:link w:val="TextICOMMCharChar"/>
    <w:rsid w:val="001178E9"/>
    <w:pPr>
      <w:widowControl w:val="0"/>
      <w:tabs>
        <w:tab w:val="left" w:pos="1440"/>
      </w:tabs>
      <w:spacing w:before="60" w:after="60"/>
      <w:jc w:val="both"/>
    </w:pPr>
    <w:rPr>
      <w:rFonts w:eastAsia="Batang"/>
      <w:color w:val="000000"/>
      <w:lang w:val="en-US"/>
    </w:rPr>
  </w:style>
  <w:style w:type="character" w:customStyle="1" w:styleId="TextICOMMCharChar">
    <w:name w:val="Text [ICOMM] Char Char"/>
    <w:link w:val="TextICOMM"/>
    <w:rsid w:val="001178E9"/>
    <w:rPr>
      <w:rFonts w:ascii="Times New Roman" w:eastAsia="Batang" w:hAnsi="Times New Roman" w:cs="Times New Roman"/>
      <w:color w:val="000000"/>
      <w:sz w:val="20"/>
      <w:szCs w:val="20"/>
      <w:lang w:val="en-US"/>
    </w:rPr>
  </w:style>
  <w:style w:type="paragraph" w:customStyle="1" w:styleId="EquationICOMM">
    <w:name w:val="Equation [ICOMM]"/>
    <w:basedOn w:val="TextICOMM"/>
    <w:next w:val="TextICOMM"/>
    <w:rsid w:val="001178E9"/>
    <w:pPr>
      <w:tabs>
        <w:tab w:val="clear" w:pos="1440"/>
        <w:tab w:val="center" w:pos="2448"/>
        <w:tab w:val="right" w:pos="4896"/>
      </w:tabs>
    </w:pPr>
    <w:rPr>
      <w:snapToGrid w:val="0"/>
      <w:lang w:eastAsia="es-ES"/>
    </w:rPr>
  </w:style>
  <w:style w:type="paragraph" w:styleId="BalloonText">
    <w:name w:val="Balloon Text"/>
    <w:basedOn w:val="Normal"/>
    <w:link w:val="BalloonTextChar"/>
    <w:uiPriority w:val="99"/>
    <w:semiHidden/>
    <w:unhideWhenUsed/>
    <w:rsid w:val="001178E9"/>
    <w:rPr>
      <w:rFonts w:ascii="Tahoma" w:hAnsi="Tahoma" w:cs="Tahoma"/>
      <w:sz w:val="16"/>
      <w:szCs w:val="16"/>
    </w:rPr>
  </w:style>
  <w:style w:type="character" w:customStyle="1" w:styleId="BalloonTextChar">
    <w:name w:val="Balloon Text Char"/>
    <w:basedOn w:val="DefaultParagraphFont"/>
    <w:link w:val="BalloonText"/>
    <w:uiPriority w:val="99"/>
    <w:semiHidden/>
    <w:rsid w:val="001178E9"/>
    <w:rPr>
      <w:rFonts w:ascii="Tahoma" w:eastAsia="Times New Roman" w:hAnsi="Tahoma" w:cs="Tahoma"/>
      <w:sz w:val="16"/>
      <w:szCs w:val="16"/>
      <w:lang w:eastAsia="it-IT"/>
    </w:rPr>
  </w:style>
  <w:style w:type="character" w:styleId="Hyperlink">
    <w:name w:val="Hyperlink"/>
    <w:basedOn w:val="DefaultParagraphFont"/>
    <w:uiPriority w:val="99"/>
    <w:unhideWhenUsed/>
    <w:rsid w:val="00E76D64"/>
    <w:rPr>
      <w:color w:val="0000FF" w:themeColor="hyperlink"/>
      <w:u w:val="single"/>
    </w:rPr>
  </w:style>
  <w:style w:type="paragraph" w:styleId="FootnoteText">
    <w:name w:val="footnote text"/>
    <w:basedOn w:val="Normal"/>
    <w:link w:val="FootnoteTextChar"/>
    <w:uiPriority w:val="99"/>
    <w:unhideWhenUsed/>
    <w:rsid w:val="00394100"/>
    <w:rPr>
      <w:sz w:val="24"/>
      <w:szCs w:val="24"/>
    </w:rPr>
  </w:style>
  <w:style w:type="character" w:customStyle="1" w:styleId="FootnoteTextChar">
    <w:name w:val="Footnote Text Char"/>
    <w:basedOn w:val="DefaultParagraphFont"/>
    <w:link w:val="FootnoteText"/>
    <w:uiPriority w:val="99"/>
    <w:rsid w:val="00394100"/>
    <w:rPr>
      <w:rFonts w:ascii="Times New Roman" w:eastAsia="Times New Roman" w:hAnsi="Times New Roman" w:cs="Times New Roman"/>
      <w:sz w:val="24"/>
      <w:szCs w:val="24"/>
      <w:lang w:eastAsia="it-IT"/>
    </w:rPr>
  </w:style>
  <w:style w:type="character" w:styleId="FootnoteReference">
    <w:name w:val="footnote reference"/>
    <w:basedOn w:val="DefaultParagraphFont"/>
    <w:uiPriority w:val="99"/>
    <w:unhideWhenUsed/>
    <w:rsid w:val="00394100"/>
    <w:rPr>
      <w:vertAlign w:val="superscript"/>
    </w:rPr>
  </w:style>
  <w:style w:type="character" w:styleId="FollowedHyperlink">
    <w:name w:val="FollowedHyperlink"/>
    <w:basedOn w:val="DefaultParagraphFont"/>
    <w:uiPriority w:val="99"/>
    <w:semiHidden/>
    <w:unhideWhenUsed/>
    <w:rsid w:val="007F1301"/>
    <w:rPr>
      <w:color w:val="800080" w:themeColor="followedHyperlink"/>
      <w:u w:val="single"/>
    </w:rPr>
  </w:style>
  <w:style w:type="table" w:styleId="TableGrid">
    <w:name w:val="Table Grid"/>
    <w:basedOn w:val="TableNormal"/>
    <w:uiPriority w:val="59"/>
    <w:rsid w:val="006F22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4381">
      <w:bodyDiv w:val="1"/>
      <w:marLeft w:val="0"/>
      <w:marRight w:val="0"/>
      <w:marTop w:val="0"/>
      <w:marBottom w:val="0"/>
      <w:divBdr>
        <w:top w:val="none" w:sz="0" w:space="0" w:color="auto"/>
        <w:left w:val="none" w:sz="0" w:space="0" w:color="auto"/>
        <w:bottom w:val="none" w:sz="0" w:space="0" w:color="auto"/>
        <w:right w:val="none" w:sz="0" w:space="0" w:color="auto"/>
      </w:divBdr>
    </w:div>
    <w:div w:id="513810707">
      <w:bodyDiv w:val="1"/>
      <w:marLeft w:val="0"/>
      <w:marRight w:val="0"/>
      <w:marTop w:val="0"/>
      <w:marBottom w:val="0"/>
      <w:divBdr>
        <w:top w:val="none" w:sz="0" w:space="0" w:color="auto"/>
        <w:left w:val="none" w:sz="0" w:space="0" w:color="auto"/>
        <w:bottom w:val="none" w:sz="0" w:space="0" w:color="auto"/>
        <w:right w:val="none" w:sz="0" w:space="0" w:color="auto"/>
      </w:divBdr>
    </w:div>
    <w:div w:id="539704776">
      <w:bodyDiv w:val="1"/>
      <w:marLeft w:val="0"/>
      <w:marRight w:val="0"/>
      <w:marTop w:val="0"/>
      <w:marBottom w:val="0"/>
      <w:divBdr>
        <w:top w:val="none" w:sz="0" w:space="0" w:color="auto"/>
        <w:left w:val="none" w:sz="0" w:space="0" w:color="auto"/>
        <w:bottom w:val="none" w:sz="0" w:space="0" w:color="auto"/>
        <w:right w:val="none" w:sz="0" w:space="0" w:color="auto"/>
      </w:divBdr>
    </w:div>
    <w:div w:id="756946519">
      <w:bodyDiv w:val="1"/>
      <w:marLeft w:val="0"/>
      <w:marRight w:val="0"/>
      <w:marTop w:val="0"/>
      <w:marBottom w:val="0"/>
      <w:divBdr>
        <w:top w:val="none" w:sz="0" w:space="0" w:color="auto"/>
        <w:left w:val="none" w:sz="0" w:space="0" w:color="auto"/>
        <w:bottom w:val="none" w:sz="0" w:space="0" w:color="auto"/>
        <w:right w:val="none" w:sz="0" w:space="0" w:color="auto"/>
      </w:divBdr>
    </w:div>
    <w:div w:id="809521622">
      <w:bodyDiv w:val="1"/>
      <w:marLeft w:val="0"/>
      <w:marRight w:val="0"/>
      <w:marTop w:val="0"/>
      <w:marBottom w:val="0"/>
      <w:divBdr>
        <w:top w:val="none" w:sz="0" w:space="0" w:color="auto"/>
        <w:left w:val="none" w:sz="0" w:space="0" w:color="auto"/>
        <w:bottom w:val="none" w:sz="0" w:space="0" w:color="auto"/>
        <w:right w:val="none" w:sz="0" w:space="0" w:color="auto"/>
      </w:divBdr>
    </w:div>
    <w:div w:id="874077357">
      <w:bodyDiv w:val="1"/>
      <w:marLeft w:val="0"/>
      <w:marRight w:val="0"/>
      <w:marTop w:val="0"/>
      <w:marBottom w:val="0"/>
      <w:divBdr>
        <w:top w:val="none" w:sz="0" w:space="0" w:color="auto"/>
        <w:left w:val="none" w:sz="0" w:space="0" w:color="auto"/>
        <w:bottom w:val="none" w:sz="0" w:space="0" w:color="auto"/>
        <w:right w:val="none" w:sz="0" w:space="0" w:color="auto"/>
      </w:divBdr>
    </w:div>
    <w:div w:id="1195386810">
      <w:bodyDiv w:val="1"/>
      <w:marLeft w:val="0"/>
      <w:marRight w:val="0"/>
      <w:marTop w:val="0"/>
      <w:marBottom w:val="0"/>
      <w:divBdr>
        <w:top w:val="none" w:sz="0" w:space="0" w:color="auto"/>
        <w:left w:val="none" w:sz="0" w:space="0" w:color="auto"/>
        <w:bottom w:val="none" w:sz="0" w:space="0" w:color="auto"/>
        <w:right w:val="none" w:sz="0" w:space="0" w:color="auto"/>
      </w:divBdr>
    </w:div>
    <w:div w:id="1240209805">
      <w:bodyDiv w:val="1"/>
      <w:marLeft w:val="0"/>
      <w:marRight w:val="0"/>
      <w:marTop w:val="0"/>
      <w:marBottom w:val="0"/>
      <w:divBdr>
        <w:top w:val="none" w:sz="0" w:space="0" w:color="auto"/>
        <w:left w:val="none" w:sz="0" w:space="0" w:color="auto"/>
        <w:bottom w:val="none" w:sz="0" w:space="0" w:color="auto"/>
        <w:right w:val="none" w:sz="0" w:space="0" w:color="auto"/>
      </w:divBdr>
    </w:div>
    <w:div w:id="1276715408">
      <w:bodyDiv w:val="1"/>
      <w:marLeft w:val="0"/>
      <w:marRight w:val="0"/>
      <w:marTop w:val="0"/>
      <w:marBottom w:val="0"/>
      <w:divBdr>
        <w:top w:val="none" w:sz="0" w:space="0" w:color="auto"/>
        <w:left w:val="none" w:sz="0" w:space="0" w:color="auto"/>
        <w:bottom w:val="none" w:sz="0" w:space="0" w:color="auto"/>
        <w:right w:val="none" w:sz="0" w:space="0" w:color="auto"/>
      </w:divBdr>
    </w:div>
    <w:div w:id="1389836311">
      <w:bodyDiv w:val="1"/>
      <w:marLeft w:val="0"/>
      <w:marRight w:val="0"/>
      <w:marTop w:val="0"/>
      <w:marBottom w:val="0"/>
      <w:divBdr>
        <w:top w:val="none" w:sz="0" w:space="0" w:color="auto"/>
        <w:left w:val="none" w:sz="0" w:space="0" w:color="auto"/>
        <w:bottom w:val="none" w:sz="0" w:space="0" w:color="auto"/>
        <w:right w:val="none" w:sz="0" w:space="0" w:color="auto"/>
      </w:divBdr>
    </w:div>
    <w:div w:id="1407536892">
      <w:bodyDiv w:val="1"/>
      <w:marLeft w:val="0"/>
      <w:marRight w:val="0"/>
      <w:marTop w:val="0"/>
      <w:marBottom w:val="0"/>
      <w:divBdr>
        <w:top w:val="none" w:sz="0" w:space="0" w:color="auto"/>
        <w:left w:val="none" w:sz="0" w:space="0" w:color="auto"/>
        <w:bottom w:val="none" w:sz="0" w:space="0" w:color="auto"/>
        <w:right w:val="none" w:sz="0" w:space="0" w:color="auto"/>
      </w:divBdr>
    </w:div>
    <w:div w:id="213151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lsi@create.aau.dk"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valantis.tsiakos@iccs.gr" TargetMode="External"/><Relationship Id="rId11" Type="http://schemas.openxmlformats.org/officeDocument/2006/relationships/hyperlink" Target="mailto:maria.krommyda@iccs.gr" TargetMode="External"/><Relationship Id="rId12" Type="http://schemas.openxmlformats.org/officeDocument/2006/relationships/hyperlink" Target="mailto:atsertou@iccs.gr" TargetMode="External"/><Relationship Id="rId13" Type="http://schemas.openxmlformats.org/officeDocument/2006/relationships/hyperlink" Target="mailto:a.amditis@iccs.gr" TargetMode="External"/><Relationship Id="rId14" Type="http://schemas.openxmlformats.org/officeDocument/2006/relationships/hyperlink" Target="mailto:amy@carrcommunications.ie" TargetMode="External"/><Relationship Id="rId15" Type="http://schemas.openxmlformats.org/officeDocument/2006/relationships/image" Target="media/image1.jpeg"/><Relationship Id="rId16" Type="http://schemas.openxmlformats.org/officeDocument/2006/relationships/image" Target="media/image2.jpeg"/><Relationship Id="rId17" Type="http://schemas.openxmlformats.org/officeDocument/2006/relationships/hyperlink" Target="http://www.bogost.com/blog/gamification_is_bullshit.shtml"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ilvia.brandalesi@xteamsoftware.com" TargetMode="External"/><Relationship Id="rId8" Type="http://schemas.openxmlformats.org/officeDocument/2006/relationships/hyperlink" Target="mailto:tamascelli@xteamsoftware.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limateinteractive.org/policy-exercises-and-serious-games/19-climate-games-that-could-change-the-future/" TargetMode="External"/><Relationship Id="rId2" Type="http://schemas.openxmlformats.org/officeDocument/2006/relationships/hyperlink" Target="http://www.makeuseof.com/tag/10-environmental-games-teach-kids-earth-ecology-conservation/" TargetMode="External"/><Relationship Id="rId3" Type="http://schemas.openxmlformats.org/officeDocument/2006/relationships/hyperlink" Target="http://www.games4sustainability.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2275</Words>
  <Characters>12973</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COWM2018</dc:creator>
  <cp:lastModifiedBy>Luca Simeone</cp:lastModifiedBy>
  <cp:revision>4</cp:revision>
  <dcterms:created xsi:type="dcterms:W3CDTF">2018-04-13T11:53:00Z</dcterms:created>
  <dcterms:modified xsi:type="dcterms:W3CDTF">2018-04-17T09:35:00Z</dcterms:modified>
</cp:coreProperties>
</file>