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382B" w14:textId="77777777" w:rsidR="0084644D" w:rsidRPr="0084644D" w:rsidRDefault="0084644D" w:rsidP="0084644D">
      <w:pPr>
        <w:rPr>
          <w:rFonts w:ascii="Times New Roman" w:hAnsi="Times New Roman" w:cs="Times New Roman"/>
          <w:b/>
          <w:bCs/>
          <w:sz w:val="28"/>
          <w:szCs w:val="28"/>
          <w:lang w:eastAsia="en-US"/>
        </w:rPr>
      </w:pPr>
      <w:r w:rsidRPr="0084644D">
        <w:rPr>
          <w:rFonts w:ascii="Times New Roman" w:hAnsi="Times New Roman" w:cs="Times New Roman"/>
          <w:b/>
          <w:bCs/>
          <w:sz w:val="28"/>
          <w:szCs w:val="28"/>
          <w:lang w:eastAsia="en-US"/>
        </w:rPr>
        <w:t>Hvor og hvordan skal man bo og leve i fremtidens Grønland?</w:t>
      </w:r>
    </w:p>
    <w:p w14:paraId="1323A184" w14:textId="198CAB56" w:rsidR="0084644D" w:rsidRPr="0084644D" w:rsidRDefault="0084644D" w:rsidP="0084644D">
      <w:pPr>
        <w:pStyle w:val="ListParagraph"/>
        <w:numPr>
          <w:ilvl w:val="0"/>
          <w:numId w:val="2"/>
        </w:numPr>
        <w:rPr>
          <w:rFonts w:ascii="Times New Roman" w:hAnsi="Times New Roman" w:cs="Times New Roman"/>
          <w:b/>
          <w:bCs/>
          <w:sz w:val="24"/>
          <w:szCs w:val="24"/>
          <w:lang w:eastAsia="en-US"/>
        </w:rPr>
      </w:pPr>
      <w:r w:rsidRPr="0084644D">
        <w:rPr>
          <w:rFonts w:ascii="Times New Roman" w:hAnsi="Times New Roman" w:cs="Times New Roman"/>
          <w:b/>
          <w:bCs/>
          <w:sz w:val="24"/>
          <w:szCs w:val="24"/>
          <w:lang w:eastAsia="en-US"/>
        </w:rPr>
        <w:t>Forslag til fiskerilovgivning har konsekvenser langt udover fiskeriet – Del 2</w:t>
      </w:r>
    </w:p>
    <w:p w14:paraId="249B5C71" w14:textId="77777777" w:rsidR="0084644D" w:rsidRPr="0084644D" w:rsidRDefault="0084644D" w:rsidP="0084644D">
      <w:pPr>
        <w:jc w:val="both"/>
        <w:rPr>
          <w:rFonts w:ascii="Times New Roman" w:hAnsi="Times New Roman" w:cs="Times New Roman"/>
          <w:b/>
          <w:bCs/>
          <w:sz w:val="24"/>
          <w:szCs w:val="24"/>
          <w:lang w:eastAsia="en-US"/>
        </w:rPr>
      </w:pPr>
    </w:p>
    <w:p w14:paraId="2A12F171" w14:textId="77777777" w:rsidR="00590760" w:rsidRDefault="00590760" w:rsidP="00590760">
      <w:pPr>
        <w:rPr>
          <w:rFonts w:ascii="Times New Roman" w:hAnsi="Times New Roman" w:cs="Times New Roman"/>
          <w:i/>
          <w:iCs/>
        </w:rPr>
      </w:pPr>
      <w:r w:rsidRPr="00F0798E">
        <w:rPr>
          <w:rFonts w:ascii="Times New Roman" w:hAnsi="Times New Roman" w:cs="Times New Roman"/>
          <w:i/>
          <w:iCs/>
        </w:rPr>
        <w:t xml:space="preserve">Af: </w:t>
      </w:r>
    </w:p>
    <w:p w14:paraId="33C53AD7" w14:textId="77777777" w:rsidR="00590760" w:rsidRDefault="00590760" w:rsidP="00590760">
      <w:pPr>
        <w:rPr>
          <w:rFonts w:ascii="Times New Roman" w:hAnsi="Times New Roman" w:cs="Times New Roman"/>
          <w:i/>
          <w:iCs/>
        </w:rPr>
      </w:pPr>
      <w:r w:rsidRPr="00F0798E">
        <w:rPr>
          <w:rFonts w:ascii="Times New Roman" w:hAnsi="Times New Roman" w:cs="Times New Roman"/>
          <w:i/>
          <w:iCs/>
        </w:rPr>
        <w:t xml:space="preserve">Martin Reinhardt Nielsen, </w:t>
      </w:r>
      <w:proofErr w:type="spellStart"/>
      <w:r w:rsidRPr="00F0798E">
        <w:rPr>
          <w:rFonts w:ascii="Times New Roman" w:hAnsi="Times New Roman" w:cs="Times New Roman"/>
          <w:i/>
          <w:iCs/>
        </w:rPr>
        <w:t>PhD</w:t>
      </w:r>
      <w:proofErr w:type="spellEnd"/>
      <w:r w:rsidRPr="00F0798E">
        <w:rPr>
          <w:rFonts w:ascii="Times New Roman" w:hAnsi="Times New Roman" w:cs="Times New Roman"/>
          <w:i/>
          <w:iCs/>
        </w:rPr>
        <w:t>, lektor ved Institut for Fødevare- og Ressourceøkonomi på Københavns Universitet</w:t>
      </w:r>
    </w:p>
    <w:p w14:paraId="306F2C30" w14:textId="77777777" w:rsidR="00590760" w:rsidRPr="00F0798E" w:rsidRDefault="00590760" w:rsidP="00590760">
      <w:pPr>
        <w:rPr>
          <w:rFonts w:ascii="Times New Roman" w:hAnsi="Times New Roman" w:cs="Times New Roman"/>
          <w:i/>
          <w:iCs/>
        </w:rPr>
      </w:pPr>
      <w:r w:rsidRPr="00F0798E">
        <w:rPr>
          <w:rFonts w:ascii="Times New Roman" w:hAnsi="Times New Roman" w:cs="Times New Roman"/>
          <w:i/>
          <w:iCs/>
        </w:rPr>
        <w:t xml:space="preserve">Kåre Hendriksen, </w:t>
      </w:r>
      <w:proofErr w:type="spellStart"/>
      <w:r w:rsidRPr="00F0798E">
        <w:rPr>
          <w:rFonts w:ascii="Times New Roman" w:hAnsi="Times New Roman" w:cs="Times New Roman"/>
          <w:i/>
          <w:iCs/>
        </w:rPr>
        <w:t>PhD</w:t>
      </w:r>
      <w:proofErr w:type="spellEnd"/>
      <w:r w:rsidRPr="00F0798E">
        <w:rPr>
          <w:rFonts w:ascii="Times New Roman" w:hAnsi="Times New Roman" w:cs="Times New Roman"/>
          <w:i/>
          <w:iCs/>
        </w:rPr>
        <w:t>., lektor på Aalborg Universitet og ekstern lektor Danmarks Tekniske Universitet</w:t>
      </w:r>
    </w:p>
    <w:p w14:paraId="59B0D65D" w14:textId="77777777" w:rsidR="00590760" w:rsidRPr="00F0798E" w:rsidRDefault="00590760" w:rsidP="00590760">
      <w:pPr>
        <w:rPr>
          <w:rFonts w:ascii="Times New Roman" w:hAnsi="Times New Roman" w:cs="Times New Roman"/>
          <w:i/>
          <w:iCs/>
        </w:rPr>
      </w:pPr>
      <w:r w:rsidRPr="00F0798E">
        <w:rPr>
          <w:rFonts w:ascii="Times New Roman" w:hAnsi="Times New Roman" w:cs="Times New Roman"/>
          <w:i/>
          <w:iCs/>
        </w:rPr>
        <w:t xml:space="preserve">Birgitte Hoffman, </w:t>
      </w:r>
      <w:proofErr w:type="spellStart"/>
      <w:r w:rsidRPr="00F0798E">
        <w:rPr>
          <w:rFonts w:ascii="Times New Roman" w:hAnsi="Times New Roman" w:cs="Times New Roman"/>
          <w:i/>
          <w:iCs/>
        </w:rPr>
        <w:t>PhD</w:t>
      </w:r>
      <w:proofErr w:type="spellEnd"/>
      <w:r w:rsidRPr="00F0798E">
        <w:rPr>
          <w:rFonts w:ascii="Times New Roman" w:hAnsi="Times New Roman" w:cs="Times New Roman"/>
          <w:i/>
          <w:iCs/>
        </w:rPr>
        <w:t>, lektor på Aalborg Universitet og ekstern lektor Danmarks Tekniske Universitet</w:t>
      </w:r>
    </w:p>
    <w:p w14:paraId="33FEFE5C" w14:textId="77777777" w:rsidR="00590760" w:rsidRPr="00F0798E" w:rsidRDefault="00590760" w:rsidP="00590760">
      <w:pPr>
        <w:rPr>
          <w:rFonts w:ascii="Times New Roman" w:hAnsi="Times New Roman" w:cs="Times New Roman"/>
          <w:i/>
          <w:iCs/>
        </w:rPr>
      </w:pPr>
      <w:r w:rsidRPr="00F0798E">
        <w:rPr>
          <w:rFonts w:ascii="Times New Roman" w:hAnsi="Times New Roman" w:cs="Times New Roman"/>
          <w:i/>
          <w:iCs/>
        </w:rPr>
        <w:t xml:space="preserve">Rikke Becker Jacobsen, </w:t>
      </w:r>
      <w:proofErr w:type="spellStart"/>
      <w:r w:rsidRPr="00F0798E">
        <w:rPr>
          <w:rFonts w:ascii="Times New Roman" w:hAnsi="Times New Roman" w:cs="Times New Roman"/>
          <w:i/>
          <w:iCs/>
        </w:rPr>
        <w:t>PhD</w:t>
      </w:r>
      <w:proofErr w:type="spellEnd"/>
      <w:r w:rsidRPr="00F0798E">
        <w:rPr>
          <w:rFonts w:ascii="Times New Roman" w:hAnsi="Times New Roman" w:cs="Times New Roman"/>
          <w:i/>
          <w:iCs/>
        </w:rPr>
        <w:t xml:space="preserve">, lektor ved Centre for Blue </w:t>
      </w:r>
      <w:proofErr w:type="spellStart"/>
      <w:r w:rsidRPr="00F0798E">
        <w:rPr>
          <w:rFonts w:ascii="Times New Roman" w:hAnsi="Times New Roman" w:cs="Times New Roman"/>
          <w:i/>
          <w:iCs/>
        </w:rPr>
        <w:t>Governance</w:t>
      </w:r>
      <w:proofErr w:type="spellEnd"/>
      <w:r w:rsidRPr="00F0798E">
        <w:rPr>
          <w:rFonts w:ascii="Times New Roman" w:hAnsi="Times New Roman" w:cs="Times New Roman"/>
          <w:i/>
          <w:iCs/>
        </w:rPr>
        <w:t xml:space="preserve"> ved Aalborg Universitet</w:t>
      </w:r>
    </w:p>
    <w:p w14:paraId="35CCF537" w14:textId="77777777" w:rsidR="00590760" w:rsidRDefault="00590760" w:rsidP="00590760">
      <w:pPr>
        <w:rPr>
          <w:rFonts w:ascii="Times New Roman" w:hAnsi="Times New Roman" w:cs="Times New Roman"/>
          <w:i/>
          <w:iCs/>
        </w:rPr>
      </w:pPr>
      <w:r w:rsidRPr="00F0798E">
        <w:rPr>
          <w:rFonts w:ascii="Times New Roman" w:hAnsi="Times New Roman" w:cs="Times New Roman"/>
          <w:i/>
          <w:iCs/>
        </w:rPr>
        <w:t xml:space="preserve">Birger Poppel, Cand.polit., emeritus ved </w:t>
      </w:r>
      <w:proofErr w:type="spellStart"/>
      <w:r w:rsidRPr="00F0798E">
        <w:rPr>
          <w:rFonts w:ascii="Times New Roman" w:hAnsi="Times New Roman" w:cs="Times New Roman"/>
          <w:i/>
          <w:iCs/>
        </w:rPr>
        <w:t>Ilisimatusarfik</w:t>
      </w:r>
      <w:proofErr w:type="spellEnd"/>
    </w:p>
    <w:p w14:paraId="4A80BAD2" w14:textId="12E81081" w:rsidR="00590760" w:rsidRDefault="00590760" w:rsidP="00590760">
      <w:pPr>
        <w:rPr>
          <w:rFonts w:ascii="Times New Roman" w:hAnsi="Times New Roman" w:cs="Times New Roman"/>
          <w:i/>
          <w:iCs/>
        </w:rPr>
      </w:pPr>
      <w:r w:rsidRPr="00F0798E">
        <w:rPr>
          <w:rFonts w:ascii="Times New Roman" w:hAnsi="Times New Roman" w:cs="Times New Roman"/>
          <w:i/>
          <w:iCs/>
        </w:rPr>
        <w:t>Ulrik Jørgensen, Professor og konsulent</w:t>
      </w:r>
    </w:p>
    <w:p w14:paraId="62E38FDB" w14:textId="478BD571" w:rsidR="00590760" w:rsidRPr="00F0798E" w:rsidRDefault="00590760" w:rsidP="00590760">
      <w:pPr>
        <w:rPr>
          <w:rFonts w:ascii="Times New Roman" w:hAnsi="Times New Roman" w:cs="Times New Roman"/>
          <w:b/>
          <w:bCs/>
          <w:i/>
          <w:iCs/>
        </w:rPr>
      </w:pPr>
    </w:p>
    <w:p w14:paraId="1DFA24E2" w14:textId="77777777" w:rsidR="0084644D" w:rsidRPr="0084644D" w:rsidRDefault="0084644D" w:rsidP="0084644D">
      <w:pPr>
        <w:jc w:val="both"/>
        <w:rPr>
          <w:rFonts w:ascii="Times New Roman" w:hAnsi="Times New Roman" w:cs="Times New Roman"/>
          <w:b/>
          <w:bCs/>
          <w:sz w:val="24"/>
          <w:szCs w:val="24"/>
          <w:lang w:eastAsia="en-US"/>
        </w:rPr>
      </w:pPr>
    </w:p>
    <w:p w14:paraId="74E6F6EF" w14:textId="42CC8AD1" w:rsidR="00550D60" w:rsidRDefault="002E227E" w:rsidP="0084644D">
      <w:pPr>
        <w:spacing w:after="240"/>
        <w:jc w:val="both"/>
        <w:rPr>
          <w:rFonts w:ascii="Times New Roman" w:hAnsi="Times New Roman" w:cs="Times New Roman"/>
          <w:sz w:val="24"/>
          <w:szCs w:val="24"/>
        </w:rPr>
      </w:pPr>
      <w:r>
        <w:rPr>
          <w:rFonts w:ascii="Times New Roman" w:hAnsi="Times New Roman" w:cs="Times New Roman"/>
          <w:sz w:val="24"/>
          <w:szCs w:val="24"/>
        </w:rPr>
        <w:t xml:space="preserve">Som vi </w:t>
      </w:r>
      <w:r w:rsidR="00F66959">
        <w:rPr>
          <w:rFonts w:ascii="Times New Roman" w:hAnsi="Times New Roman" w:cs="Times New Roman"/>
          <w:sz w:val="24"/>
          <w:szCs w:val="24"/>
        </w:rPr>
        <w:t>be</w:t>
      </w:r>
      <w:r>
        <w:rPr>
          <w:rFonts w:ascii="Times New Roman" w:hAnsi="Times New Roman" w:cs="Times New Roman"/>
          <w:sz w:val="24"/>
          <w:szCs w:val="24"/>
        </w:rPr>
        <w:t>skrev i del 1 af denne kronik, kan f</w:t>
      </w:r>
      <w:r w:rsidR="0084644D" w:rsidRPr="0084644D">
        <w:rPr>
          <w:rFonts w:ascii="Times New Roman" w:hAnsi="Times New Roman" w:cs="Times New Roman"/>
          <w:sz w:val="24"/>
          <w:szCs w:val="24"/>
        </w:rPr>
        <w:t xml:space="preserve">orslaget til Inatsisartutlov om fiskeri betyde radikale forandringer for alle, der lever af at fiske samt deres familier og lokalsamfund. Konsekvenserne af forslaget rækker langt ud over regulering af fiskeriet og kan reducere mulighederne for indtjening og dermed livsgrundlaget i mange </w:t>
      </w:r>
      <w:r w:rsidR="007A38E7">
        <w:rPr>
          <w:rFonts w:ascii="Times New Roman" w:hAnsi="Times New Roman" w:cs="Times New Roman"/>
          <w:sz w:val="24"/>
          <w:szCs w:val="24"/>
        </w:rPr>
        <w:t xml:space="preserve">mindre </w:t>
      </w:r>
      <w:r w:rsidR="0084644D" w:rsidRPr="0084644D">
        <w:rPr>
          <w:rFonts w:ascii="Times New Roman" w:hAnsi="Times New Roman" w:cs="Times New Roman"/>
          <w:sz w:val="24"/>
          <w:szCs w:val="24"/>
        </w:rPr>
        <w:t>byer og bygder. Forslaget har som afsæt at sikre et bæredygtigt fiskeri i Grønland, men der er stor risiko for</w:t>
      </w:r>
      <w:r>
        <w:rPr>
          <w:rFonts w:ascii="Times New Roman" w:hAnsi="Times New Roman" w:cs="Times New Roman"/>
          <w:sz w:val="24"/>
          <w:szCs w:val="24"/>
        </w:rPr>
        <w:t>,</w:t>
      </w:r>
      <w:r w:rsidR="0084644D" w:rsidRPr="0084644D">
        <w:rPr>
          <w:rFonts w:ascii="Times New Roman" w:hAnsi="Times New Roman" w:cs="Times New Roman"/>
          <w:sz w:val="24"/>
          <w:szCs w:val="24"/>
        </w:rPr>
        <w:t xml:space="preserve"> at den </w:t>
      </w:r>
      <w:r>
        <w:rPr>
          <w:rFonts w:ascii="Times New Roman" w:hAnsi="Times New Roman" w:cs="Times New Roman"/>
          <w:sz w:val="24"/>
          <w:szCs w:val="24"/>
        </w:rPr>
        <w:t xml:space="preserve">ønskede </w:t>
      </w:r>
      <w:r w:rsidR="0084644D" w:rsidRPr="0084644D">
        <w:rPr>
          <w:rFonts w:ascii="Times New Roman" w:hAnsi="Times New Roman" w:cs="Times New Roman"/>
          <w:sz w:val="24"/>
          <w:szCs w:val="24"/>
        </w:rPr>
        <w:t>effektivisering</w:t>
      </w:r>
      <w:r w:rsidR="00FE7B58">
        <w:rPr>
          <w:rFonts w:ascii="Times New Roman" w:hAnsi="Times New Roman" w:cs="Times New Roman"/>
          <w:sz w:val="24"/>
          <w:szCs w:val="24"/>
        </w:rPr>
        <w:t xml:space="preserve"> </w:t>
      </w:r>
      <w:r w:rsidR="00FD0612">
        <w:rPr>
          <w:rFonts w:ascii="Times New Roman" w:hAnsi="Times New Roman" w:cs="Times New Roman"/>
          <w:sz w:val="24"/>
          <w:szCs w:val="24"/>
        </w:rPr>
        <w:t>af det kystnære fiskeri</w:t>
      </w:r>
      <w:r w:rsidR="0084644D" w:rsidRPr="0084644D">
        <w:rPr>
          <w:rFonts w:ascii="Times New Roman" w:hAnsi="Times New Roman" w:cs="Times New Roman"/>
          <w:sz w:val="24"/>
          <w:szCs w:val="24"/>
        </w:rPr>
        <w:t xml:space="preserve"> betyder</w:t>
      </w:r>
      <w:r>
        <w:rPr>
          <w:rFonts w:ascii="Times New Roman" w:hAnsi="Times New Roman" w:cs="Times New Roman"/>
          <w:sz w:val="24"/>
          <w:szCs w:val="24"/>
        </w:rPr>
        <w:t>,</w:t>
      </w:r>
      <w:r w:rsidR="0084644D" w:rsidRPr="0084644D">
        <w:rPr>
          <w:rFonts w:ascii="Times New Roman" w:hAnsi="Times New Roman" w:cs="Times New Roman"/>
          <w:sz w:val="24"/>
          <w:szCs w:val="24"/>
        </w:rPr>
        <w:t xml:space="preserve"> at fortjenesten ved Grønlands </w:t>
      </w:r>
      <w:r w:rsidR="007A38E7">
        <w:rPr>
          <w:rFonts w:ascii="Times New Roman" w:hAnsi="Times New Roman" w:cs="Times New Roman"/>
          <w:sz w:val="24"/>
          <w:szCs w:val="24"/>
        </w:rPr>
        <w:t>fiske</w:t>
      </w:r>
      <w:r w:rsidR="0084644D" w:rsidRPr="0084644D">
        <w:rPr>
          <w:rFonts w:ascii="Times New Roman" w:hAnsi="Times New Roman" w:cs="Times New Roman"/>
          <w:sz w:val="24"/>
          <w:szCs w:val="24"/>
        </w:rPr>
        <w:t xml:space="preserve">ressourcer ender på få hænder og formodentligt ikke i </w:t>
      </w:r>
      <w:r>
        <w:rPr>
          <w:rFonts w:ascii="Times New Roman" w:hAnsi="Times New Roman" w:cs="Times New Roman"/>
          <w:sz w:val="24"/>
          <w:szCs w:val="24"/>
        </w:rPr>
        <w:t xml:space="preserve">de berørte </w:t>
      </w:r>
      <w:r w:rsidR="0084644D" w:rsidRPr="0084644D">
        <w:rPr>
          <w:rFonts w:ascii="Times New Roman" w:hAnsi="Times New Roman" w:cs="Times New Roman"/>
          <w:sz w:val="24"/>
          <w:szCs w:val="24"/>
        </w:rPr>
        <w:t>bosteder. Forslaget handler ikke kun om en effektiv regulering af fiskeriet, men vil påvirke hele samfundet og afgøre</w:t>
      </w:r>
      <w:r>
        <w:rPr>
          <w:rFonts w:ascii="Times New Roman" w:hAnsi="Times New Roman" w:cs="Times New Roman"/>
          <w:sz w:val="24"/>
          <w:szCs w:val="24"/>
        </w:rPr>
        <w:t>,</w:t>
      </w:r>
      <w:r w:rsidR="0084644D" w:rsidRPr="0084644D">
        <w:rPr>
          <w:rFonts w:ascii="Times New Roman" w:hAnsi="Times New Roman" w:cs="Times New Roman"/>
          <w:sz w:val="24"/>
          <w:szCs w:val="24"/>
        </w:rPr>
        <w:t xml:space="preserve"> hvor og hvordan man kan leve i fremtidens Grønland.   </w:t>
      </w:r>
    </w:p>
    <w:p w14:paraId="293E3543" w14:textId="6BF32C1A" w:rsidR="0084644D" w:rsidRDefault="0084644D" w:rsidP="0084644D">
      <w:pPr>
        <w:spacing w:after="240"/>
        <w:jc w:val="both"/>
        <w:rPr>
          <w:rFonts w:ascii="Times New Roman" w:hAnsi="Times New Roman" w:cs="Times New Roman"/>
          <w:sz w:val="24"/>
          <w:szCs w:val="24"/>
        </w:rPr>
      </w:pPr>
      <w:r w:rsidRPr="0084644D">
        <w:rPr>
          <w:rFonts w:ascii="Times New Roman" w:hAnsi="Times New Roman" w:cs="Times New Roman"/>
          <w:sz w:val="24"/>
          <w:szCs w:val="24"/>
        </w:rPr>
        <w:t>I denne kronik peger vi på vigtige og helt ubesvarede spørgsmål og uklarheder i det konkrete forslag til Inatsisartutlov om fiskeri, der netop er sendt i høring af Departementet for Fiskeri og Fangst</w:t>
      </w:r>
      <w:r w:rsidR="002E227E">
        <w:rPr>
          <w:rFonts w:ascii="Times New Roman" w:hAnsi="Times New Roman" w:cs="Times New Roman"/>
          <w:sz w:val="24"/>
          <w:szCs w:val="24"/>
        </w:rPr>
        <w:t xml:space="preserve">, </w:t>
      </w:r>
      <w:r w:rsidRPr="0084644D">
        <w:rPr>
          <w:rFonts w:ascii="Times New Roman" w:hAnsi="Times New Roman" w:cs="Times New Roman"/>
          <w:sz w:val="24"/>
          <w:szCs w:val="24"/>
        </w:rPr>
        <w:t xml:space="preserve">og </w:t>
      </w:r>
      <w:r w:rsidR="002E227E">
        <w:rPr>
          <w:rFonts w:ascii="Times New Roman" w:hAnsi="Times New Roman" w:cs="Times New Roman"/>
          <w:sz w:val="24"/>
          <w:szCs w:val="24"/>
        </w:rPr>
        <w:t xml:space="preserve">som </w:t>
      </w:r>
      <w:r w:rsidRPr="0084644D">
        <w:rPr>
          <w:rFonts w:ascii="Times New Roman" w:hAnsi="Times New Roman" w:cs="Times New Roman"/>
          <w:sz w:val="24"/>
          <w:szCs w:val="24"/>
        </w:rPr>
        <w:t xml:space="preserve">forventes fremsat til behandling </w:t>
      </w:r>
      <w:r w:rsidR="002E227E">
        <w:rPr>
          <w:rFonts w:ascii="Times New Roman" w:hAnsi="Times New Roman" w:cs="Times New Roman"/>
          <w:sz w:val="24"/>
          <w:szCs w:val="24"/>
        </w:rPr>
        <w:t xml:space="preserve">i </w:t>
      </w:r>
      <w:r w:rsidRPr="0084644D">
        <w:rPr>
          <w:rFonts w:ascii="Times New Roman" w:hAnsi="Times New Roman" w:cs="Times New Roman"/>
          <w:sz w:val="24"/>
          <w:szCs w:val="24"/>
        </w:rPr>
        <w:t xml:space="preserve">Inatsisartut til forårssamlingen i 2024. Vi fremhæver nogle mulige konsekvenser af forslaget, som man ikke kan læse direkte i teksten, og </w:t>
      </w:r>
      <w:r w:rsidR="00195096">
        <w:rPr>
          <w:rFonts w:ascii="Times New Roman" w:hAnsi="Times New Roman" w:cs="Times New Roman"/>
          <w:sz w:val="24"/>
          <w:szCs w:val="24"/>
        </w:rPr>
        <w:t>i</w:t>
      </w:r>
      <w:r w:rsidR="00FD0612">
        <w:rPr>
          <w:rFonts w:ascii="Times New Roman" w:hAnsi="Times New Roman" w:cs="Times New Roman"/>
          <w:sz w:val="24"/>
          <w:szCs w:val="24"/>
        </w:rPr>
        <w:t xml:space="preserve"> del 1. af kronikken </w:t>
      </w:r>
      <w:r w:rsidR="00195096">
        <w:rPr>
          <w:rFonts w:ascii="Times New Roman" w:hAnsi="Times New Roman" w:cs="Times New Roman"/>
          <w:sz w:val="24"/>
          <w:szCs w:val="24"/>
        </w:rPr>
        <w:t xml:space="preserve">har vi </w:t>
      </w:r>
      <w:r w:rsidRPr="0084644D">
        <w:rPr>
          <w:rFonts w:ascii="Times New Roman" w:hAnsi="Times New Roman" w:cs="Times New Roman"/>
          <w:sz w:val="24"/>
          <w:szCs w:val="24"/>
        </w:rPr>
        <w:t>pege</w:t>
      </w:r>
      <w:r w:rsidR="00195096">
        <w:rPr>
          <w:rFonts w:ascii="Times New Roman" w:hAnsi="Times New Roman" w:cs="Times New Roman"/>
          <w:sz w:val="24"/>
          <w:szCs w:val="24"/>
        </w:rPr>
        <w:t xml:space="preserve">t </w:t>
      </w:r>
      <w:r w:rsidRPr="0084644D">
        <w:rPr>
          <w:rFonts w:ascii="Times New Roman" w:hAnsi="Times New Roman" w:cs="Times New Roman"/>
          <w:sz w:val="24"/>
          <w:szCs w:val="24"/>
        </w:rPr>
        <w:t>på alternative muligheder for regulering af det kystnære fiskeri.</w:t>
      </w:r>
    </w:p>
    <w:p w14:paraId="79322007" w14:textId="77777777" w:rsidR="0084644D" w:rsidRPr="00DC29EE" w:rsidRDefault="0084644D" w:rsidP="0084644D">
      <w:pPr>
        <w:pStyle w:val="Heading1"/>
        <w:rPr>
          <w:rFonts w:ascii="Times New Roman" w:eastAsia="Times New Roman" w:hAnsi="Times New Roman" w:cs="Times New Roman"/>
          <w:b/>
          <w:bCs/>
          <w:color w:val="auto"/>
          <w:sz w:val="28"/>
          <w:szCs w:val="28"/>
          <w:lang w:val="da-DK"/>
        </w:rPr>
      </w:pPr>
      <w:r w:rsidRPr="00DC29EE">
        <w:rPr>
          <w:rFonts w:ascii="Times New Roman" w:eastAsia="Times New Roman" w:hAnsi="Times New Roman" w:cs="Times New Roman"/>
          <w:b/>
          <w:bCs/>
          <w:color w:val="auto"/>
          <w:sz w:val="28"/>
          <w:szCs w:val="28"/>
          <w:lang w:val="da-DK"/>
        </w:rPr>
        <w:t>Kvoteloft og hvem der kan købe</w:t>
      </w:r>
      <w:r>
        <w:rPr>
          <w:rFonts w:ascii="Times New Roman" w:eastAsia="Times New Roman" w:hAnsi="Times New Roman" w:cs="Times New Roman"/>
          <w:b/>
          <w:bCs/>
          <w:color w:val="auto"/>
          <w:sz w:val="28"/>
          <w:szCs w:val="28"/>
          <w:lang w:val="da-DK"/>
        </w:rPr>
        <w:t xml:space="preserve"> kvoter?</w:t>
      </w:r>
    </w:p>
    <w:p w14:paraId="3FB4489A" w14:textId="51C1BED3" w:rsidR="002E227E" w:rsidRDefault="0084644D" w:rsidP="002E227E">
      <w:pPr>
        <w:spacing w:after="240"/>
        <w:jc w:val="both"/>
        <w:rPr>
          <w:rFonts w:ascii="Times New Roman" w:eastAsia="Times New Roman" w:hAnsi="Times New Roman" w:cs="Times New Roman"/>
          <w:sz w:val="24"/>
          <w:szCs w:val="24"/>
          <w:lang w:eastAsia="en-US"/>
        </w:rPr>
      </w:pPr>
      <w:r w:rsidRPr="00A20F99">
        <w:rPr>
          <w:rFonts w:ascii="Times New Roman" w:eastAsia="Times New Roman" w:hAnsi="Times New Roman" w:cs="Times New Roman"/>
          <w:sz w:val="24"/>
          <w:szCs w:val="24"/>
          <w:lang w:eastAsia="en-US"/>
        </w:rPr>
        <w:t xml:space="preserve">Som lovforslaget er udformet, har alle fiskere med mindst 5 års bopæl i Grønland ret til at købe </w:t>
      </w:r>
      <w:r w:rsidR="007A38E7">
        <w:rPr>
          <w:rFonts w:ascii="Times New Roman" w:eastAsia="Times New Roman" w:hAnsi="Times New Roman" w:cs="Times New Roman"/>
          <w:sz w:val="24"/>
          <w:szCs w:val="24"/>
          <w:lang w:eastAsia="en-US"/>
        </w:rPr>
        <w:t>Individuelle Omsættelige K</w:t>
      </w:r>
      <w:r w:rsidRPr="00A20F99">
        <w:rPr>
          <w:rFonts w:ascii="Times New Roman" w:eastAsia="Times New Roman" w:hAnsi="Times New Roman" w:cs="Times New Roman"/>
          <w:sz w:val="24"/>
          <w:szCs w:val="24"/>
          <w:lang w:eastAsia="en-US"/>
        </w:rPr>
        <w:t>voter</w:t>
      </w:r>
      <w:r w:rsidR="007A38E7">
        <w:rPr>
          <w:rFonts w:ascii="Times New Roman" w:eastAsia="Times New Roman" w:hAnsi="Times New Roman" w:cs="Times New Roman"/>
          <w:sz w:val="24"/>
          <w:szCs w:val="24"/>
          <w:lang w:eastAsia="en-US"/>
        </w:rPr>
        <w:t xml:space="preserve"> (</w:t>
      </w:r>
      <w:proofErr w:type="spellStart"/>
      <w:r w:rsidR="007A38E7">
        <w:rPr>
          <w:rFonts w:ascii="Times New Roman" w:eastAsia="Times New Roman" w:hAnsi="Times New Roman" w:cs="Times New Roman"/>
          <w:sz w:val="24"/>
          <w:szCs w:val="24"/>
          <w:lang w:eastAsia="en-US"/>
        </w:rPr>
        <w:t>IOK’er</w:t>
      </w:r>
      <w:proofErr w:type="spellEnd"/>
      <w:r w:rsidR="007A38E7">
        <w:rPr>
          <w:rFonts w:ascii="Times New Roman" w:eastAsia="Times New Roman" w:hAnsi="Times New Roman" w:cs="Times New Roman"/>
          <w:sz w:val="24"/>
          <w:szCs w:val="24"/>
          <w:lang w:eastAsia="en-US"/>
        </w:rPr>
        <w:t>)</w:t>
      </w:r>
      <w:r w:rsidRPr="00A20F99">
        <w:rPr>
          <w:rFonts w:ascii="Times New Roman" w:eastAsia="Times New Roman" w:hAnsi="Times New Roman" w:cs="Times New Roman"/>
          <w:sz w:val="24"/>
          <w:szCs w:val="24"/>
          <w:lang w:eastAsia="en-US"/>
        </w:rPr>
        <w:t>, også i område 47, uanset hvor man bor. E</w:t>
      </w:r>
      <w:r>
        <w:rPr>
          <w:rFonts w:ascii="Times New Roman" w:eastAsia="Times New Roman" w:hAnsi="Times New Roman" w:cs="Times New Roman"/>
          <w:sz w:val="24"/>
          <w:szCs w:val="24"/>
          <w:lang w:eastAsia="en-US"/>
        </w:rPr>
        <w:t>rfaringerne viser, at e</w:t>
      </w:r>
      <w:r w:rsidRPr="00A20F99">
        <w:rPr>
          <w:rFonts w:ascii="Times New Roman" w:eastAsia="Times New Roman" w:hAnsi="Times New Roman" w:cs="Times New Roman"/>
          <w:sz w:val="24"/>
          <w:szCs w:val="24"/>
          <w:lang w:eastAsia="en-US"/>
        </w:rPr>
        <w:t>fterhånden som handlen med kvoterne intensiveres</w:t>
      </w:r>
      <w:r>
        <w:rPr>
          <w:rFonts w:ascii="Times New Roman" w:eastAsia="Times New Roman" w:hAnsi="Times New Roman" w:cs="Times New Roman"/>
          <w:sz w:val="24"/>
          <w:szCs w:val="24"/>
          <w:lang w:eastAsia="en-US"/>
        </w:rPr>
        <w:t>,</w:t>
      </w:r>
      <w:r w:rsidRPr="00A20F99">
        <w:rPr>
          <w:rFonts w:ascii="Times New Roman" w:eastAsia="Times New Roman" w:hAnsi="Times New Roman" w:cs="Times New Roman"/>
          <w:sz w:val="24"/>
          <w:szCs w:val="24"/>
          <w:lang w:eastAsia="en-US"/>
        </w:rPr>
        <w:t xml:space="preserve"> vil priserne stige</w:t>
      </w:r>
      <w:r w:rsidR="00FD0612">
        <w:rPr>
          <w:rFonts w:ascii="Times New Roman" w:eastAsia="Times New Roman" w:hAnsi="Times New Roman" w:cs="Times New Roman"/>
          <w:sz w:val="24"/>
          <w:szCs w:val="24"/>
          <w:lang w:eastAsia="en-US"/>
        </w:rPr>
        <w:t>,</w:t>
      </w:r>
      <w:r w:rsidRPr="00A20F99">
        <w:rPr>
          <w:rFonts w:ascii="Times New Roman" w:eastAsia="Times New Roman" w:hAnsi="Times New Roman" w:cs="Times New Roman"/>
          <w:sz w:val="24"/>
          <w:szCs w:val="24"/>
          <w:lang w:eastAsia="en-US"/>
        </w:rPr>
        <w:t xml:space="preserve"> og kvoterne vil typisk blive solgt til dem, der byder den højeste pris. Samtidig gør lovforslaget det muligt for grønlandske (og udenlandske) borgere at investere i fiskeriet via pensionsselskaber eller lignende med hovedsæde i Grønland, hvilket </w:t>
      </w:r>
      <w:r w:rsidR="00942EA4">
        <w:rPr>
          <w:rFonts w:ascii="Times New Roman" w:eastAsia="Times New Roman" w:hAnsi="Times New Roman" w:cs="Times New Roman"/>
          <w:sz w:val="24"/>
          <w:szCs w:val="24"/>
          <w:lang w:eastAsia="en-US"/>
        </w:rPr>
        <w:t xml:space="preserve">kan </w:t>
      </w:r>
      <w:r w:rsidRPr="00A20F99">
        <w:rPr>
          <w:rFonts w:ascii="Times New Roman" w:eastAsia="Times New Roman" w:hAnsi="Times New Roman" w:cs="Times New Roman"/>
          <w:sz w:val="24"/>
          <w:szCs w:val="24"/>
          <w:lang w:eastAsia="en-US"/>
        </w:rPr>
        <w:t xml:space="preserve">bidrage til at presse priserne yderligere op. </w:t>
      </w:r>
    </w:p>
    <w:p w14:paraId="1303ACC0" w14:textId="02C8491C" w:rsidR="0084644D" w:rsidRPr="00A20F99" w:rsidRDefault="0084644D" w:rsidP="002E227E">
      <w:pPr>
        <w:spacing w:after="240"/>
        <w:jc w:val="both"/>
        <w:rPr>
          <w:rFonts w:ascii="Times New Roman" w:eastAsia="Times New Roman" w:hAnsi="Times New Roman" w:cs="Times New Roman"/>
          <w:sz w:val="24"/>
          <w:szCs w:val="24"/>
          <w:lang w:eastAsia="en-US"/>
        </w:rPr>
      </w:pPr>
      <w:r w:rsidRPr="00A20F99">
        <w:rPr>
          <w:rFonts w:ascii="Times New Roman" w:eastAsia="Times New Roman" w:hAnsi="Times New Roman" w:cs="Times New Roman"/>
          <w:sz w:val="24"/>
          <w:szCs w:val="24"/>
          <w:lang w:eastAsia="en-US"/>
        </w:rPr>
        <w:t xml:space="preserve">Lovforslaget sikrer ikke, at en bestemt del af </w:t>
      </w:r>
      <w:r>
        <w:rPr>
          <w:rFonts w:ascii="Times New Roman" w:eastAsia="Times New Roman" w:hAnsi="Times New Roman" w:cs="Times New Roman"/>
          <w:sz w:val="24"/>
          <w:szCs w:val="24"/>
          <w:lang w:eastAsia="en-US"/>
        </w:rPr>
        <w:t>den samlede kvote</w:t>
      </w:r>
      <w:r w:rsidRPr="00A20F99">
        <w:rPr>
          <w:rFonts w:ascii="Times New Roman" w:eastAsia="Times New Roman" w:hAnsi="Times New Roman" w:cs="Times New Roman"/>
          <w:sz w:val="24"/>
          <w:szCs w:val="24"/>
          <w:lang w:eastAsia="en-US"/>
        </w:rPr>
        <w:t xml:space="preserve"> for område 47 </w:t>
      </w:r>
      <w:r>
        <w:rPr>
          <w:rFonts w:ascii="Times New Roman" w:eastAsia="Times New Roman" w:hAnsi="Times New Roman" w:cs="Times New Roman"/>
          <w:sz w:val="24"/>
          <w:szCs w:val="24"/>
          <w:lang w:eastAsia="en-US"/>
        </w:rPr>
        <w:t>ørem</w:t>
      </w:r>
      <w:r w:rsidR="00195096">
        <w:rPr>
          <w:rFonts w:ascii="Times New Roman" w:eastAsia="Times New Roman" w:hAnsi="Times New Roman" w:cs="Times New Roman"/>
          <w:sz w:val="24"/>
          <w:szCs w:val="24"/>
          <w:lang w:eastAsia="en-US"/>
        </w:rPr>
        <w:t>æ</w:t>
      </w:r>
      <w:r>
        <w:rPr>
          <w:rFonts w:ascii="Times New Roman" w:eastAsia="Times New Roman" w:hAnsi="Times New Roman" w:cs="Times New Roman"/>
          <w:sz w:val="24"/>
          <w:szCs w:val="24"/>
          <w:lang w:eastAsia="en-US"/>
        </w:rPr>
        <w:t xml:space="preserve">rkes til </w:t>
      </w:r>
      <w:r w:rsidRPr="00A20F99">
        <w:rPr>
          <w:rFonts w:ascii="Times New Roman" w:eastAsia="Times New Roman" w:hAnsi="Times New Roman" w:cs="Times New Roman"/>
          <w:sz w:val="24"/>
          <w:szCs w:val="24"/>
          <w:lang w:eastAsia="en-US"/>
        </w:rPr>
        <w:t>joller eller mindre kutter</w:t>
      </w:r>
      <w:r w:rsidR="00195096">
        <w:rPr>
          <w:rFonts w:ascii="Times New Roman" w:eastAsia="Times New Roman" w:hAnsi="Times New Roman" w:cs="Times New Roman"/>
          <w:sz w:val="24"/>
          <w:szCs w:val="24"/>
          <w:lang w:eastAsia="en-US"/>
        </w:rPr>
        <w:t>e</w:t>
      </w:r>
      <w:r w:rsidRPr="00A20F99">
        <w:rPr>
          <w:rFonts w:ascii="Times New Roman" w:eastAsia="Times New Roman" w:hAnsi="Times New Roman" w:cs="Times New Roman"/>
          <w:sz w:val="24"/>
          <w:szCs w:val="24"/>
          <w:lang w:eastAsia="en-US"/>
        </w:rPr>
        <w:t>. Samtidig har fiskere med store fartøjer</w:t>
      </w:r>
      <w:r w:rsidR="00A833BE">
        <w:rPr>
          <w:rFonts w:ascii="Times New Roman" w:eastAsia="Times New Roman" w:hAnsi="Times New Roman" w:cs="Times New Roman"/>
          <w:sz w:val="24"/>
          <w:szCs w:val="24"/>
          <w:lang w:eastAsia="en-US"/>
        </w:rPr>
        <w:t>,</w:t>
      </w:r>
      <w:r w:rsidRPr="00A20F99">
        <w:rPr>
          <w:rFonts w:ascii="Times New Roman" w:eastAsia="Times New Roman" w:hAnsi="Times New Roman" w:cs="Times New Roman"/>
          <w:sz w:val="24"/>
          <w:szCs w:val="24"/>
          <w:lang w:eastAsia="en-US"/>
        </w:rPr>
        <w:t xml:space="preserve"> </w:t>
      </w:r>
      <w:r w:rsidR="002E227E">
        <w:rPr>
          <w:rFonts w:ascii="Times New Roman" w:eastAsia="Times New Roman" w:hAnsi="Times New Roman" w:cs="Times New Roman"/>
          <w:sz w:val="24"/>
          <w:szCs w:val="24"/>
          <w:lang w:eastAsia="en-US"/>
        </w:rPr>
        <w:t xml:space="preserve">som bor </w:t>
      </w:r>
      <w:r w:rsidRPr="00A20F99">
        <w:rPr>
          <w:rFonts w:ascii="Times New Roman" w:eastAsia="Times New Roman" w:hAnsi="Times New Roman" w:cs="Times New Roman"/>
          <w:sz w:val="24"/>
          <w:szCs w:val="24"/>
          <w:lang w:eastAsia="en-US"/>
        </w:rPr>
        <w:t>i de større byer</w:t>
      </w:r>
      <w:r w:rsidR="00A833BE">
        <w:rPr>
          <w:rFonts w:ascii="Times New Roman" w:eastAsia="Times New Roman" w:hAnsi="Times New Roman" w:cs="Times New Roman"/>
          <w:sz w:val="24"/>
          <w:szCs w:val="24"/>
          <w:lang w:eastAsia="en-US"/>
        </w:rPr>
        <w:t>,</w:t>
      </w:r>
      <w:r w:rsidRPr="00A20F99">
        <w:rPr>
          <w:rFonts w:ascii="Times New Roman" w:eastAsia="Times New Roman" w:hAnsi="Times New Roman" w:cs="Times New Roman"/>
          <w:sz w:val="24"/>
          <w:szCs w:val="24"/>
          <w:lang w:eastAsia="en-US"/>
        </w:rPr>
        <w:t xml:space="preserve"> betydelige letter</w:t>
      </w:r>
      <w:r>
        <w:rPr>
          <w:rFonts w:ascii="Times New Roman" w:eastAsia="Times New Roman" w:hAnsi="Times New Roman" w:cs="Times New Roman"/>
          <w:sz w:val="24"/>
          <w:szCs w:val="24"/>
          <w:lang w:eastAsia="en-US"/>
        </w:rPr>
        <w:t>e</w:t>
      </w:r>
      <w:r w:rsidRPr="00A20F99">
        <w:rPr>
          <w:rFonts w:ascii="Times New Roman" w:eastAsia="Times New Roman" w:hAnsi="Times New Roman" w:cs="Times New Roman"/>
          <w:sz w:val="24"/>
          <w:szCs w:val="24"/>
          <w:lang w:eastAsia="en-US"/>
        </w:rPr>
        <w:t xml:space="preserve"> ved at stille </w:t>
      </w:r>
      <w:r w:rsidR="002E227E">
        <w:rPr>
          <w:rFonts w:ascii="Times New Roman" w:eastAsia="Times New Roman" w:hAnsi="Times New Roman" w:cs="Times New Roman"/>
          <w:sz w:val="24"/>
          <w:szCs w:val="24"/>
          <w:lang w:eastAsia="en-US"/>
        </w:rPr>
        <w:t xml:space="preserve">økonomisk </w:t>
      </w:r>
      <w:r w:rsidRPr="00A20F99">
        <w:rPr>
          <w:rFonts w:ascii="Times New Roman" w:eastAsia="Times New Roman" w:hAnsi="Times New Roman" w:cs="Times New Roman"/>
          <w:sz w:val="24"/>
          <w:szCs w:val="24"/>
          <w:lang w:eastAsia="en-US"/>
        </w:rPr>
        <w:t xml:space="preserve">sikkerhed, optage banklån og blive tilgodeset af investorer. Det indebærer, at kvoterne i område 47 </w:t>
      </w:r>
      <w:r>
        <w:rPr>
          <w:rFonts w:ascii="Times New Roman" w:eastAsia="Times New Roman" w:hAnsi="Times New Roman" w:cs="Times New Roman"/>
          <w:sz w:val="24"/>
          <w:szCs w:val="24"/>
          <w:lang w:eastAsia="en-US"/>
        </w:rPr>
        <w:t xml:space="preserve">formodentligt i stigende grad vil </w:t>
      </w:r>
      <w:r w:rsidRPr="00A20F99">
        <w:rPr>
          <w:rFonts w:ascii="Times New Roman" w:eastAsia="Times New Roman" w:hAnsi="Times New Roman" w:cs="Times New Roman"/>
          <w:sz w:val="24"/>
          <w:szCs w:val="24"/>
          <w:lang w:eastAsia="en-US"/>
        </w:rPr>
        <w:t xml:space="preserve">blive </w:t>
      </w:r>
      <w:r>
        <w:rPr>
          <w:rFonts w:ascii="Times New Roman" w:eastAsia="Times New Roman" w:hAnsi="Times New Roman" w:cs="Times New Roman"/>
          <w:sz w:val="24"/>
          <w:szCs w:val="24"/>
          <w:lang w:eastAsia="en-US"/>
        </w:rPr>
        <w:t>’</w:t>
      </w:r>
      <w:r w:rsidRPr="00A20F99">
        <w:rPr>
          <w:rFonts w:ascii="Times New Roman" w:eastAsia="Times New Roman" w:hAnsi="Times New Roman" w:cs="Times New Roman"/>
          <w:sz w:val="24"/>
          <w:szCs w:val="24"/>
          <w:lang w:eastAsia="en-US"/>
        </w:rPr>
        <w:t xml:space="preserve">solgt ud af </w:t>
      </w:r>
      <w:r w:rsidR="007A38E7">
        <w:rPr>
          <w:rFonts w:ascii="Times New Roman" w:eastAsia="Times New Roman" w:hAnsi="Times New Roman" w:cs="Times New Roman"/>
          <w:sz w:val="24"/>
          <w:szCs w:val="24"/>
          <w:lang w:eastAsia="en-US"/>
        </w:rPr>
        <w:t>bygderne’</w:t>
      </w:r>
      <w:r w:rsidRPr="00A20F99">
        <w:rPr>
          <w:rFonts w:ascii="Times New Roman" w:eastAsia="Times New Roman" w:hAnsi="Times New Roman" w:cs="Times New Roman"/>
          <w:sz w:val="24"/>
          <w:szCs w:val="24"/>
          <w:lang w:eastAsia="en-US"/>
        </w:rPr>
        <w:t xml:space="preserve"> og potentielt til </w:t>
      </w:r>
      <w:r>
        <w:rPr>
          <w:rFonts w:ascii="Times New Roman" w:eastAsia="Times New Roman" w:hAnsi="Times New Roman" w:cs="Times New Roman"/>
          <w:sz w:val="24"/>
          <w:szCs w:val="24"/>
          <w:lang w:eastAsia="en-US"/>
        </w:rPr>
        <w:t>folk</w:t>
      </w:r>
      <w:r w:rsidRPr="00A20F99">
        <w:rPr>
          <w:rFonts w:ascii="Times New Roman" w:eastAsia="Times New Roman" w:hAnsi="Times New Roman" w:cs="Times New Roman"/>
          <w:sz w:val="24"/>
          <w:szCs w:val="24"/>
          <w:lang w:eastAsia="en-US"/>
        </w:rPr>
        <w:t xml:space="preserve">, der </w:t>
      </w:r>
      <w:r>
        <w:rPr>
          <w:rFonts w:ascii="Times New Roman" w:eastAsia="Times New Roman" w:hAnsi="Times New Roman" w:cs="Times New Roman"/>
          <w:sz w:val="24"/>
          <w:szCs w:val="24"/>
          <w:lang w:eastAsia="en-US"/>
        </w:rPr>
        <w:t xml:space="preserve">ikke </w:t>
      </w:r>
      <w:r w:rsidRPr="00A20F99">
        <w:rPr>
          <w:rFonts w:ascii="Times New Roman" w:eastAsia="Times New Roman" w:hAnsi="Times New Roman" w:cs="Times New Roman"/>
          <w:sz w:val="24"/>
          <w:szCs w:val="24"/>
          <w:lang w:eastAsia="en-US"/>
        </w:rPr>
        <w:t xml:space="preserve">bor </w:t>
      </w:r>
      <w:r>
        <w:rPr>
          <w:rFonts w:ascii="Times New Roman" w:eastAsia="Times New Roman" w:hAnsi="Times New Roman" w:cs="Times New Roman"/>
          <w:sz w:val="24"/>
          <w:szCs w:val="24"/>
          <w:lang w:eastAsia="en-US"/>
        </w:rPr>
        <w:t>i</w:t>
      </w:r>
      <w:r w:rsidRPr="00A20F99">
        <w:rPr>
          <w:rFonts w:ascii="Times New Roman" w:eastAsia="Times New Roman" w:hAnsi="Times New Roman" w:cs="Times New Roman"/>
          <w:sz w:val="24"/>
          <w:szCs w:val="24"/>
          <w:lang w:eastAsia="en-US"/>
        </w:rPr>
        <w:t xml:space="preserve"> Nordgrønland. Vi kan derfor forudse, at en stor del af de kvoter, der </w:t>
      </w:r>
      <w:r w:rsidR="004A6CA8">
        <w:rPr>
          <w:rFonts w:ascii="Times New Roman" w:eastAsia="Times New Roman" w:hAnsi="Times New Roman" w:cs="Times New Roman"/>
          <w:sz w:val="24"/>
          <w:szCs w:val="24"/>
          <w:lang w:eastAsia="en-US"/>
        </w:rPr>
        <w:t xml:space="preserve">formodentligt </w:t>
      </w:r>
      <w:r w:rsidRPr="00A20F99">
        <w:rPr>
          <w:rFonts w:ascii="Times New Roman" w:eastAsia="Times New Roman" w:hAnsi="Times New Roman" w:cs="Times New Roman"/>
          <w:sz w:val="24"/>
          <w:szCs w:val="24"/>
          <w:lang w:eastAsia="en-US"/>
        </w:rPr>
        <w:t>vil blive solgt i område 47, vil gå til større fartøjer udenfor Uummannaq og Upernavik distrikter</w:t>
      </w:r>
      <w:r>
        <w:rPr>
          <w:rFonts w:ascii="Times New Roman" w:eastAsia="Times New Roman" w:hAnsi="Times New Roman" w:cs="Times New Roman"/>
          <w:sz w:val="24"/>
          <w:szCs w:val="24"/>
          <w:lang w:eastAsia="en-US"/>
        </w:rPr>
        <w:t>, ligesom en del joll</w:t>
      </w:r>
      <w:r w:rsidR="00942EA4">
        <w:rPr>
          <w:rFonts w:ascii="Times New Roman" w:eastAsia="Times New Roman" w:hAnsi="Times New Roman" w:cs="Times New Roman"/>
          <w:sz w:val="24"/>
          <w:szCs w:val="24"/>
          <w:lang w:eastAsia="en-US"/>
        </w:rPr>
        <w:t>e</w:t>
      </w:r>
      <w:r>
        <w:rPr>
          <w:rFonts w:ascii="Times New Roman" w:eastAsia="Times New Roman" w:hAnsi="Times New Roman" w:cs="Times New Roman"/>
          <w:sz w:val="24"/>
          <w:szCs w:val="24"/>
          <w:lang w:eastAsia="en-US"/>
        </w:rPr>
        <w:t>fi</w:t>
      </w:r>
      <w:r w:rsidR="00FD0612">
        <w:rPr>
          <w:rFonts w:ascii="Times New Roman" w:eastAsia="Times New Roman" w:hAnsi="Times New Roman" w:cs="Times New Roman"/>
          <w:sz w:val="24"/>
          <w:szCs w:val="24"/>
          <w:lang w:eastAsia="en-US"/>
        </w:rPr>
        <w:t>s</w:t>
      </w:r>
      <w:r>
        <w:rPr>
          <w:rFonts w:ascii="Times New Roman" w:eastAsia="Times New Roman" w:hAnsi="Times New Roman" w:cs="Times New Roman"/>
          <w:sz w:val="24"/>
          <w:szCs w:val="24"/>
          <w:lang w:eastAsia="en-US"/>
        </w:rPr>
        <w:t xml:space="preserve">kere i </w:t>
      </w:r>
      <w:r w:rsidRPr="00A20F99">
        <w:rPr>
          <w:rFonts w:ascii="Times New Roman" w:eastAsia="Times New Roman" w:hAnsi="Times New Roman" w:cs="Times New Roman"/>
          <w:sz w:val="24"/>
          <w:szCs w:val="24"/>
          <w:lang w:eastAsia="en-US"/>
        </w:rPr>
        <w:t>Diskobugten</w:t>
      </w:r>
      <w:r>
        <w:rPr>
          <w:rFonts w:ascii="Times New Roman" w:eastAsia="Times New Roman" w:hAnsi="Times New Roman" w:cs="Times New Roman"/>
          <w:sz w:val="24"/>
          <w:szCs w:val="24"/>
          <w:lang w:eastAsia="en-US"/>
        </w:rPr>
        <w:t xml:space="preserve"> gradvist vil miste deres </w:t>
      </w:r>
      <w:proofErr w:type="spellStart"/>
      <w:r>
        <w:rPr>
          <w:rFonts w:ascii="Times New Roman" w:eastAsia="Times New Roman" w:hAnsi="Times New Roman" w:cs="Times New Roman"/>
          <w:sz w:val="24"/>
          <w:szCs w:val="24"/>
          <w:lang w:eastAsia="en-US"/>
        </w:rPr>
        <w:t>IOK’ere</w:t>
      </w:r>
      <w:proofErr w:type="spellEnd"/>
      <w:r>
        <w:rPr>
          <w:rFonts w:ascii="Times New Roman" w:eastAsia="Times New Roman" w:hAnsi="Times New Roman" w:cs="Times New Roman"/>
          <w:sz w:val="24"/>
          <w:szCs w:val="24"/>
          <w:lang w:eastAsia="en-US"/>
        </w:rPr>
        <w:t xml:space="preserve">. Det vil reducere </w:t>
      </w:r>
      <w:r w:rsidRPr="00A20F99">
        <w:rPr>
          <w:rFonts w:ascii="Times New Roman" w:eastAsia="Times New Roman" w:hAnsi="Times New Roman" w:cs="Times New Roman"/>
          <w:sz w:val="24"/>
          <w:szCs w:val="24"/>
          <w:lang w:eastAsia="en-US"/>
        </w:rPr>
        <w:t xml:space="preserve">grundlaget for jollefiskeriet </w:t>
      </w:r>
      <w:r w:rsidR="004A6CA8">
        <w:rPr>
          <w:rFonts w:ascii="Times New Roman" w:eastAsia="Times New Roman" w:hAnsi="Times New Roman" w:cs="Times New Roman"/>
          <w:sz w:val="24"/>
          <w:szCs w:val="24"/>
          <w:lang w:eastAsia="en-US"/>
        </w:rPr>
        <w:t xml:space="preserve">– og også for en del mindre kuttere </w:t>
      </w:r>
      <w:r w:rsidR="00977C90">
        <w:rPr>
          <w:rFonts w:ascii="Times New Roman" w:eastAsia="Times New Roman" w:hAnsi="Times New Roman" w:cs="Times New Roman"/>
          <w:sz w:val="24"/>
          <w:szCs w:val="24"/>
          <w:lang w:eastAsia="en-US"/>
        </w:rPr>
        <w:t>og</w:t>
      </w:r>
      <w:r w:rsidR="00942EA4">
        <w:rPr>
          <w:rFonts w:ascii="Times New Roman" w:eastAsia="Times New Roman" w:hAnsi="Times New Roman" w:cs="Times New Roman"/>
          <w:sz w:val="24"/>
          <w:szCs w:val="24"/>
          <w:lang w:eastAsia="en-US"/>
        </w:rPr>
        <w:t xml:space="preserve"> nogle indhandlingsanlæg </w:t>
      </w:r>
      <w:r w:rsidR="004A6CA8">
        <w:rPr>
          <w:rFonts w:ascii="Times New Roman" w:eastAsia="Times New Roman" w:hAnsi="Times New Roman" w:cs="Times New Roman"/>
          <w:sz w:val="24"/>
          <w:szCs w:val="24"/>
          <w:lang w:eastAsia="en-US"/>
        </w:rPr>
        <w:t xml:space="preserve">- </w:t>
      </w:r>
      <w:r w:rsidRPr="00A20F99">
        <w:rPr>
          <w:rFonts w:ascii="Times New Roman" w:eastAsia="Times New Roman" w:hAnsi="Times New Roman" w:cs="Times New Roman"/>
          <w:sz w:val="24"/>
          <w:szCs w:val="24"/>
          <w:lang w:eastAsia="en-US"/>
        </w:rPr>
        <w:t xml:space="preserve">og de afledte erhverv </w:t>
      </w:r>
      <w:r>
        <w:rPr>
          <w:rFonts w:ascii="Times New Roman" w:eastAsia="Times New Roman" w:hAnsi="Times New Roman" w:cs="Times New Roman"/>
          <w:sz w:val="24"/>
          <w:szCs w:val="24"/>
          <w:lang w:eastAsia="en-US"/>
        </w:rPr>
        <w:t xml:space="preserve">samt </w:t>
      </w:r>
      <w:r w:rsidRPr="00A20F99">
        <w:rPr>
          <w:rFonts w:ascii="Times New Roman" w:eastAsia="Times New Roman" w:hAnsi="Times New Roman" w:cs="Times New Roman"/>
          <w:sz w:val="24"/>
          <w:szCs w:val="24"/>
          <w:lang w:eastAsia="en-US"/>
        </w:rPr>
        <w:t xml:space="preserve">beskatningsgrundlaget i disse distrikter. </w:t>
      </w:r>
    </w:p>
    <w:p w14:paraId="27A0062D" w14:textId="50B1A71D" w:rsidR="004A6CA8" w:rsidRDefault="0084644D" w:rsidP="004A6CA8">
      <w:pPr>
        <w:spacing w:after="240"/>
        <w:jc w:val="both"/>
        <w:rPr>
          <w:rFonts w:ascii="Times New Roman" w:eastAsia="Times New Roman" w:hAnsi="Times New Roman" w:cs="Times New Roman"/>
          <w:sz w:val="24"/>
          <w:szCs w:val="24"/>
          <w:lang w:eastAsia="en-US"/>
        </w:rPr>
      </w:pPr>
      <w:r w:rsidRPr="00A20F99">
        <w:rPr>
          <w:rFonts w:ascii="Times New Roman" w:eastAsia="Times New Roman" w:hAnsi="Times New Roman" w:cs="Times New Roman"/>
          <w:sz w:val="24"/>
          <w:szCs w:val="24"/>
          <w:lang w:eastAsia="en-US"/>
        </w:rPr>
        <w:t>For at undgå for stor koncentration på få fartøjer fastsætter lovforslaget et kvoteloft for hellefisk i område 47 på 2,5</w:t>
      </w:r>
      <w:r w:rsidR="004A6CA8">
        <w:rPr>
          <w:rFonts w:ascii="Times New Roman" w:eastAsia="Times New Roman" w:hAnsi="Times New Roman" w:cs="Times New Roman"/>
          <w:sz w:val="24"/>
          <w:szCs w:val="24"/>
          <w:lang w:eastAsia="en-US"/>
        </w:rPr>
        <w:t xml:space="preserve">% </w:t>
      </w:r>
      <w:r w:rsidRPr="00A20F99">
        <w:rPr>
          <w:rFonts w:ascii="Times New Roman" w:eastAsia="Times New Roman" w:hAnsi="Times New Roman" w:cs="Times New Roman"/>
          <w:sz w:val="24"/>
          <w:szCs w:val="24"/>
          <w:lang w:eastAsia="en-US"/>
        </w:rPr>
        <w:t xml:space="preserve">– altså at en enkelt </w:t>
      </w:r>
      <w:r w:rsidR="00977C90">
        <w:rPr>
          <w:rFonts w:ascii="Times New Roman" w:eastAsia="Times New Roman" w:hAnsi="Times New Roman" w:cs="Times New Roman"/>
          <w:sz w:val="24"/>
          <w:szCs w:val="24"/>
          <w:lang w:eastAsia="en-US"/>
        </w:rPr>
        <w:t xml:space="preserve">kvoteejer </w:t>
      </w:r>
      <w:r w:rsidRPr="00A20F99">
        <w:rPr>
          <w:rFonts w:ascii="Times New Roman" w:eastAsia="Times New Roman" w:hAnsi="Times New Roman" w:cs="Times New Roman"/>
          <w:sz w:val="24"/>
          <w:szCs w:val="24"/>
          <w:lang w:eastAsia="en-US"/>
        </w:rPr>
        <w:t xml:space="preserve">højst må </w:t>
      </w:r>
      <w:r w:rsidR="00FD0612">
        <w:rPr>
          <w:rFonts w:ascii="Times New Roman" w:eastAsia="Times New Roman" w:hAnsi="Times New Roman" w:cs="Times New Roman"/>
          <w:sz w:val="24"/>
          <w:szCs w:val="24"/>
          <w:lang w:eastAsia="en-US"/>
        </w:rPr>
        <w:t xml:space="preserve">råde </w:t>
      </w:r>
      <w:r w:rsidRPr="00A20F99">
        <w:rPr>
          <w:rFonts w:ascii="Times New Roman" w:eastAsia="Times New Roman" w:hAnsi="Times New Roman" w:cs="Times New Roman"/>
          <w:sz w:val="24"/>
          <w:szCs w:val="24"/>
          <w:lang w:eastAsia="en-US"/>
        </w:rPr>
        <w:t>over 2,5</w:t>
      </w:r>
      <w:r w:rsidR="004A6CA8">
        <w:rPr>
          <w:rFonts w:ascii="Times New Roman" w:eastAsia="Times New Roman" w:hAnsi="Times New Roman" w:cs="Times New Roman"/>
          <w:sz w:val="24"/>
          <w:szCs w:val="24"/>
          <w:lang w:eastAsia="en-US"/>
        </w:rPr>
        <w:t xml:space="preserve">% </w:t>
      </w:r>
      <w:r w:rsidRPr="00A20F99">
        <w:rPr>
          <w:rFonts w:ascii="Times New Roman" w:eastAsia="Times New Roman" w:hAnsi="Times New Roman" w:cs="Times New Roman"/>
          <w:sz w:val="24"/>
          <w:szCs w:val="24"/>
          <w:lang w:eastAsia="en-US"/>
        </w:rPr>
        <w:t xml:space="preserve">af den samlede </w:t>
      </w:r>
      <w:r>
        <w:rPr>
          <w:rFonts w:ascii="Times New Roman" w:eastAsia="Times New Roman" w:hAnsi="Times New Roman" w:cs="Times New Roman"/>
          <w:sz w:val="24"/>
          <w:szCs w:val="24"/>
          <w:lang w:eastAsia="en-US"/>
        </w:rPr>
        <w:t>kvote</w:t>
      </w:r>
      <w:r w:rsidRPr="00A20F99">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Det er væsentligt højere en</w:t>
      </w:r>
      <w:r w:rsidR="00FD0612">
        <w:rPr>
          <w:rFonts w:ascii="Times New Roman" w:eastAsia="Times New Roman" w:hAnsi="Times New Roman" w:cs="Times New Roman"/>
          <w:sz w:val="24"/>
          <w:szCs w:val="24"/>
          <w:lang w:eastAsia="en-US"/>
        </w:rPr>
        <w:t>d</w:t>
      </w:r>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Fiskerikommissiones</w:t>
      </w:r>
      <w:proofErr w:type="spellEnd"/>
      <w:r>
        <w:rPr>
          <w:rFonts w:ascii="Times New Roman" w:eastAsia="Times New Roman" w:hAnsi="Times New Roman" w:cs="Times New Roman"/>
          <w:sz w:val="24"/>
          <w:szCs w:val="24"/>
          <w:lang w:eastAsia="en-US"/>
        </w:rPr>
        <w:t xml:space="preserve"> anbefaling på 0</w:t>
      </w:r>
      <w:r w:rsidR="004A6CA8">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4-0</w:t>
      </w:r>
      <w:r w:rsidR="004A6CA8">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6</w:t>
      </w:r>
      <w:r w:rsidR="004A6CA8">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r w:rsidRPr="00A20F99">
        <w:rPr>
          <w:rFonts w:ascii="Times New Roman" w:eastAsia="Times New Roman" w:hAnsi="Times New Roman" w:cs="Times New Roman"/>
          <w:sz w:val="24"/>
          <w:szCs w:val="24"/>
          <w:lang w:eastAsia="en-US"/>
        </w:rPr>
        <w:t xml:space="preserve"> </w:t>
      </w:r>
    </w:p>
    <w:p w14:paraId="75D8ABD4" w14:textId="055B5BBE" w:rsidR="004A6CA8" w:rsidRDefault="0084644D" w:rsidP="004A6CA8">
      <w:pPr>
        <w:spacing w:after="2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Med lovforslagets kvoteloft kan </w:t>
      </w:r>
      <w:r w:rsidRPr="00A20F99">
        <w:rPr>
          <w:rFonts w:ascii="Times New Roman" w:eastAsia="Times New Roman" w:hAnsi="Times New Roman" w:cs="Times New Roman"/>
          <w:sz w:val="24"/>
          <w:szCs w:val="24"/>
          <w:lang w:eastAsia="en-US"/>
        </w:rPr>
        <w:t xml:space="preserve">40 </w:t>
      </w:r>
      <w:r w:rsidR="00977C90">
        <w:rPr>
          <w:rFonts w:ascii="Times New Roman" w:eastAsia="Times New Roman" w:hAnsi="Times New Roman" w:cs="Times New Roman"/>
          <w:sz w:val="24"/>
          <w:szCs w:val="24"/>
          <w:lang w:eastAsia="en-US"/>
        </w:rPr>
        <w:t xml:space="preserve">kvoteejere </w:t>
      </w:r>
      <w:r w:rsidRPr="00A20F99">
        <w:rPr>
          <w:rFonts w:ascii="Times New Roman" w:eastAsia="Times New Roman" w:hAnsi="Times New Roman" w:cs="Times New Roman"/>
          <w:sz w:val="24"/>
          <w:szCs w:val="24"/>
          <w:lang w:eastAsia="en-US"/>
        </w:rPr>
        <w:t xml:space="preserve">i princippet dele </w:t>
      </w:r>
      <w:r w:rsidR="00FD0612">
        <w:rPr>
          <w:rFonts w:ascii="Times New Roman" w:eastAsia="Times New Roman" w:hAnsi="Times New Roman" w:cs="Times New Roman"/>
          <w:sz w:val="24"/>
          <w:szCs w:val="24"/>
          <w:lang w:eastAsia="en-US"/>
        </w:rPr>
        <w:t xml:space="preserve">hele </w:t>
      </w:r>
      <w:r>
        <w:rPr>
          <w:rFonts w:ascii="Times New Roman" w:eastAsia="Times New Roman" w:hAnsi="Times New Roman" w:cs="Times New Roman"/>
          <w:sz w:val="24"/>
          <w:szCs w:val="24"/>
          <w:lang w:eastAsia="en-US"/>
        </w:rPr>
        <w:t>kvoten</w:t>
      </w:r>
      <w:r w:rsidRPr="00A20F99">
        <w:rPr>
          <w:rFonts w:ascii="Times New Roman" w:eastAsia="Times New Roman" w:hAnsi="Times New Roman" w:cs="Times New Roman"/>
          <w:sz w:val="24"/>
          <w:szCs w:val="24"/>
          <w:lang w:eastAsia="en-US"/>
        </w:rPr>
        <w:t xml:space="preserve"> for område 47. </w:t>
      </w:r>
      <w:r>
        <w:rPr>
          <w:rFonts w:ascii="Times New Roman" w:eastAsia="Times New Roman" w:hAnsi="Times New Roman" w:cs="Times New Roman"/>
          <w:sz w:val="24"/>
          <w:szCs w:val="24"/>
          <w:lang w:eastAsia="en-US"/>
        </w:rPr>
        <w:t xml:space="preserve">Det er </w:t>
      </w:r>
      <w:r w:rsidRPr="00A20F99">
        <w:rPr>
          <w:rFonts w:ascii="Times New Roman" w:eastAsia="Times New Roman" w:hAnsi="Times New Roman" w:cs="Times New Roman"/>
          <w:sz w:val="24"/>
          <w:szCs w:val="24"/>
          <w:lang w:eastAsia="en-US"/>
        </w:rPr>
        <w:t>uklart</w:t>
      </w:r>
      <w:r w:rsidR="004A6CA8">
        <w:rPr>
          <w:rFonts w:ascii="Times New Roman" w:eastAsia="Times New Roman" w:hAnsi="Times New Roman" w:cs="Times New Roman"/>
          <w:sz w:val="24"/>
          <w:szCs w:val="24"/>
          <w:lang w:eastAsia="en-US"/>
        </w:rPr>
        <w:t>,</w:t>
      </w:r>
      <w:r w:rsidRPr="00A20F99">
        <w:rPr>
          <w:rFonts w:ascii="Times New Roman" w:eastAsia="Times New Roman" w:hAnsi="Times New Roman" w:cs="Times New Roman"/>
          <w:sz w:val="24"/>
          <w:szCs w:val="24"/>
          <w:lang w:eastAsia="en-US"/>
        </w:rPr>
        <w:t xml:space="preserve"> hvad de resterende 925 jollefiskere og </w:t>
      </w:r>
      <w:r w:rsidR="004A6CA8">
        <w:rPr>
          <w:rFonts w:ascii="Times New Roman" w:eastAsia="Times New Roman" w:hAnsi="Times New Roman" w:cs="Times New Roman"/>
          <w:sz w:val="24"/>
          <w:szCs w:val="24"/>
          <w:lang w:eastAsia="en-US"/>
        </w:rPr>
        <w:t xml:space="preserve">ca. 150 </w:t>
      </w:r>
      <w:r w:rsidRPr="00A20F99">
        <w:rPr>
          <w:rFonts w:ascii="Times New Roman" w:eastAsia="Times New Roman" w:hAnsi="Times New Roman" w:cs="Times New Roman"/>
          <w:sz w:val="24"/>
          <w:szCs w:val="24"/>
          <w:lang w:eastAsia="en-US"/>
        </w:rPr>
        <w:t xml:space="preserve">ejere af de mindre kuttere i område 47 i praksis skal </w:t>
      </w:r>
      <w:r w:rsidR="004A6CA8">
        <w:rPr>
          <w:rFonts w:ascii="Times New Roman" w:eastAsia="Times New Roman" w:hAnsi="Times New Roman" w:cs="Times New Roman"/>
          <w:sz w:val="24"/>
          <w:szCs w:val="24"/>
          <w:lang w:eastAsia="en-US"/>
        </w:rPr>
        <w:t xml:space="preserve">leve af </w:t>
      </w:r>
      <w:r>
        <w:rPr>
          <w:rFonts w:ascii="Times New Roman" w:eastAsia="Times New Roman" w:hAnsi="Times New Roman" w:cs="Times New Roman"/>
          <w:sz w:val="24"/>
          <w:szCs w:val="24"/>
          <w:lang w:eastAsia="en-US"/>
        </w:rPr>
        <w:t>efterfølgende</w:t>
      </w:r>
      <w:r w:rsidRPr="00A20F9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Grønland er i forvejen et </w:t>
      </w:r>
      <w:r w:rsidRPr="00A20F99">
        <w:rPr>
          <w:rFonts w:ascii="Times New Roman" w:eastAsia="Times New Roman" w:hAnsi="Times New Roman" w:cs="Times New Roman"/>
          <w:sz w:val="24"/>
          <w:szCs w:val="24"/>
          <w:lang w:eastAsia="en-US"/>
        </w:rPr>
        <w:t xml:space="preserve">samfund med store forskelle </w:t>
      </w:r>
      <w:r>
        <w:rPr>
          <w:rFonts w:ascii="Times New Roman" w:eastAsia="Times New Roman" w:hAnsi="Times New Roman" w:cs="Times New Roman"/>
          <w:sz w:val="24"/>
          <w:szCs w:val="24"/>
          <w:lang w:eastAsia="en-US"/>
        </w:rPr>
        <w:t xml:space="preserve">i levevilkår </w:t>
      </w:r>
      <w:r w:rsidRPr="00A20F99">
        <w:rPr>
          <w:rFonts w:ascii="Times New Roman" w:eastAsia="Times New Roman" w:hAnsi="Times New Roman" w:cs="Times New Roman"/>
          <w:sz w:val="24"/>
          <w:szCs w:val="24"/>
          <w:lang w:eastAsia="en-US"/>
        </w:rPr>
        <w:t>mellem</w:t>
      </w:r>
      <w:r>
        <w:rPr>
          <w:rFonts w:ascii="Times New Roman" w:eastAsia="Times New Roman" w:hAnsi="Times New Roman" w:cs="Times New Roman"/>
          <w:sz w:val="24"/>
          <w:szCs w:val="24"/>
          <w:lang w:eastAsia="en-US"/>
        </w:rPr>
        <w:t xml:space="preserve"> </w:t>
      </w:r>
      <w:r w:rsidR="00977C90">
        <w:rPr>
          <w:rFonts w:ascii="Times New Roman" w:eastAsia="Times New Roman" w:hAnsi="Times New Roman" w:cs="Times New Roman"/>
          <w:sz w:val="24"/>
          <w:szCs w:val="24"/>
          <w:lang w:eastAsia="en-US"/>
        </w:rPr>
        <w:t>store byer og de små byer og bygderne</w:t>
      </w:r>
      <w:r>
        <w:rPr>
          <w:rFonts w:ascii="Times New Roman" w:eastAsia="Times New Roman" w:hAnsi="Times New Roman" w:cs="Times New Roman"/>
          <w:sz w:val="24"/>
          <w:szCs w:val="24"/>
          <w:lang w:eastAsia="en-US"/>
        </w:rPr>
        <w:t xml:space="preserve">. </w:t>
      </w:r>
    </w:p>
    <w:p w14:paraId="17C411B6" w14:textId="57B20DB8" w:rsidR="0084644D" w:rsidRDefault="0084644D" w:rsidP="004A6CA8">
      <w:pPr>
        <w:spacing w:after="2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Hvad gør man som familie i et bosted</w:t>
      </w:r>
      <w:r w:rsidR="00FD0612">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hvor </w:t>
      </w:r>
      <w:r w:rsidRPr="00A20F99">
        <w:rPr>
          <w:rFonts w:ascii="Times New Roman" w:eastAsia="Times New Roman" w:hAnsi="Times New Roman" w:cs="Times New Roman"/>
          <w:sz w:val="24"/>
          <w:szCs w:val="24"/>
          <w:lang w:eastAsia="en-US"/>
        </w:rPr>
        <w:t xml:space="preserve">jollefiskeriet </w:t>
      </w:r>
      <w:r>
        <w:rPr>
          <w:rFonts w:ascii="Times New Roman" w:eastAsia="Times New Roman" w:hAnsi="Times New Roman" w:cs="Times New Roman"/>
          <w:sz w:val="24"/>
          <w:szCs w:val="24"/>
          <w:lang w:eastAsia="en-US"/>
        </w:rPr>
        <w:t xml:space="preserve">var </w:t>
      </w:r>
      <w:r w:rsidR="00AC3506">
        <w:rPr>
          <w:rFonts w:ascii="Times New Roman" w:eastAsia="Times New Roman" w:hAnsi="Times New Roman" w:cs="Times New Roman"/>
          <w:sz w:val="24"/>
          <w:szCs w:val="24"/>
          <w:lang w:eastAsia="en-US"/>
        </w:rPr>
        <w:t xml:space="preserve">det </w:t>
      </w:r>
      <w:r w:rsidRPr="00A20F99">
        <w:rPr>
          <w:rFonts w:ascii="Times New Roman" w:eastAsia="Times New Roman" w:hAnsi="Times New Roman" w:cs="Times New Roman"/>
          <w:sz w:val="24"/>
          <w:szCs w:val="24"/>
          <w:lang w:eastAsia="en-US"/>
        </w:rPr>
        <w:t>økonomisk</w:t>
      </w:r>
      <w:r w:rsidR="00AC3506">
        <w:rPr>
          <w:rFonts w:ascii="Times New Roman" w:eastAsia="Times New Roman" w:hAnsi="Times New Roman" w:cs="Times New Roman"/>
          <w:sz w:val="24"/>
          <w:szCs w:val="24"/>
          <w:lang w:eastAsia="en-US"/>
        </w:rPr>
        <w:t xml:space="preserve">e grundlag </w:t>
      </w:r>
      <w:r w:rsidRPr="00A20F99">
        <w:rPr>
          <w:rFonts w:ascii="Times New Roman" w:eastAsia="Times New Roman" w:hAnsi="Times New Roman" w:cs="Times New Roman"/>
          <w:sz w:val="24"/>
          <w:szCs w:val="24"/>
          <w:lang w:eastAsia="en-US"/>
        </w:rPr>
        <w:t xml:space="preserve">for </w:t>
      </w:r>
      <w:r>
        <w:rPr>
          <w:rFonts w:ascii="Times New Roman" w:eastAsia="Times New Roman" w:hAnsi="Times New Roman" w:cs="Times New Roman"/>
          <w:sz w:val="24"/>
          <w:szCs w:val="24"/>
          <w:lang w:eastAsia="en-US"/>
        </w:rPr>
        <w:t>levevilkårene, og tilknytning til stedet er meget væsentlig for livskvaliteten,</w:t>
      </w:r>
      <w:r w:rsidRPr="00A20F9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når </w:t>
      </w:r>
      <w:r w:rsidRPr="00A20F99">
        <w:rPr>
          <w:rFonts w:ascii="Times New Roman" w:eastAsia="Times New Roman" w:hAnsi="Times New Roman" w:cs="Times New Roman"/>
          <w:sz w:val="24"/>
          <w:szCs w:val="24"/>
          <w:lang w:eastAsia="en-US"/>
        </w:rPr>
        <w:t xml:space="preserve">der ikke er andre realistiske </w:t>
      </w:r>
      <w:r w:rsidR="004A6CA8">
        <w:rPr>
          <w:rFonts w:ascii="Times New Roman" w:eastAsia="Times New Roman" w:hAnsi="Times New Roman" w:cs="Times New Roman"/>
          <w:sz w:val="24"/>
          <w:szCs w:val="24"/>
          <w:lang w:eastAsia="en-US"/>
        </w:rPr>
        <w:t>erhvervs</w:t>
      </w:r>
      <w:r w:rsidRPr="00A20F99">
        <w:rPr>
          <w:rFonts w:ascii="Times New Roman" w:eastAsia="Times New Roman" w:hAnsi="Times New Roman" w:cs="Times New Roman"/>
          <w:sz w:val="24"/>
          <w:szCs w:val="24"/>
          <w:lang w:eastAsia="en-US"/>
        </w:rPr>
        <w:t>muligheder</w:t>
      </w:r>
      <w:r w:rsidR="00FD0612">
        <w:rPr>
          <w:rFonts w:ascii="Times New Roman" w:eastAsia="Times New Roman" w:hAnsi="Times New Roman" w:cs="Times New Roman"/>
          <w:sz w:val="24"/>
          <w:szCs w:val="24"/>
          <w:lang w:eastAsia="en-US"/>
        </w:rPr>
        <w:t>? Når</w:t>
      </w:r>
      <w:r w:rsidR="00A833BE">
        <w:rPr>
          <w:rFonts w:ascii="Times New Roman" w:eastAsia="Times New Roman" w:hAnsi="Times New Roman" w:cs="Times New Roman"/>
          <w:sz w:val="24"/>
          <w:szCs w:val="24"/>
          <w:lang w:eastAsia="en-US"/>
        </w:rPr>
        <w:t xml:space="preserve">, der ingen </w:t>
      </w:r>
      <w:r w:rsidRPr="00A20F99">
        <w:rPr>
          <w:rFonts w:ascii="Times New Roman" w:eastAsia="Times New Roman" w:hAnsi="Times New Roman" w:cs="Times New Roman"/>
          <w:sz w:val="24"/>
          <w:szCs w:val="24"/>
          <w:lang w:eastAsia="en-US"/>
        </w:rPr>
        <w:t>mulighed</w:t>
      </w:r>
      <w:r w:rsidR="00A833BE">
        <w:rPr>
          <w:rFonts w:ascii="Times New Roman" w:eastAsia="Times New Roman" w:hAnsi="Times New Roman" w:cs="Times New Roman"/>
          <w:sz w:val="24"/>
          <w:szCs w:val="24"/>
          <w:lang w:eastAsia="en-US"/>
        </w:rPr>
        <w:t xml:space="preserve"> er</w:t>
      </w:r>
      <w:r w:rsidRPr="00A20F99">
        <w:rPr>
          <w:rFonts w:ascii="Times New Roman" w:eastAsia="Times New Roman" w:hAnsi="Times New Roman" w:cs="Times New Roman"/>
          <w:sz w:val="24"/>
          <w:szCs w:val="24"/>
          <w:lang w:eastAsia="en-US"/>
        </w:rPr>
        <w:t xml:space="preserve"> for at investere udbyttet af at </w:t>
      </w:r>
      <w:r w:rsidR="00FD0612">
        <w:rPr>
          <w:rFonts w:ascii="Times New Roman" w:eastAsia="Times New Roman" w:hAnsi="Times New Roman" w:cs="Times New Roman"/>
          <w:sz w:val="24"/>
          <w:szCs w:val="24"/>
          <w:lang w:eastAsia="en-US"/>
        </w:rPr>
        <w:t xml:space="preserve">have solgt </w:t>
      </w:r>
      <w:r w:rsidRPr="00A20F99">
        <w:rPr>
          <w:rFonts w:ascii="Times New Roman" w:eastAsia="Times New Roman" w:hAnsi="Times New Roman" w:cs="Times New Roman"/>
          <w:sz w:val="24"/>
          <w:szCs w:val="24"/>
          <w:lang w:eastAsia="en-US"/>
        </w:rPr>
        <w:t>sin IOK i noget</w:t>
      </w:r>
      <w:r>
        <w:rPr>
          <w:rFonts w:ascii="Times New Roman" w:eastAsia="Times New Roman" w:hAnsi="Times New Roman" w:cs="Times New Roman"/>
          <w:sz w:val="24"/>
          <w:szCs w:val="24"/>
          <w:lang w:eastAsia="en-US"/>
        </w:rPr>
        <w:t>,</w:t>
      </w:r>
      <w:r w:rsidRPr="00A20F99">
        <w:rPr>
          <w:rFonts w:ascii="Times New Roman" w:eastAsia="Times New Roman" w:hAnsi="Times New Roman" w:cs="Times New Roman"/>
          <w:sz w:val="24"/>
          <w:szCs w:val="24"/>
          <w:lang w:eastAsia="en-US"/>
        </w:rPr>
        <w:t xml:space="preserve"> der giver et tilsvarende afkast</w:t>
      </w:r>
      <w:r>
        <w:rPr>
          <w:rFonts w:ascii="Times New Roman" w:eastAsia="Times New Roman" w:hAnsi="Times New Roman" w:cs="Times New Roman"/>
          <w:sz w:val="24"/>
          <w:szCs w:val="24"/>
          <w:lang w:eastAsia="en-US"/>
        </w:rPr>
        <w:t>?</w:t>
      </w:r>
      <w:r w:rsidRPr="00A20F9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Med andre ord betyder lovforslaget, at både den sociale og kulturelle bæredygtighed risikerer at blive sat over styr, når ejerskabet koncentreres ved indførelse af IOK i det kystnære hellefiskefiskeri, og at det bliver svært at opre</w:t>
      </w:r>
      <w:r w:rsidR="00AC3506">
        <w:rPr>
          <w:rFonts w:ascii="Times New Roman" w:eastAsia="Times New Roman" w:hAnsi="Times New Roman" w:cs="Times New Roman"/>
          <w:sz w:val="24"/>
          <w:szCs w:val="24"/>
          <w:lang w:eastAsia="en-US"/>
        </w:rPr>
        <w:t>t</w:t>
      </w:r>
      <w:r>
        <w:rPr>
          <w:rFonts w:ascii="Times New Roman" w:eastAsia="Times New Roman" w:hAnsi="Times New Roman" w:cs="Times New Roman"/>
          <w:sz w:val="24"/>
          <w:szCs w:val="24"/>
          <w:lang w:eastAsia="en-US"/>
        </w:rPr>
        <w:t>holde et meningsfyldt liv</w:t>
      </w:r>
      <w:r w:rsidR="00A833BE">
        <w:rPr>
          <w:rFonts w:ascii="Times New Roman" w:eastAsia="Times New Roman" w:hAnsi="Times New Roman" w:cs="Times New Roman"/>
          <w:sz w:val="24"/>
          <w:szCs w:val="24"/>
          <w:lang w:eastAsia="en-US"/>
        </w:rPr>
        <w:t xml:space="preserve"> i visse bygder</w:t>
      </w:r>
      <w:r>
        <w:rPr>
          <w:rFonts w:ascii="Times New Roman" w:eastAsia="Times New Roman" w:hAnsi="Times New Roman" w:cs="Times New Roman"/>
          <w:sz w:val="24"/>
          <w:szCs w:val="24"/>
          <w:lang w:eastAsia="en-US"/>
        </w:rPr>
        <w:t xml:space="preserve">. </w:t>
      </w:r>
    </w:p>
    <w:p w14:paraId="1394D77E" w14:textId="10062440" w:rsidR="00AC3506" w:rsidRDefault="00AC3506" w:rsidP="00AC3506">
      <w:pPr>
        <w:jc w:val="both"/>
        <w:rPr>
          <w:rFonts w:ascii="Times New Roman" w:hAnsi="Times New Roman" w:cs="Times New Roman"/>
          <w:sz w:val="24"/>
          <w:szCs w:val="24"/>
        </w:rPr>
      </w:pPr>
      <w:r>
        <w:rPr>
          <w:rFonts w:ascii="Times New Roman" w:eastAsia="Times New Roman" w:hAnsi="Times New Roman" w:cs="Times New Roman"/>
          <w:sz w:val="24"/>
          <w:szCs w:val="24"/>
          <w:lang w:eastAsia="en-US"/>
        </w:rPr>
        <w:t>Dette skal også ses i lyset af, at bygderne i område 47 har haft høje gennemsnitsindtægter sammenlignet med resten af Grønland. Ønsket om at reducere antallet af fiskere, der har skabt et livsgrundlag i dette område, kan altså ikke begrundes ved, at fiskeriet ikke har været økonomisk bæredygtigt for lokalsamfundene.</w:t>
      </w:r>
    </w:p>
    <w:p w14:paraId="2E7D36BC" w14:textId="3D97B336" w:rsidR="004A6CA8" w:rsidRPr="00A833BE" w:rsidRDefault="00FD0612" w:rsidP="004A6CA8">
      <w:pPr>
        <w:pStyle w:val="Heading1"/>
        <w:rPr>
          <w:rFonts w:ascii="Times New Roman" w:hAnsi="Times New Roman" w:cs="Times New Roman"/>
          <w:b/>
          <w:bCs/>
          <w:color w:val="auto"/>
          <w:sz w:val="28"/>
          <w:szCs w:val="28"/>
          <w:lang w:val="da-DK"/>
        </w:rPr>
      </w:pPr>
      <w:r w:rsidRPr="00A833BE">
        <w:rPr>
          <w:rFonts w:ascii="Times New Roman" w:hAnsi="Times New Roman" w:cs="Times New Roman"/>
          <w:b/>
          <w:bCs/>
          <w:color w:val="auto"/>
          <w:sz w:val="28"/>
          <w:szCs w:val="28"/>
          <w:lang w:val="da-DK"/>
        </w:rPr>
        <w:t>Hv</w:t>
      </w:r>
      <w:r w:rsidR="00A833BE">
        <w:rPr>
          <w:rFonts w:ascii="Times New Roman" w:hAnsi="Times New Roman" w:cs="Times New Roman"/>
          <w:b/>
          <w:bCs/>
          <w:color w:val="auto"/>
          <w:sz w:val="28"/>
          <w:szCs w:val="28"/>
          <w:lang w:val="da-DK"/>
        </w:rPr>
        <w:t xml:space="preserve">ad betyder det at </w:t>
      </w:r>
      <w:proofErr w:type="spellStart"/>
      <w:r w:rsidR="004A6CA8" w:rsidRPr="00A833BE">
        <w:rPr>
          <w:rFonts w:ascii="Times New Roman" w:hAnsi="Times New Roman" w:cs="Times New Roman"/>
          <w:b/>
          <w:bCs/>
          <w:color w:val="auto"/>
          <w:sz w:val="28"/>
          <w:szCs w:val="28"/>
          <w:lang w:val="da-DK"/>
        </w:rPr>
        <w:t>IOK’er</w:t>
      </w:r>
      <w:proofErr w:type="spellEnd"/>
      <w:r w:rsidR="004A6CA8" w:rsidRPr="00A833BE">
        <w:rPr>
          <w:rFonts w:ascii="Times New Roman" w:hAnsi="Times New Roman" w:cs="Times New Roman"/>
          <w:b/>
          <w:bCs/>
          <w:color w:val="auto"/>
          <w:sz w:val="28"/>
          <w:szCs w:val="28"/>
          <w:lang w:val="da-DK"/>
        </w:rPr>
        <w:t xml:space="preserve"> tidsbegrænsede</w:t>
      </w:r>
      <w:r w:rsidRPr="00A833BE">
        <w:rPr>
          <w:rFonts w:ascii="Times New Roman" w:hAnsi="Times New Roman" w:cs="Times New Roman"/>
          <w:b/>
          <w:bCs/>
          <w:color w:val="auto"/>
          <w:sz w:val="28"/>
          <w:szCs w:val="28"/>
          <w:lang w:val="da-DK"/>
        </w:rPr>
        <w:t>?</w:t>
      </w:r>
    </w:p>
    <w:p w14:paraId="49C8B2DF" w14:textId="4E77C3A9" w:rsidR="004A6CA8" w:rsidRDefault="004A6CA8" w:rsidP="004A6CA8">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 lovforslaget lægges der op til, at </w:t>
      </w:r>
      <w:r w:rsidRPr="00701ECC">
        <w:rPr>
          <w:rFonts w:ascii="Times New Roman" w:eastAsia="Times New Roman" w:hAnsi="Times New Roman" w:cs="Times New Roman"/>
          <w:sz w:val="24"/>
          <w:szCs w:val="24"/>
        </w:rPr>
        <w:t>kvoteandele gøres tidsbegrænsede og rullende</w:t>
      </w:r>
      <w:r w:rsidR="00A833BE">
        <w:rPr>
          <w:rFonts w:ascii="Times New Roman" w:eastAsia="Times New Roman" w:hAnsi="Times New Roman" w:cs="Times New Roman"/>
          <w:sz w:val="24"/>
          <w:szCs w:val="24"/>
        </w:rPr>
        <w:t>.</w:t>
      </w:r>
      <w:r w:rsidRPr="00701ECC">
        <w:rPr>
          <w:rFonts w:ascii="Times New Roman" w:eastAsia="Times New Roman" w:hAnsi="Times New Roman" w:cs="Times New Roman"/>
          <w:sz w:val="24"/>
          <w:szCs w:val="24"/>
        </w:rPr>
        <w:t xml:space="preserve"> Det betyder</w:t>
      </w:r>
      <w:r>
        <w:rPr>
          <w:rFonts w:ascii="Times New Roman" w:eastAsia="Times New Roman" w:hAnsi="Times New Roman" w:cs="Times New Roman"/>
          <w:sz w:val="24"/>
          <w:szCs w:val="24"/>
        </w:rPr>
        <w:t>,</w:t>
      </w:r>
      <w:r w:rsidRPr="00701ECC">
        <w:rPr>
          <w:rFonts w:ascii="Times New Roman" w:eastAsia="Times New Roman" w:hAnsi="Times New Roman" w:cs="Times New Roman"/>
          <w:sz w:val="24"/>
          <w:szCs w:val="24"/>
        </w:rPr>
        <w:t xml:space="preserve"> at Naalakkersuisut kan opsige og hjemkalde </w:t>
      </w:r>
      <w:proofErr w:type="spellStart"/>
      <w:r w:rsidRPr="00701ECC">
        <w:rPr>
          <w:rFonts w:ascii="Times New Roman" w:eastAsia="Times New Roman" w:hAnsi="Times New Roman" w:cs="Times New Roman"/>
          <w:sz w:val="24"/>
          <w:szCs w:val="24"/>
        </w:rPr>
        <w:t>IOK</w:t>
      </w:r>
      <w:r>
        <w:rPr>
          <w:rFonts w:ascii="Times New Roman" w:eastAsia="Times New Roman" w:hAnsi="Times New Roman" w:cs="Times New Roman"/>
          <w:sz w:val="24"/>
          <w:szCs w:val="24"/>
        </w:rPr>
        <w:t>’er</w:t>
      </w:r>
      <w:proofErr w:type="spellEnd"/>
      <w:r w:rsidRPr="00701E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Et sådan tiltag har den fordel, at det </w:t>
      </w:r>
      <w:r w:rsidR="00A833BE">
        <w:rPr>
          <w:rFonts w:ascii="Times New Roman" w:eastAsia="Times New Roman" w:hAnsi="Times New Roman" w:cs="Times New Roman"/>
          <w:sz w:val="24"/>
          <w:szCs w:val="24"/>
        </w:rPr>
        <w:t xml:space="preserve">gør </w:t>
      </w:r>
      <w:r>
        <w:rPr>
          <w:rFonts w:ascii="Times New Roman" w:eastAsia="Times New Roman" w:hAnsi="Times New Roman" w:cs="Times New Roman"/>
          <w:sz w:val="24"/>
          <w:szCs w:val="24"/>
        </w:rPr>
        <w:t xml:space="preserve">en </w:t>
      </w:r>
      <w:r w:rsidRPr="00701ECC">
        <w:rPr>
          <w:rFonts w:ascii="Times New Roman" w:eastAsia="Times New Roman" w:hAnsi="Times New Roman" w:cs="Times New Roman"/>
          <w:sz w:val="24"/>
          <w:szCs w:val="24"/>
        </w:rPr>
        <w:t xml:space="preserve">omfordeling </w:t>
      </w:r>
      <w:r>
        <w:rPr>
          <w:rFonts w:ascii="Times New Roman" w:eastAsia="Times New Roman" w:hAnsi="Times New Roman" w:cs="Times New Roman"/>
          <w:sz w:val="24"/>
          <w:szCs w:val="24"/>
        </w:rPr>
        <w:t>af kvote</w:t>
      </w:r>
      <w:r w:rsidR="00A833BE">
        <w:rPr>
          <w:rFonts w:ascii="Times New Roman" w:eastAsia="Times New Roman" w:hAnsi="Times New Roman" w:cs="Times New Roman"/>
          <w:sz w:val="24"/>
          <w:szCs w:val="24"/>
        </w:rPr>
        <w:t>ejerskabet muligt</w:t>
      </w:r>
      <w:r>
        <w:rPr>
          <w:rFonts w:ascii="Times New Roman" w:eastAsia="Times New Roman" w:hAnsi="Times New Roman" w:cs="Times New Roman"/>
          <w:sz w:val="24"/>
          <w:szCs w:val="24"/>
        </w:rPr>
        <w:t xml:space="preserve">. Det kan bl.a. bruges til at gøre det muligt for ’legitime </w:t>
      </w:r>
      <w:r w:rsidRPr="00701ECC">
        <w:rPr>
          <w:rFonts w:ascii="Times New Roman" w:eastAsia="Times New Roman" w:hAnsi="Times New Roman" w:cs="Times New Roman"/>
          <w:sz w:val="24"/>
          <w:szCs w:val="24"/>
        </w:rPr>
        <w:t>nye deltagere</w:t>
      </w:r>
      <w:r>
        <w:rPr>
          <w:rFonts w:ascii="Times New Roman" w:eastAsia="Times New Roman" w:hAnsi="Times New Roman" w:cs="Times New Roman"/>
          <w:sz w:val="24"/>
          <w:szCs w:val="24"/>
        </w:rPr>
        <w:t>’</w:t>
      </w:r>
      <w:r w:rsidRPr="00701E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komme ind </w:t>
      </w:r>
      <w:r w:rsidRPr="00701ECC">
        <w:rPr>
          <w:rFonts w:ascii="Times New Roman" w:eastAsia="Times New Roman" w:hAnsi="Times New Roman" w:cs="Times New Roman"/>
          <w:sz w:val="24"/>
          <w:szCs w:val="24"/>
        </w:rPr>
        <w:t>i fiskeriet</w:t>
      </w:r>
      <w:r>
        <w:rPr>
          <w:rFonts w:ascii="Times New Roman" w:eastAsia="Times New Roman" w:hAnsi="Times New Roman" w:cs="Times New Roman"/>
          <w:sz w:val="24"/>
          <w:szCs w:val="24"/>
        </w:rPr>
        <w:t xml:space="preserve">. F.eks. nye generationer af fiskere. Det ville især være gunstigt, hvis omfordelingen samtidig blev knyttet op på et geografisk tilhørsforhold således, at det var nye og unge </w:t>
      </w:r>
      <w:r w:rsidRPr="00A833BE">
        <w:rPr>
          <w:rFonts w:ascii="Times New Roman" w:eastAsia="Times New Roman" w:hAnsi="Times New Roman" w:cs="Times New Roman"/>
          <w:b/>
          <w:bCs/>
          <w:sz w:val="24"/>
          <w:szCs w:val="24"/>
        </w:rPr>
        <w:t>lokale</w:t>
      </w:r>
      <w:r>
        <w:rPr>
          <w:rFonts w:ascii="Times New Roman" w:eastAsia="Times New Roman" w:hAnsi="Times New Roman" w:cs="Times New Roman"/>
          <w:sz w:val="24"/>
          <w:szCs w:val="24"/>
        </w:rPr>
        <w:t xml:space="preserve"> fiskere, der på den måde får </w:t>
      </w:r>
      <w:proofErr w:type="gramStart"/>
      <w:r>
        <w:rPr>
          <w:rFonts w:ascii="Times New Roman" w:eastAsia="Times New Roman" w:hAnsi="Times New Roman" w:cs="Times New Roman"/>
          <w:sz w:val="24"/>
          <w:szCs w:val="24"/>
        </w:rPr>
        <w:t>en vej ind i</w:t>
      </w:r>
      <w:proofErr w:type="gramEnd"/>
      <w:r>
        <w:rPr>
          <w:rFonts w:ascii="Times New Roman" w:eastAsia="Times New Roman" w:hAnsi="Times New Roman" w:cs="Times New Roman"/>
          <w:sz w:val="24"/>
          <w:szCs w:val="24"/>
        </w:rPr>
        <w:t xml:space="preserve"> fiskeriet. Dette aspekt er imidlertid ikke beskrevet i lovforslaget.</w:t>
      </w:r>
    </w:p>
    <w:p w14:paraId="214821F4" w14:textId="145FED71" w:rsidR="004A6CA8" w:rsidRPr="004A6CA8" w:rsidRDefault="004A6CA8" w:rsidP="004A6CA8">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 er</w:t>
      </w:r>
      <w:r w:rsidRPr="00A450F6">
        <w:rPr>
          <w:rFonts w:ascii="Times New Roman" w:eastAsia="Times New Roman" w:hAnsi="Times New Roman" w:cs="Times New Roman"/>
          <w:sz w:val="24"/>
          <w:szCs w:val="24"/>
        </w:rPr>
        <w:t xml:space="preserve"> </w:t>
      </w:r>
      <w:r w:rsidR="00A833BE">
        <w:rPr>
          <w:rFonts w:ascii="Times New Roman" w:eastAsia="Times New Roman" w:hAnsi="Times New Roman" w:cs="Times New Roman"/>
          <w:sz w:val="24"/>
          <w:szCs w:val="24"/>
        </w:rPr>
        <w:t xml:space="preserve">også </w:t>
      </w:r>
      <w:r w:rsidRPr="00A450F6">
        <w:rPr>
          <w:rFonts w:ascii="Times New Roman" w:eastAsia="Times New Roman" w:hAnsi="Times New Roman" w:cs="Times New Roman"/>
          <w:sz w:val="24"/>
          <w:szCs w:val="24"/>
        </w:rPr>
        <w:t>både teoretiske og praktiske grunde til at betvivle</w:t>
      </w:r>
      <w:r>
        <w:rPr>
          <w:rFonts w:ascii="Times New Roman" w:eastAsia="Times New Roman" w:hAnsi="Times New Roman" w:cs="Times New Roman"/>
          <w:sz w:val="24"/>
          <w:szCs w:val="24"/>
        </w:rPr>
        <w:t>,</w:t>
      </w:r>
      <w:r w:rsidRPr="00A450F6">
        <w:rPr>
          <w:rFonts w:ascii="Times New Roman" w:eastAsia="Times New Roman" w:hAnsi="Times New Roman" w:cs="Times New Roman"/>
          <w:sz w:val="24"/>
          <w:szCs w:val="24"/>
        </w:rPr>
        <w:t xml:space="preserve"> at </w:t>
      </w:r>
      <w:proofErr w:type="spellStart"/>
      <w:r w:rsidRPr="00A450F6">
        <w:rPr>
          <w:rFonts w:ascii="Times New Roman" w:eastAsia="Times New Roman" w:hAnsi="Times New Roman" w:cs="Times New Roman"/>
          <w:sz w:val="24"/>
          <w:szCs w:val="24"/>
        </w:rPr>
        <w:t>IOK</w:t>
      </w:r>
      <w:r>
        <w:rPr>
          <w:rFonts w:ascii="Times New Roman" w:eastAsia="Times New Roman" w:hAnsi="Times New Roman" w:cs="Times New Roman"/>
          <w:sz w:val="24"/>
          <w:szCs w:val="24"/>
        </w:rPr>
        <w:t>’</w:t>
      </w:r>
      <w:r w:rsidRPr="00A450F6">
        <w:rPr>
          <w:rFonts w:ascii="Times New Roman" w:eastAsia="Times New Roman" w:hAnsi="Times New Roman" w:cs="Times New Roman"/>
          <w:sz w:val="24"/>
          <w:szCs w:val="24"/>
        </w:rPr>
        <w:t>er</w:t>
      </w:r>
      <w:proofErr w:type="spellEnd"/>
      <w:r w:rsidRPr="00A450F6">
        <w:rPr>
          <w:rFonts w:ascii="Times New Roman" w:eastAsia="Times New Roman" w:hAnsi="Times New Roman" w:cs="Times New Roman"/>
          <w:sz w:val="24"/>
          <w:szCs w:val="24"/>
        </w:rPr>
        <w:t xml:space="preserve"> føre</w:t>
      </w:r>
      <w:r>
        <w:rPr>
          <w:rFonts w:ascii="Times New Roman" w:eastAsia="Times New Roman" w:hAnsi="Times New Roman" w:cs="Times New Roman"/>
          <w:sz w:val="24"/>
          <w:szCs w:val="24"/>
        </w:rPr>
        <w:t>r</w:t>
      </w:r>
      <w:r w:rsidRPr="00A450F6">
        <w:rPr>
          <w:rFonts w:ascii="Times New Roman" w:eastAsia="Times New Roman" w:hAnsi="Times New Roman" w:cs="Times New Roman"/>
          <w:sz w:val="24"/>
          <w:szCs w:val="24"/>
        </w:rPr>
        <w:t xml:space="preserve"> til</w:t>
      </w:r>
      <w:r>
        <w:rPr>
          <w:rFonts w:ascii="Times New Roman" w:eastAsia="Times New Roman" w:hAnsi="Times New Roman" w:cs="Times New Roman"/>
          <w:sz w:val="24"/>
          <w:szCs w:val="24"/>
        </w:rPr>
        <w:t xml:space="preserve"> en</w:t>
      </w:r>
      <w:r w:rsidRPr="00A450F6">
        <w:rPr>
          <w:rFonts w:ascii="Times New Roman" w:eastAsia="Times New Roman" w:hAnsi="Times New Roman" w:cs="Times New Roman"/>
          <w:sz w:val="24"/>
          <w:szCs w:val="24"/>
        </w:rPr>
        <w:t xml:space="preserve"> mere bæredygtig udnyttelse af ressourcerne. Der er meget begrænset </w:t>
      </w:r>
      <w:r>
        <w:rPr>
          <w:rFonts w:ascii="Times New Roman" w:eastAsia="Times New Roman" w:hAnsi="Times New Roman" w:cs="Times New Roman"/>
          <w:sz w:val="24"/>
          <w:szCs w:val="24"/>
        </w:rPr>
        <w:t>dokumentation</w:t>
      </w:r>
      <w:r w:rsidRPr="00A450F6">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w:t>
      </w:r>
      <w:r w:rsidRPr="00A450F6">
        <w:rPr>
          <w:rFonts w:ascii="Times New Roman" w:eastAsia="Times New Roman" w:hAnsi="Times New Roman" w:cs="Times New Roman"/>
          <w:sz w:val="24"/>
          <w:szCs w:val="24"/>
        </w:rPr>
        <w:t xml:space="preserve"> at </w:t>
      </w:r>
      <w:proofErr w:type="spellStart"/>
      <w:r w:rsidRPr="00A450F6">
        <w:rPr>
          <w:rFonts w:ascii="Times New Roman" w:eastAsia="Times New Roman" w:hAnsi="Times New Roman" w:cs="Times New Roman"/>
          <w:sz w:val="24"/>
          <w:szCs w:val="24"/>
        </w:rPr>
        <w:t>IOK</w:t>
      </w:r>
      <w:r>
        <w:rPr>
          <w:rFonts w:ascii="Times New Roman" w:eastAsia="Times New Roman" w:hAnsi="Times New Roman" w:cs="Times New Roman"/>
          <w:sz w:val="24"/>
          <w:szCs w:val="24"/>
        </w:rPr>
        <w:t>’</w:t>
      </w:r>
      <w:r w:rsidRPr="00A450F6">
        <w:rPr>
          <w:rFonts w:ascii="Times New Roman" w:eastAsia="Times New Roman" w:hAnsi="Times New Roman" w:cs="Times New Roman"/>
          <w:sz w:val="24"/>
          <w:szCs w:val="24"/>
        </w:rPr>
        <w:t>er</w:t>
      </w:r>
      <w:proofErr w:type="spellEnd"/>
      <w:r w:rsidRPr="00A450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får den enkelte kvoteejer til at drive et mere bæredygtigt fiskeri</w:t>
      </w:r>
      <w:r w:rsidR="00A833BE">
        <w:rPr>
          <w:rFonts w:ascii="Times New Roman" w:eastAsia="Times New Roman" w:hAnsi="Times New Roman" w:cs="Times New Roman"/>
          <w:sz w:val="24"/>
          <w:szCs w:val="24"/>
        </w:rPr>
        <w:t xml:space="preserve"> – i.e. undgå udsmid og overholde kvoter og regler</w:t>
      </w:r>
      <w:r w:rsidRPr="00A450F6">
        <w:rPr>
          <w:rFonts w:ascii="Times New Roman" w:eastAsia="Times New Roman" w:hAnsi="Times New Roman" w:cs="Times New Roman"/>
          <w:sz w:val="24"/>
          <w:szCs w:val="24"/>
        </w:rPr>
        <w:t>. Fiskere</w:t>
      </w:r>
      <w:r>
        <w:rPr>
          <w:rFonts w:ascii="Times New Roman" w:eastAsia="Times New Roman" w:hAnsi="Times New Roman" w:cs="Times New Roman"/>
          <w:sz w:val="24"/>
          <w:szCs w:val="24"/>
        </w:rPr>
        <w:t>,</w:t>
      </w:r>
      <w:r w:rsidRPr="00A450F6">
        <w:rPr>
          <w:rFonts w:ascii="Times New Roman" w:eastAsia="Times New Roman" w:hAnsi="Times New Roman" w:cs="Times New Roman"/>
          <w:sz w:val="24"/>
          <w:szCs w:val="24"/>
        </w:rPr>
        <w:t xml:space="preserve"> der planlægger at sælge deres IOK har ingen incitament</w:t>
      </w:r>
      <w:r w:rsidR="00FE7B58">
        <w:rPr>
          <w:rFonts w:ascii="Times New Roman" w:eastAsia="Times New Roman" w:hAnsi="Times New Roman" w:cs="Times New Roman"/>
          <w:sz w:val="24"/>
          <w:szCs w:val="24"/>
        </w:rPr>
        <w:t>er</w:t>
      </w:r>
      <w:r w:rsidRPr="00A450F6">
        <w:rPr>
          <w:rFonts w:ascii="Times New Roman" w:eastAsia="Times New Roman" w:hAnsi="Times New Roman" w:cs="Times New Roman"/>
          <w:sz w:val="24"/>
          <w:szCs w:val="24"/>
        </w:rPr>
        <w:t xml:space="preserve"> </w:t>
      </w:r>
      <w:r w:rsidR="00A833BE">
        <w:rPr>
          <w:rFonts w:ascii="Times New Roman" w:eastAsia="Times New Roman" w:hAnsi="Times New Roman" w:cs="Times New Roman"/>
          <w:sz w:val="24"/>
          <w:szCs w:val="24"/>
        </w:rPr>
        <w:t xml:space="preserve">til </w:t>
      </w:r>
      <w:r>
        <w:rPr>
          <w:rFonts w:ascii="Times New Roman" w:eastAsia="Times New Roman" w:hAnsi="Times New Roman" w:cs="Times New Roman"/>
          <w:sz w:val="24"/>
          <w:szCs w:val="24"/>
        </w:rPr>
        <w:t xml:space="preserve">at holde sig tilbage. </w:t>
      </w:r>
      <w:r w:rsidRPr="00A450F6">
        <w:rPr>
          <w:rFonts w:ascii="Times New Roman" w:eastAsia="Times New Roman" w:hAnsi="Times New Roman" w:cs="Times New Roman"/>
          <w:sz w:val="24"/>
          <w:szCs w:val="24"/>
        </w:rPr>
        <w:t>Ligeledes forventes ikke-lokale ejere (</w:t>
      </w:r>
      <w:r>
        <w:rPr>
          <w:rFonts w:ascii="Times New Roman" w:eastAsia="Times New Roman" w:hAnsi="Times New Roman" w:cs="Times New Roman"/>
          <w:sz w:val="24"/>
          <w:szCs w:val="24"/>
        </w:rPr>
        <w:t xml:space="preserve">herunder </w:t>
      </w:r>
      <w:r w:rsidRPr="00A450F6">
        <w:rPr>
          <w:rFonts w:ascii="Times New Roman" w:eastAsia="Times New Roman" w:hAnsi="Times New Roman" w:cs="Times New Roman"/>
          <w:sz w:val="24"/>
          <w:szCs w:val="24"/>
        </w:rPr>
        <w:t xml:space="preserve">pensionsselskaber) at </w:t>
      </w:r>
      <w:r>
        <w:rPr>
          <w:rFonts w:ascii="Times New Roman" w:eastAsia="Times New Roman" w:hAnsi="Times New Roman" w:cs="Times New Roman"/>
          <w:sz w:val="24"/>
          <w:szCs w:val="24"/>
        </w:rPr>
        <w:t>foretrække</w:t>
      </w:r>
      <w:r w:rsidRPr="00A450F6">
        <w:rPr>
          <w:rFonts w:ascii="Times New Roman" w:eastAsia="Times New Roman" w:hAnsi="Times New Roman" w:cs="Times New Roman"/>
          <w:sz w:val="24"/>
          <w:szCs w:val="24"/>
        </w:rPr>
        <w:t xml:space="preserve"> højere </w:t>
      </w:r>
      <w:r>
        <w:rPr>
          <w:rFonts w:ascii="Times New Roman" w:eastAsia="Times New Roman" w:hAnsi="Times New Roman" w:cs="Times New Roman"/>
          <w:sz w:val="24"/>
          <w:szCs w:val="24"/>
        </w:rPr>
        <w:t>kvoter,</w:t>
      </w:r>
      <w:r w:rsidRPr="00A450F6">
        <w:rPr>
          <w:rFonts w:ascii="Times New Roman" w:eastAsia="Times New Roman" w:hAnsi="Times New Roman" w:cs="Times New Roman"/>
          <w:sz w:val="24"/>
          <w:szCs w:val="24"/>
        </w:rPr>
        <w:t xml:space="preserve"> uanset om der er </w:t>
      </w:r>
      <w:proofErr w:type="spellStart"/>
      <w:r w:rsidRPr="00A450F6">
        <w:rPr>
          <w:rFonts w:ascii="Times New Roman" w:eastAsia="Times New Roman" w:hAnsi="Times New Roman" w:cs="Times New Roman"/>
          <w:sz w:val="24"/>
          <w:szCs w:val="24"/>
        </w:rPr>
        <w:t>IOK</w:t>
      </w:r>
      <w:r w:rsidR="00A833BE">
        <w:rPr>
          <w:rFonts w:ascii="Times New Roman" w:eastAsia="Times New Roman" w:hAnsi="Times New Roman" w:cs="Times New Roman"/>
          <w:sz w:val="24"/>
          <w:szCs w:val="24"/>
        </w:rPr>
        <w:t>’</w:t>
      </w:r>
      <w:r w:rsidRPr="00A450F6">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eller ej</w:t>
      </w:r>
      <w:r w:rsidRPr="00A450F6">
        <w:rPr>
          <w:rFonts w:ascii="Times New Roman" w:eastAsia="Times New Roman" w:hAnsi="Times New Roman" w:cs="Times New Roman"/>
          <w:sz w:val="24"/>
          <w:szCs w:val="24"/>
        </w:rPr>
        <w:t xml:space="preserve">. Og erfaring </w:t>
      </w:r>
      <w:r>
        <w:rPr>
          <w:rFonts w:ascii="Times New Roman" w:eastAsia="Times New Roman" w:hAnsi="Times New Roman" w:cs="Times New Roman"/>
          <w:sz w:val="24"/>
          <w:szCs w:val="24"/>
        </w:rPr>
        <w:t xml:space="preserve">fra andre steder </w:t>
      </w:r>
      <w:r w:rsidRPr="00A450F6">
        <w:rPr>
          <w:rFonts w:ascii="Times New Roman" w:eastAsia="Times New Roman" w:hAnsi="Times New Roman" w:cs="Times New Roman"/>
          <w:sz w:val="24"/>
          <w:szCs w:val="24"/>
        </w:rPr>
        <w:t>viser</w:t>
      </w:r>
      <w:r>
        <w:rPr>
          <w:rFonts w:ascii="Times New Roman" w:eastAsia="Times New Roman" w:hAnsi="Times New Roman" w:cs="Times New Roman"/>
          <w:sz w:val="24"/>
          <w:szCs w:val="24"/>
        </w:rPr>
        <w:t>,</w:t>
      </w:r>
      <w:r w:rsidRPr="00A450F6">
        <w:rPr>
          <w:rFonts w:ascii="Times New Roman" w:eastAsia="Times New Roman" w:hAnsi="Times New Roman" w:cs="Times New Roman"/>
          <w:sz w:val="24"/>
          <w:szCs w:val="24"/>
        </w:rPr>
        <w:t xml:space="preserve"> at de ansvarlige myndigheder ofte fortsætter med at fastsætte </w:t>
      </w:r>
      <w:r>
        <w:rPr>
          <w:rFonts w:ascii="Times New Roman" w:eastAsia="Times New Roman" w:hAnsi="Times New Roman" w:cs="Times New Roman"/>
          <w:sz w:val="24"/>
          <w:szCs w:val="24"/>
        </w:rPr>
        <w:t>kvoter</w:t>
      </w:r>
      <w:r w:rsidRPr="00A450F6">
        <w:rPr>
          <w:rFonts w:ascii="Times New Roman" w:eastAsia="Times New Roman" w:hAnsi="Times New Roman" w:cs="Times New Roman"/>
          <w:sz w:val="24"/>
          <w:szCs w:val="24"/>
        </w:rPr>
        <w:t xml:space="preserve">, der overskrider de biologiske anbefalinger – hvilket er årsagen til de </w:t>
      </w:r>
      <w:proofErr w:type="gramStart"/>
      <w:r w:rsidRPr="00A450F6">
        <w:rPr>
          <w:rFonts w:ascii="Times New Roman" w:eastAsia="Times New Roman" w:hAnsi="Times New Roman" w:cs="Times New Roman"/>
          <w:sz w:val="24"/>
          <w:szCs w:val="24"/>
        </w:rPr>
        <w:t>problemer</w:t>
      </w:r>
      <w:r>
        <w:rPr>
          <w:rFonts w:ascii="Times New Roman" w:eastAsia="Times New Roman" w:hAnsi="Times New Roman" w:cs="Times New Roman"/>
          <w:sz w:val="24"/>
          <w:szCs w:val="24"/>
        </w:rPr>
        <w:t>,</w:t>
      </w:r>
      <w:r w:rsidRPr="00A450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vi</w:t>
      </w:r>
      <w:proofErr w:type="gramEnd"/>
      <w:r>
        <w:rPr>
          <w:rFonts w:ascii="Times New Roman" w:eastAsia="Times New Roman" w:hAnsi="Times New Roman" w:cs="Times New Roman"/>
          <w:sz w:val="24"/>
          <w:szCs w:val="24"/>
        </w:rPr>
        <w:t xml:space="preserve"> i dag ser med det kystnære fiskeri af hellefisk.</w:t>
      </w:r>
      <w:r w:rsidRPr="00A450F6">
        <w:rPr>
          <w:rFonts w:ascii="Times New Roman" w:eastAsia="Times New Roman" w:hAnsi="Times New Roman" w:cs="Times New Roman"/>
          <w:sz w:val="24"/>
          <w:szCs w:val="24"/>
        </w:rPr>
        <w:t xml:space="preserve"> </w:t>
      </w:r>
    </w:p>
    <w:p w14:paraId="30BD2CE4" w14:textId="651EDC1A" w:rsidR="0084644D" w:rsidRPr="007D43A7" w:rsidRDefault="0084644D" w:rsidP="0084644D">
      <w:pPr>
        <w:pStyle w:val="Heading1"/>
        <w:jc w:val="both"/>
        <w:rPr>
          <w:rFonts w:ascii="Times New Roman" w:eastAsia="Times New Roman" w:hAnsi="Times New Roman" w:cs="Times New Roman"/>
          <w:b/>
          <w:bCs/>
          <w:color w:val="auto"/>
          <w:sz w:val="28"/>
          <w:szCs w:val="28"/>
          <w:lang w:val="da-DK"/>
        </w:rPr>
      </w:pPr>
      <w:r>
        <w:rPr>
          <w:rFonts w:ascii="Times New Roman" w:eastAsia="Times New Roman" w:hAnsi="Times New Roman" w:cs="Times New Roman"/>
          <w:b/>
          <w:bCs/>
          <w:color w:val="auto"/>
          <w:sz w:val="28"/>
          <w:szCs w:val="28"/>
          <w:lang w:val="da-DK"/>
        </w:rPr>
        <w:t xml:space="preserve">Hvad betyder </w:t>
      </w:r>
      <w:r w:rsidR="00195096">
        <w:rPr>
          <w:rFonts w:ascii="Times New Roman" w:eastAsia="Times New Roman" w:hAnsi="Times New Roman" w:cs="Times New Roman"/>
          <w:b/>
          <w:bCs/>
          <w:color w:val="auto"/>
          <w:sz w:val="28"/>
          <w:szCs w:val="28"/>
          <w:lang w:val="da-DK"/>
        </w:rPr>
        <w:t>det</w:t>
      </w:r>
      <w:r w:rsidR="004A6CA8">
        <w:rPr>
          <w:rFonts w:ascii="Times New Roman" w:eastAsia="Times New Roman" w:hAnsi="Times New Roman" w:cs="Times New Roman"/>
          <w:b/>
          <w:bCs/>
          <w:color w:val="auto"/>
          <w:sz w:val="28"/>
          <w:szCs w:val="28"/>
          <w:lang w:val="da-DK"/>
        </w:rPr>
        <w:t>,</w:t>
      </w:r>
      <w:r w:rsidR="00195096">
        <w:rPr>
          <w:rFonts w:ascii="Times New Roman" w:eastAsia="Times New Roman" w:hAnsi="Times New Roman" w:cs="Times New Roman"/>
          <w:b/>
          <w:bCs/>
          <w:color w:val="auto"/>
          <w:sz w:val="28"/>
          <w:szCs w:val="28"/>
          <w:lang w:val="da-DK"/>
        </w:rPr>
        <w:t xml:space="preserve"> </w:t>
      </w:r>
      <w:r>
        <w:rPr>
          <w:rFonts w:ascii="Times New Roman" w:eastAsia="Times New Roman" w:hAnsi="Times New Roman" w:cs="Times New Roman"/>
          <w:b/>
          <w:bCs/>
          <w:color w:val="auto"/>
          <w:sz w:val="28"/>
          <w:szCs w:val="28"/>
          <w:lang w:val="da-DK"/>
        </w:rPr>
        <w:t>at i</w:t>
      </w:r>
      <w:r w:rsidRPr="007D43A7">
        <w:rPr>
          <w:rFonts w:ascii="Times New Roman" w:eastAsia="Times New Roman" w:hAnsi="Times New Roman" w:cs="Times New Roman"/>
          <w:b/>
          <w:bCs/>
          <w:color w:val="auto"/>
          <w:sz w:val="28"/>
          <w:szCs w:val="28"/>
          <w:lang w:val="da-DK"/>
        </w:rPr>
        <w:t>ndhandl</w:t>
      </w:r>
      <w:r>
        <w:rPr>
          <w:rFonts w:ascii="Times New Roman" w:eastAsia="Times New Roman" w:hAnsi="Times New Roman" w:cs="Times New Roman"/>
          <w:b/>
          <w:bCs/>
          <w:color w:val="auto"/>
          <w:sz w:val="28"/>
          <w:szCs w:val="28"/>
          <w:lang w:val="da-DK"/>
        </w:rPr>
        <w:t>ing</w:t>
      </w:r>
      <w:r w:rsidRPr="007D43A7">
        <w:rPr>
          <w:rFonts w:ascii="Times New Roman" w:eastAsia="Times New Roman" w:hAnsi="Times New Roman" w:cs="Times New Roman"/>
          <w:b/>
          <w:bCs/>
          <w:color w:val="auto"/>
          <w:sz w:val="28"/>
          <w:szCs w:val="28"/>
          <w:lang w:val="da-DK"/>
        </w:rPr>
        <w:t>skravet</w:t>
      </w:r>
      <w:r>
        <w:rPr>
          <w:rFonts w:ascii="Times New Roman" w:eastAsia="Times New Roman" w:hAnsi="Times New Roman" w:cs="Times New Roman"/>
          <w:b/>
          <w:bCs/>
          <w:color w:val="auto"/>
          <w:sz w:val="28"/>
          <w:szCs w:val="28"/>
          <w:lang w:val="da-DK"/>
        </w:rPr>
        <w:t xml:space="preserve"> bliver mindre?</w:t>
      </w:r>
    </w:p>
    <w:p w14:paraId="53B088B7" w14:textId="79CD69D1" w:rsidR="00FD0612" w:rsidRPr="00A833BE" w:rsidRDefault="00FD0612" w:rsidP="00F66959">
      <w:pPr>
        <w:spacing w:after="240"/>
        <w:jc w:val="both"/>
        <w:rPr>
          <w:rFonts w:ascii="Times New Roman" w:hAnsi="Times New Roman" w:cs="Times New Roman"/>
          <w:sz w:val="24"/>
          <w:szCs w:val="24"/>
          <w:lang w:eastAsia="en-US"/>
        </w:rPr>
      </w:pPr>
      <w:r w:rsidRPr="00A833BE">
        <w:rPr>
          <w:rFonts w:ascii="Times New Roman" w:hAnsi="Times New Roman" w:cs="Times New Roman"/>
          <w:sz w:val="24"/>
          <w:szCs w:val="24"/>
          <w:lang w:eastAsia="en-US"/>
        </w:rPr>
        <w:t xml:space="preserve">Vi præsenterer her tal fra Grønlands </w:t>
      </w:r>
      <w:r w:rsidR="00A833BE">
        <w:rPr>
          <w:rFonts w:ascii="Times New Roman" w:hAnsi="Times New Roman" w:cs="Times New Roman"/>
          <w:sz w:val="24"/>
          <w:szCs w:val="24"/>
          <w:lang w:eastAsia="en-US"/>
        </w:rPr>
        <w:t>S</w:t>
      </w:r>
      <w:r w:rsidRPr="00A833BE">
        <w:rPr>
          <w:rFonts w:ascii="Times New Roman" w:hAnsi="Times New Roman" w:cs="Times New Roman"/>
          <w:sz w:val="24"/>
          <w:szCs w:val="24"/>
          <w:lang w:eastAsia="en-US"/>
        </w:rPr>
        <w:t xml:space="preserve">tatistik for at </w:t>
      </w:r>
      <w:r w:rsidR="00A833BE">
        <w:rPr>
          <w:rFonts w:ascii="Times New Roman" w:hAnsi="Times New Roman" w:cs="Times New Roman"/>
          <w:sz w:val="24"/>
          <w:szCs w:val="24"/>
          <w:lang w:eastAsia="en-US"/>
        </w:rPr>
        <w:t xml:space="preserve">vise de mulige </w:t>
      </w:r>
      <w:r w:rsidRPr="00A833BE">
        <w:rPr>
          <w:rFonts w:ascii="Times New Roman" w:hAnsi="Times New Roman" w:cs="Times New Roman"/>
          <w:sz w:val="24"/>
          <w:szCs w:val="24"/>
          <w:lang w:eastAsia="en-US"/>
        </w:rPr>
        <w:t>konsekvenser</w:t>
      </w:r>
      <w:r w:rsidR="00A833BE">
        <w:rPr>
          <w:rFonts w:ascii="Times New Roman" w:hAnsi="Times New Roman" w:cs="Times New Roman"/>
          <w:sz w:val="24"/>
          <w:szCs w:val="24"/>
          <w:lang w:eastAsia="en-US"/>
        </w:rPr>
        <w:t xml:space="preserve"> </w:t>
      </w:r>
      <w:r w:rsidRPr="00A833BE">
        <w:rPr>
          <w:rFonts w:ascii="Times New Roman" w:hAnsi="Times New Roman" w:cs="Times New Roman"/>
          <w:sz w:val="24"/>
          <w:szCs w:val="24"/>
          <w:lang w:eastAsia="en-US"/>
        </w:rPr>
        <w:t xml:space="preserve">af lovforslagets oplæg til </w:t>
      </w:r>
      <w:r w:rsidR="00A833BE">
        <w:rPr>
          <w:rFonts w:ascii="Times New Roman" w:hAnsi="Times New Roman" w:cs="Times New Roman"/>
          <w:sz w:val="24"/>
          <w:szCs w:val="24"/>
          <w:lang w:eastAsia="en-US"/>
        </w:rPr>
        <w:t xml:space="preserve">ændringer af </w:t>
      </w:r>
      <w:r w:rsidRPr="00A833BE">
        <w:rPr>
          <w:rFonts w:ascii="Times New Roman" w:hAnsi="Times New Roman" w:cs="Times New Roman"/>
          <w:sz w:val="24"/>
          <w:szCs w:val="24"/>
          <w:lang w:eastAsia="en-US"/>
        </w:rPr>
        <w:t>indhandlingskrav</w:t>
      </w:r>
      <w:r w:rsidR="00A833BE">
        <w:rPr>
          <w:rFonts w:ascii="Times New Roman" w:hAnsi="Times New Roman" w:cs="Times New Roman"/>
          <w:sz w:val="24"/>
          <w:szCs w:val="24"/>
          <w:lang w:eastAsia="en-US"/>
        </w:rPr>
        <w:t>et</w:t>
      </w:r>
      <w:r w:rsidRPr="00A833BE">
        <w:rPr>
          <w:rFonts w:ascii="Times New Roman" w:hAnsi="Times New Roman" w:cs="Times New Roman"/>
          <w:sz w:val="24"/>
          <w:szCs w:val="24"/>
          <w:lang w:eastAsia="en-US"/>
        </w:rPr>
        <w:t xml:space="preserve">. </w:t>
      </w:r>
    </w:p>
    <w:p w14:paraId="64B1BCF5" w14:textId="52B0621B" w:rsidR="00430EAB" w:rsidRPr="00430EAB" w:rsidRDefault="00430EAB" w:rsidP="00FE402F">
      <w:pPr>
        <w:pStyle w:val="Heading2"/>
        <w:spacing w:before="240"/>
        <w:rPr>
          <w:rFonts w:ascii="Times New Roman" w:hAnsi="Times New Roman" w:cs="Times New Roman"/>
          <w:b/>
          <w:bCs/>
          <w:i/>
          <w:iCs/>
          <w:color w:val="auto"/>
          <w:sz w:val="24"/>
          <w:szCs w:val="24"/>
          <w:lang w:eastAsia="en-US"/>
        </w:rPr>
      </w:pPr>
      <w:r w:rsidRPr="00430EAB">
        <w:rPr>
          <w:rFonts w:ascii="Times New Roman" w:hAnsi="Times New Roman" w:cs="Times New Roman"/>
          <w:b/>
          <w:bCs/>
          <w:i/>
          <w:iCs/>
          <w:color w:val="auto"/>
          <w:sz w:val="24"/>
          <w:szCs w:val="24"/>
          <w:lang w:eastAsia="en-US"/>
        </w:rPr>
        <w:t>Rejer</w:t>
      </w:r>
    </w:p>
    <w:p w14:paraId="647004B6" w14:textId="14CE1AEC" w:rsidR="0084644D" w:rsidRDefault="0084644D" w:rsidP="0084644D">
      <w:pPr>
        <w:spacing w:after="240"/>
        <w:jc w:val="both"/>
        <w:rPr>
          <w:rFonts w:ascii="Times New Roman" w:hAnsi="Times New Roman" w:cs="Times New Roman"/>
          <w:sz w:val="24"/>
          <w:szCs w:val="24"/>
          <w:lang w:eastAsia="en-US"/>
        </w:rPr>
      </w:pPr>
      <w:r w:rsidRPr="00A20F99">
        <w:rPr>
          <w:rFonts w:ascii="Times New Roman" w:hAnsi="Times New Roman" w:cs="Times New Roman"/>
          <w:sz w:val="24"/>
          <w:szCs w:val="24"/>
          <w:lang w:eastAsia="en-US"/>
        </w:rPr>
        <w:t>For rejefiskeriet indeholder lovforslaget</w:t>
      </w:r>
      <w:r w:rsidR="00AC3506">
        <w:rPr>
          <w:rFonts w:ascii="Times New Roman" w:hAnsi="Times New Roman" w:cs="Times New Roman"/>
          <w:sz w:val="24"/>
          <w:szCs w:val="24"/>
          <w:lang w:eastAsia="en-US"/>
        </w:rPr>
        <w:t>,</w:t>
      </w:r>
      <w:r w:rsidRPr="00A20F99">
        <w:rPr>
          <w:rFonts w:ascii="Times New Roman" w:hAnsi="Times New Roman" w:cs="Times New Roman"/>
          <w:sz w:val="24"/>
          <w:szCs w:val="24"/>
          <w:lang w:eastAsia="en-US"/>
        </w:rPr>
        <w:t xml:space="preserve"> at 75</w:t>
      </w:r>
      <w:r w:rsidR="004A6CA8">
        <w:rPr>
          <w:rFonts w:ascii="Times New Roman" w:hAnsi="Times New Roman" w:cs="Times New Roman"/>
          <w:sz w:val="24"/>
          <w:szCs w:val="24"/>
          <w:lang w:eastAsia="en-US"/>
        </w:rPr>
        <w:t>%</w:t>
      </w:r>
      <w:r w:rsidRPr="00A20F99">
        <w:rPr>
          <w:rFonts w:ascii="Times New Roman" w:hAnsi="Times New Roman" w:cs="Times New Roman"/>
          <w:sz w:val="24"/>
          <w:szCs w:val="24"/>
          <w:lang w:eastAsia="en-US"/>
        </w:rPr>
        <w:t xml:space="preserve"> af fangsten fremover </w:t>
      </w:r>
      <w:r>
        <w:rPr>
          <w:rFonts w:ascii="Times New Roman" w:hAnsi="Times New Roman" w:cs="Times New Roman"/>
          <w:sz w:val="24"/>
          <w:szCs w:val="24"/>
          <w:lang w:eastAsia="en-US"/>
        </w:rPr>
        <w:t>kan forarbejdes</w:t>
      </w:r>
      <w:r w:rsidRPr="00A20F99">
        <w:rPr>
          <w:rFonts w:ascii="Times New Roman" w:hAnsi="Times New Roman" w:cs="Times New Roman"/>
          <w:sz w:val="24"/>
          <w:szCs w:val="24"/>
          <w:lang w:eastAsia="en-US"/>
        </w:rPr>
        <w:t xml:space="preserve"> ombord på fartøjet</w:t>
      </w:r>
      <w:r w:rsidR="004A6CA8">
        <w:rPr>
          <w:rFonts w:ascii="Times New Roman" w:hAnsi="Times New Roman" w:cs="Times New Roman"/>
          <w:sz w:val="24"/>
          <w:szCs w:val="24"/>
          <w:lang w:eastAsia="en-US"/>
        </w:rPr>
        <w:t xml:space="preserve">, og eksporteres uden at landes i Grønland, </w:t>
      </w:r>
      <w:r w:rsidRPr="00A20F99">
        <w:rPr>
          <w:rFonts w:ascii="Times New Roman" w:hAnsi="Times New Roman" w:cs="Times New Roman"/>
          <w:sz w:val="24"/>
          <w:szCs w:val="24"/>
          <w:lang w:eastAsia="en-US"/>
        </w:rPr>
        <w:t>men</w:t>
      </w:r>
      <w:r>
        <w:rPr>
          <w:rFonts w:ascii="Times New Roman" w:hAnsi="Times New Roman" w:cs="Times New Roman"/>
          <w:sz w:val="24"/>
          <w:szCs w:val="24"/>
          <w:lang w:eastAsia="en-US"/>
        </w:rPr>
        <w:t>s</w:t>
      </w:r>
      <w:r w:rsidRPr="00A20F99">
        <w:rPr>
          <w:rFonts w:ascii="Times New Roman" w:hAnsi="Times New Roman" w:cs="Times New Roman"/>
          <w:sz w:val="24"/>
          <w:szCs w:val="24"/>
          <w:lang w:eastAsia="en-US"/>
        </w:rPr>
        <w:t xml:space="preserve"> de resterende 25</w:t>
      </w:r>
      <w:r w:rsidR="004A6CA8">
        <w:rPr>
          <w:rFonts w:ascii="Times New Roman" w:hAnsi="Times New Roman" w:cs="Times New Roman"/>
          <w:sz w:val="24"/>
          <w:szCs w:val="24"/>
          <w:lang w:eastAsia="en-US"/>
        </w:rPr>
        <w:t>%</w:t>
      </w:r>
      <w:r w:rsidRPr="00A20F99">
        <w:rPr>
          <w:rFonts w:ascii="Times New Roman" w:hAnsi="Times New Roman" w:cs="Times New Roman"/>
          <w:sz w:val="24"/>
          <w:szCs w:val="24"/>
          <w:lang w:eastAsia="en-US"/>
        </w:rPr>
        <w:t xml:space="preserve"> skal indhandles på et anlæg i Grønland. I modsætning til gældende praksis vil det kun være 25 </w:t>
      </w:r>
      <w:r w:rsidR="00FD0612">
        <w:rPr>
          <w:rFonts w:ascii="Times New Roman" w:hAnsi="Times New Roman" w:cs="Times New Roman"/>
          <w:sz w:val="24"/>
          <w:szCs w:val="24"/>
          <w:lang w:eastAsia="en-US"/>
        </w:rPr>
        <w:t>%</w:t>
      </w:r>
      <w:r w:rsidRPr="00A20F99">
        <w:rPr>
          <w:rFonts w:ascii="Times New Roman" w:hAnsi="Times New Roman" w:cs="Times New Roman"/>
          <w:sz w:val="24"/>
          <w:szCs w:val="24"/>
          <w:lang w:eastAsia="en-US"/>
        </w:rPr>
        <w:t xml:space="preserve"> af et selskabs samlede fangst, der skal indhandles og ikke det enkelte fartøjs. Dette beskrives som at give en stor grad af fleksibilitet i fiskeriplanlægningen for rederier med flere fartøjer. Men et nærmere kig på landingsstatistikkerne rejser en række bekymringer.</w:t>
      </w:r>
    </w:p>
    <w:p w14:paraId="3871AACF" w14:textId="4A192AA8" w:rsidR="0084644D" w:rsidRDefault="0084644D" w:rsidP="0084644D">
      <w:pPr>
        <w:spacing w:after="240"/>
        <w:jc w:val="both"/>
        <w:rPr>
          <w:rFonts w:ascii="Times New Roman" w:hAnsi="Times New Roman" w:cs="Times New Roman"/>
          <w:sz w:val="24"/>
          <w:szCs w:val="24"/>
          <w:lang w:eastAsia="en-US"/>
        </w:rPr>
      </w:pPr>
      <w:r w:rsidRPr="00710CBA">
        <w:rPr>
          <w:rFonts w:ascii="Times New Roman" w:hAnsi="Times New Roman" w:cs="Times New Roman"/>
          <w:sz w:val="24"/>
          <w:szCs w:val="24"/>
          <w:lang w:eastAsia="en-US"/>
        </w:rPr>
        <w:t xml:space="preserve">Af </w:t>
      </w:r>
      <w:r>
        <w:rPr>
          <w:rFonts w:ascii="Times New Roman" w:hAnsi="Times New Roman" w:cs="Times New Roman"/>
          <w:sz w:val="24"/>
          <w:szCs w:val="24"/>
          <w:lang w:eastAsia="en-US"/>
        </w:rPr>
        <w:t>T</w:t>
      </w:r>
      <w:r w:rsidRPr="00710CBA">
        <w:rPr>
          <w:rFonts w:ascii="Times New Roman" w:hAnsi="Times New Roman" w:cs="Times New Roman"/>
          <w:sz w:val="24"/>
          <w:szCs w:val="24"/>
          <w:lang w:eastAsia="en-US"/>
        </w:rPr>
        <w:t xml:space="preserve">abel 1 fremgår det at </w:t>
      </w:r>
      <w:r>
        <w:rPr>
          <w:rFonts w:ascii="Times New Roman" w:hAnsi="Times New Roman" w:cs="Times New Roman"/>
          <w:sz w:val="24"/>
          <w:szCs w:val="24"/>
          <w:lang w:eastAsia="en-US"/>
        </w:rPr>
        <w:t>46</w:t>
      </w:r>
      <w:r w:rsidR="004A6CA8">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710CBA">
        <w:rPr>
          <w:rFonts w:ascii="Times New Roman" w:hAnsi="Times New Roman" w:cs="Times New Roman"/>
          <w:sz w:val="24"/>
          <w:szCs w:val="24"/>
          <w:lang w:eastAsia="en-US"/>
        </w:rPr>
        <w:t xml:space="preserve">af den totale rejefangst på 118.013 tons i 2022 blev indhandlet. Af det havgående rejefiskeri på 69.723 tons </w:t>
      </w:r>
      <w:r>
        <w:rPr>
          <w:rFonts w:ascii="Times New Roman" w:hAnsi="Times New Roman" w:cs="Times New Roman"/>
          <w:sz w:val="24"/>
          <w:szCs w:val="24"/>
          <w:lang w:eastAsia="en-US"/>
        </w:rPr>
        <w:t xml:space="preserve">blev </w:t>
      </w:r>
      <w:r w:rsidRPr="00710CBA">
        <w:rPr>
          <w:rFonts w:ascii="Times New Roman" w:hAnsi="Times New Roman" w:cs="Times New Roman"/>
          <w:sz w:val="24"/>
          <w:szCs w:val="24"/>
          <w:lang w:eastAsia="en-US"/>
        </w:rPr>
        <w:t>29</w:t>
      </w:r>
      <w:r w:rsidR="004A6CA8">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710CBA">
        <w:rPr>
          <w:rFonts w:ascii="Times New Roman" w:hAnsi="Times New Roman" w:cs="Times New Roman"/>
          <w:sz w:val="24"/>
          <w:szCs w:val="24"/>
          <w:lang w:eastAsia="en-US"/>
        </w:rPr>
        <w:t xml:space="preserve">indhandlet. Af den samlede kystnære fangst på 48.290 tons er </w:t>
      </w:r>
      <w:r>
        <w:rPr>
          <w:rFonts w:ascii="Times New Roman" w:hAnsi="Times New Roman" w:cs="Times New Roman"/>
          <w:sz w:val="24"/>
          <w:szCs w:val="24"/>
          <w:lang w:eastAsia="en-US"/>
        </w:rPr>
        <w:t xml:space="preserve">det </w:t>
      </w:r>
      <w:r w:rsidRPr="00710CBA">
        <w:rPr>
          <w:rFonts w:ascii="Times New Roman" w:hAnsi="Times New Roman" w:cs="Times New Roman"/>
          <w:sz w:val="24"/>
          <w:szCs w:val="24"/>
          <w:lang w:eastAsia="en-US"/>
        </w:rPr>
        <w:t>overraskende kun 70,6</w:t>
      </w:r>
      <w:r w:rsidR="004A6CA8">
        <w:rPr>
          <w:rFonts w:ascii="Times New Roman" w:hAnsi="Times New Roman" w:cs="Times New Roman"/>
          <w:sz w:val="24"/>
          <w:szCs w:val="24"/>
          <w:lang w:eastAsia="en-US"/>
        </w:rPr>
        <w:t>%</w:t>
      </w:r>
      <w:r w:rsidRPr="00710CBA">
        <w:rPr>
          <w:rFonts w:ascii="Times New Roman" w:hAnsi="Times New Roman" w:cs="Times New Roman"/>
          <w:sz w:val="24"/>
          <w:szCs w:val="24"/>
          <w:lang w:eastAsia="en-US"/>
        </w:rPr>
        <w:t xml:space="preserve">, der </w:t>
      </w:r>
      <w:r>
        <w:rPr>
          <w:rFonts w:ascii="Times New Roman" w:hAnsi="Times New Roman" w:cs="Times New Roman"/>
          <w:sz w:val="24"/>
          <w:szCs w:val="24"/>
          <w:lang w:eastAsia="en-US"/>
        </w:rPr>
        <w:t xml:space="preserve">blev </w:t>
      </w:r>
      <w:r w:rsidRPr="00710CBA">
        <w:rPr>
          <w:rFonts w:ascii="Times New Roman" w:hAnsi="Times New Roman" w:cs="Times New Roman"/>
          <w:sz w:val="24"/>
          <w:szCs w:val="24"/>
          <w:lang w:eastAsia="en-US"/>
        </w:rPr>
        <w:t>indhandle</w:t>
      </w:r>
      <w:r>
        <w:rPr>
          <w:rFonts w:ascii="Times New Roman" w:hAnsi="Times New Roman" w:cs="Times New Roman"/>
          <w:sz w:val="24"/>
          <w:szCs w:val="24"/>
          <w:lang w:eastAsia="en-US"/>
        </w:rPr>
        <w:t>t</w:t>
      </w:r>
      <w:r w:rsidRPr="00710CBA">
        <w:rPr>
          <w:rFonts w:ascii="Times New Roman" w:hAnsi="Times New Roman" w:cs="Times New Roman"/>
          <w:sz w:val="24"/>
          <w:szCs w:val="24"/>
          <w:lang w:eastAsia="en-US"/>
        </w:rPr>
        <w:t xml:space="preserve">. Med andre ord, må en del af den kystnære fangst være fanget af fabrikstrawlere i det havgående </w:t>
      </w:r>
      <w:r>
        <w:rPr>
          <w:rFonts w:ascii="Times New Roman" w:hAnsi="Times New Roman" w:cs="Times New Roman"/>
          <w:sz w:val="24"/>
          <w:szCs w:val="24"/>
          <w:lang w:eastAsia="en-US"/>
        </w:rPr>
        <w:t>reje</w:t>
      </w:r>
      <w:r w:rsidRPr="00710CBA">
        <w:rPr>
          <w:rFonts w:ascii="Times New Roman" w:hAnsi="Times New Roman" w:cs="Times New Roman"/>
          <w:sz w:val="24"/>
          <w:szCs w:val="24"/>
          <w:lang w:eastAsia="en-US"/>
        </w:rPr>
        <w:t>fiskeri. I Diskobugten er det stort set kun Diskobugtens egne rejer</w:t>
      </w:r>
      <w:r w:rsidR="00FD0612">
        <w:rPr>
          <w:rFonts w:ascii="Times New Roman" w:hAnsi="Times New Roman" w:cs="Times New Roman"/>
          <w:sz w:val="24"/>
          <w:szCs w:val="24"/>
          <w:lang w:eastAsia="en-US"/>
        </w:rPr>
        <w:t>,</w:t>
      </w:r>
      <w:r w:rsidRPr="00710CBA">
        <w:rPr>
          <w:rFonts w:ascii="Times New Roman" w:hAnsi="Times New Roman" w:cs="Times New Roman"/>
          <w:sz w:val="24"/>
          <w:szCs w:val="24"/>
          <w:lang w:eastAsia="en-US"/>
        </w:rPr>
        <w:t xml:space="preserve"> der indhandles, mens indhandlingen i Nuuk primært kommer fra det havgående rejefiskeri. </w:t>
      </w:r>
    </w:p>
    <w:p w14:paraId="7BB2A83A" w14:textId="73945D3E" w:rsidR="0084644D" w:rsidRDefault="0084644D" w:rsidP="0084644D">
      <w:pPr>
        <w:spacing w:after="240"/>
        <w:jc w:val="both"/>
        <w:rPr>
          <w:rFonts w:ascii="Times New Roman" w:hAnsi="Times New Roman" w:cs="Times New Roman"/>
          <w:sz w:val="24"/>
          <w:szCs w:val="24"/>
          <w:lang w:eastAsia="en-US"/>
        </w:rPr>
      </w:pPr>
      <w:r w:rsidRPr="00710CBA">
        <w:rPr>
          <w:rFonts w:ascii="Times New Roman" w:hAnsi="Times New Roman" w:cs="Times New Roman"/>
          <w:sz w:val="24"/>
          <w:szCs w:val="24"/>
          <w:lang w:eastAsia="en-US"/>
        </w:rPr>
        <w:t>Med lovforslaget om at kun 25</w:t>
      </w:r>
      <w:r w:rsidR="004A6CA8">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710CBA">
        <w:rPr>
          <w:rFonts w:ascii="Times New Roman" w:hAnsi="Times New Roman" w:cs="Times New Roman"/>
          <w:sz w:val="24"/>
          <w:szCs w:val="24"/>
          <w:lang w:eastAsia="en-US"/>
        </w:rPr>
        <w:t>af fangsten skal indhandles i Grønland</w:t>
      </w:r>
      <w:r w:rsidR="004A6CA8">
        <w:rPr>
          <w:rFonts w:ascii="Times New Roman" w:hAnsi="Times New Roman" w:cs="Times New Roman"/>
          <w:sz w:val="24"/>
          <w:szCs w:val="24"/>
          <w:lang w:eastAsia="en-US"/>
        </w:rPr>
        <w:t>,</w:t>
      </w:r>
      <w:r w:rsidRPr="00710CBA">
        <w:rPr>
          <w:rFonts w:ascii="Times New Roman" w:hAnsi="Times New Roman" w:cs="Times New Roman"/>
          <w:sz w:val="24"/>
          <w:szCs w:val="24"/>
          <w:lang w:eastAsia="en-US"/>
        </w:rPr>
        <w:t xml:space="preserve"> kan den nuværende indhandling således næsten halveres</w:t>
      </w:r>
      <w:r w:rsidR="00FD0612">
        <w:rPr>
          <w:rFonts w:ascii="Times New Roman" w:hAnsi="Times New Roman" w:cs="Times New Roman"/>
          <w:sz w:val="24"/>
          <w:szCs w:val="24"/>
          <w:lang w:eastAsia="en-US"/>
        </w:rPr>
        <w:t>.</w:t>
      </w:r>
      <w:r w:rsidRPr="00710CBA">
        <w:rPr>
          <w:rFonts w:ascii="Times New Roman" w:hAnsi="Times New Roman" w:cs="Times New Roman"/>
          <w:sz w:val="24"/>
          <w:szCs w:val="24"/>
          <w:lang w:eastAsia="en-US"/>
        </w:rPr>
        <w:t xml:space="preserve"> Det vil ske i takt med</w:t>
      </w:r>
      <w:r w:rsidR="004A6CA8">
        <w:rPr>
          <w:rFonts w:ascii="Times New Roman" w:hAnsi="Times New Roman" w:cs="Times New Roman"/>
          <w:sz w:val="24"/>
          <w:szCs w:val="24"/>
          <w:lang w:eastAsia="en-US"/>
        </w:rPr>
        <w:t>,</w:t>
      </w:r>
      <w:r w:rsidRPr="00710CBA">
        <w:rPr>
          <w:rFonts w:ascii="Times New Roman" w:hAnsi="Times New Roman" w:cs="Times New Roman"/>
          <w:sz w:val="24"/>
          <w:szCs w:val="24"/>
          <w:lang w:eastAsia="en-US"/>
        </w:rPr>
        <w:t xml:space="preserve"> at skellet mellem det havgående og kystnære rejefiskeri ophæves</w:t>
      </w:r>
      <w:r w:rsidR="00FE402F">
        <w:rPr>
          <w:rFonts w:ascii="Times New Roman" w:hAnsi="Times New Roman" w:cs="Times New Roman"/>
          <w:sz w:val="24"/>
          <w:szCs w:val="24"/>
          <w:lang w:eastAsia="en-US"/>
        </w:rPr>
        <w:t xml:space="preserve"> som en konsekvens af koncentratration af </w:t>
      </w:r>
      <w:proofErr w:type="spellStart"/>
      <w:r w:rsidR="00FE402F">
        <w:rPr>
          <w:rFonts w:ascii="Times New Roman" w:hAnsi="Times New Roman" w:cs="Times New Roman"/>
          <w:sz w:val="24"/>
          <w:szCs w:val="24"/>
          <w:lang w:eastAsia="en-US"/>
        </w:rPr>
        <w:t>IOKerne</w:t>
      </w:r>
      <w:proofErr w:type="spellEnd"/>
      <w:r w:rsidR="00FE402F">
        <w:rPr>
          <w:rFonts w:ascii="Times New Roman" w:hAnsi="Times New Roman" w:cs="Times New Roman"/>
          <w:sz w:val="24"/>
          <w:szCs w:val="24"/>
          <w:lang w:eastAsia="en-US"/>
        </w:rPr>
        <w:t xml:space="preserve"> på ejere med større fartøjer</w:t>
      </w:r>
      <w:r w:rsidR="004A6CA8">
        <w:rPr>
          <w:rFonts w:ascii="Times New Roman" w:hAnsi="Times New Roman" w:cs="Times New Roman"/>
          <w:sz w:val="24"/>
          <w:szCs w:val="24"/>
          <w:lang w:eastAsia="en-US"/>
        </w:rPr>
        <w:t>,</w:t>
      </w:r>
      <w:r w:rsidRPr="00710CBA">
        <w:rPr>
          <w:rFonts w:ascii="Times New Roman" w:hAnsi="Times New Roman" w:cs="Times New Roman"/>
          <w:sz w:val="24"/>
          <w:szCs w:val="24"/>
          <w:lang w:eastAsia="en-US"/>
        </w:rPr>
        <w:t xml:space="preserve"> og </w:t>
      </w:r>
      <w:r w:rsidR="004A6CA8">
        <w:rPr>
          <w:rFonts w:ascii="Times New Roman" w:hAnsi="Times New Roman" w:cs="Times New Roman"/>
          <w:sz w:val="24"/>
          <w:szCs w:val="24"/>
          <w:lang w:eastAsia="en-US"/>
        </w:rPr>
        <w:t xml:space="preserve">det </w:t>
      </w:r>
      <w:r w:rsidRPr="00710CBA">
        <w:rPr>
          <w:rFonts w:ascii="Times New Roman" w:hAnsi="Times New Roman" w:cs="Times New Roman"/>
          <w:sz w:val="24"/>
          <w:szCs w:val="24"/>
          <w:lang w:eastAsia="en-US"/>
        </w:rPr>
        <w:t xml:space="preserve">vil formodentlig medføre en udfasning af kutterfiskeriet. Faktisk </w:t>
      </w:r>
      <w:r>
        <w:rPr>
          <w:rFonts w:ascii="Times New Roman" w:hAnsi="Times New Roman" w:cs="Times New Roman"/>
          <w:sz w:val="24"/>
          <w:szCs w:val="24"/>
          <w:lang w:eastAsia="en-US"/>
        </w:rPr>
        <w:t xml:space="preserve">beskriver Fiskerikommissionen </w:t>
      </w:r>
      <w:r w:rsidRPr="00710CBA">
        <w:rPr>
          <w:rFonts w:ascii="Times New Roman" w:hAnsi="Times New Roman" w:cs="Times New Roman"/>
          <w:sz w:val="24"/>
          <w:szCs w:val="24"/>
          <w:lang w:eastAsia="en-US"/>
        </w:rPr>
        <w:t>kuttersegmentet</w:t>
      </w:r>
      <w:r w:rsidR="00195096">
        <w:rPr>
          <w:rFonts w:ascii="Times New Roman" w:hAnsi="Times New Roman" w:cs="Times New Roman"/>
          <w:sz w:val="24"/>
          <w:szCs w:val="24"/>
          <w:lang w:eastAsia="en-US"/>
        </w:rPr>
        <w:t xml:space="preserve"> </w:t>
      </w:r>
      <w:r w:rsidR="00430EAB">
        <w:rPr>
          <w:rFonts w:ascii="Times New Roman" w:hAnsi="Times New Roman" w:cs="Times New Roman"/>
          <w:sz w:val="24"/>
          <w:szCs w:val="24"/>
          <w:lang w:eastAsia="en-US"/>
        </w:rPr>
        <w:t>som forældet og ikke rentabelt og lægger op til en udfasning</w:t>
      </w:r>
      <w:r w:rsidR="00430EAB" w:rsidRPr="00710CBA">
        <w:rPr>
          <w:rFonts w:ascii="Times New Roman" w:hAnsi="Times New Roman" w:cs="Times New Roman"/>
          <w:sz w:val="24"/>
          <w:szCs w:val="24"/>
          <w:lang w:eastAsia="en-US"/>
        </w:rPr>
        <w:t>.</w:t>
      </w:r>
      <w:r w:rsidRPr="00710CBA">
        <w:rPr>
          <w:rFonts w:ascii="Times New Roman" w:hAnsi="Times New Roman" w:cs="Times New Roman"/>
          <w:sz w:val="24"/>
          <w:szCs w:val="24"/>
          <w:lang w:eastAsia="en-US"/>
        </w:rPr>
        <w:t xml:space="preserve"> Med en udfasning af kutterfiskeriet vil flere rejeindhandlingssteder være lukningstruet. Royal Greenland</w:t>
      </w:r>
      <w:r>
        <w:rPr>
          <w:rFonts w:ascii="Times New Roman" w:hAnsi="Times New Roman" w:cs="Times New Roman"/>
          <w:sz w:val="24"/>
          <w:szCs w:val="24"/>
          <w:lang w:eastAsia="en-US"/>
        </w:rPr>
        <w:t>s</w:t>
      </w:r>
      <w:r w:rsidRPr="00710CB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r</w:t>
      </w:r>
      <w:r w:rsidRPr="00710CBA">
        <w:rPr>
          <w:rFonts w:ascii="Times New Roman" w:hAnsi="Times New Roman" w:cs="Times New Roman"/>
          <w:sz w:val="24"/>
          <w:szCs w:val="24"/>
          <w:lang w:eastAsia="en-US"/>
        </w:rPr>
        <w:t>ejeindhandlingssted</w:t>
      </w:r>
      <w:r w:rsidR="00195096">
        <w:rPr>
          <w:rFonts w:ascii="Times New Roman" w:hAnsi="Times New Roman" w:cs="Times New Roman"/>
          <w:sz w:val="24"/>
          <w:szCs w:val="24"/>
          <w:lang w:eastAsia="en-US"/>
        </w:rPr>
        <w:t xml:space="preserve"> </w:t>
      </w:r>
      <w:r w:rsidRPr="00710CBA">
        <w:rPr>
          <w:rFonts w:ascii="Times New Roman" w:hAnsi="Times New Roman" w:cs="Times New Roman"/>
          <w:sz w:val="24"/>
          <w:szCs w:val="24"/>
          <w:lang w:eastAsia="en-US"/>
        </w:rPr>
        <w:t xml:space="preserve">i Ilulissat vil </w:t>
      </w:r>
      <w:r>
        <w:rPr>
          <w:rFonts w:ascii="Times New Roman" w:hAnsi="Times New Roman" w:cs="Times New Roman"/>
          <w:sz w:val="24"/>
          <w:szCs w:val="24"/>
          <w:lang w:eastAsia="en-US"/>
        </w:rPr>
        <w:t xml:space="preserve">formentligt </w:t>
      </w:r>
      <w:r w:rsidRPr="00710CBA">
        <w:rPr>
          <w:rFonts w:ascii="Times New Roman" w:hAnsi="Times New Roman" w:cs="Times New Roman"/>
          <w:sz w:val="24"/>
          <w:szCs w:val="24"/>
          <w:lang w:eastAsia="en-US"/>
        </w:rPr>
        <w:t>være de</w:t>
      </w:r>
      <w:r>
        <w:rPr>
          <w:rFonts w:ascii="Times New Roman" w:hAnsi="Times New Roman" w:cs="Times New Roman"/>
          <w:sz w:val="24"/>
          <w:szCs w:val="24"/>
          <w:lang w:eastAsia="en-US"/>
        </w:rPr>
        <w:t>t</w:t>
      </w:r>
      <w:r w:rsidRPr="00710CBA">
        <w:rPr>
          <w:rFonts w:ascii="Times New Roman" w:hAnsi="Times New Roman" w:cs="Times New Roman"/>
          <w:sz w:val="24"/>
          <w:szCs w:val="24"/>
          <w:lang w:eastAsia="en-US"/>
        </w:rPr>
        <w:t xml:space="preserve"> første</w:t>
      </w:r>
      <w:r w:rsidR="00195096">
        <w:rPr>
          <w:rFonts w:ascii="Times New Roman" w:hAnsi="Times New Roman" w:cs="Times New Roman"/>
          <w:sz w:val="24"/>
          <w:szCs w:val="24"/>
          <w:lang w:eastAsia="en-US"/>
        </w:rPr>
        <w:t>,</w:t>
      </w:r>
      <w:r w:rsidRPr="00710CBA">
        <w:rPr>
          <w:rFonts w:ascii="Times New Roman" w:hAnsi="Times New Roman" w:cs="Times New Roman"/>
          <w:sz w:val="24"/>
          <w:szCs w:val="24"/>
          <w:lang w:eastAsia="en-US"/>
        </w:rPr>
        <w:t xml:space="preserve"> der lukker pga. de vanskelig adgangsforhold for store trawlere.</w:t>
      </w:r>
      <w:r>
        <w:rPr>
          <w:rFonts w:ascii="Times New Roman" w:hAnsi="Times New Roman" w:cs="Times New Roman"/>
          <w:sz w:val="24"/>
          <w:szCs w:val="24"/>
          <w:lang w:eastAsia="en-US"/>
        </w:rPr>
        <w:t xml:space="preserve"> </w:t>
      </w:r>
    </w:p>
    <w:p w14:paraId="0FECC1E5" w14:textId="77777777" w:rsidR="0084644D" w:rsidRPr="00044794" w:rsidRDefault="0084644D" w:rsidP="0084644D">
      <w:pPr>
        <w:pStyle w:val="Caption"/>
        <w:keepNext/>
        <w:rPr>
          <w:rFonts w:ascii="Times New Roman" w:hAnsi="Times New Roman" w:cs="Times New Roman"/>
          <w:i w:val="0"/>
          <w:iCs w:val="0"/>
          <w:color w:val="auto"/>
          <w:sz w:val="20"/>
          <w:szCs w:val="20"/>
        </w:rPr>
      </w:pPr>
      <w:r w:rsidRPr="00044794">
        <w:rPr>
          <w:rFonts w:ascii="Times New Roman" w:hAnsi="Times New Roman" w:cs="Times New Roman"/>
          <w:i w:val="0"/>
          <w:iCs w:val="0"/>
          <w:color w:val="auto"/>
          <w:sz w:val="20"/>
          <w:szCs w:val="20"/>
        </w:rPr>
        <w:t xml:space="preserve">Tabel </w:t>
      </w:r>
      <w:r w:rsidRPr="00044794">
        <w:rPr>
          <w:rFonts w:ascii="Times New Roman" w:hAnsi="Times New Roman" w:cs="Times New Roman"/>
          <w:i w:val="0"/>
          <w:iCs w:val="0"/>
          <w:color w:val="auto"/>
          <w:sz w:val="20"/>
          <w:szCs w:val="20"/>
        </w:rPr>
        <w:fldChar w:fldCharType="begin"/>
      </w:r>
      <w:r w:rsidRPr="00044794">
        <w:rPr>
          <w:rFonts w:ascii="Times New Roman" w:hAnsi="Times New Roman" w:cs="Times New Roman"/>
          <w:i w:val="0"/>
          <w:iCs w:val="0"/>
          <w:color w:val="auto"/>
          <w:sz w:val="20"/>
          <w:szCs w:val="20"/>
        </w:rPr>
        <w:instrText xml:space="preserve"> SEQ Tabel \* ARABIC </w:instrText>
      </w:r>
      <w:r w:rsidRPr="00044794">
        <w:rPr>
          <w:rFonts w:ascii="Times New Roman" w:hAnsi="Times New Roman" w:cs="Times New Roman"/>
          <w:i w:val="0"/>
          <w:iCs w:val="0"/>
          <w:color w:val="auto"/>
          <w:sz w:val="20"/>
          <w:szCs w:val="20"/>
        </w:rPr>
        <w:fldChar w:fldCharType="separate"/>
      </w:r>
      <w:r w:rsidRPr="00044794">
        <w:rPr>
          <w:rFonts w:ascii="Times New Roman" w:hAnsi="Times New Roman" w:cs="Times New Roman"/>
          <w:i w:val="0"/>
          <w:iCs w:val="0"/>
          <w:noProof/>
          <w:color w:val="auto"/>
          <w:sz w:val="20"/>
          <w:szCs w:val="20"/>
        </w:rPr>
        <w:t>1</w:t>
      </w:r>
      <w:r w:rsidRPr="00044794">
        <w:rPr>
          <w:rFonts w:ascii="Times New Roman" w:hAnsi="Times New Roman" w:cs="Times New Roman"/>
          <w:i w:val="0"/>
          <w:iCs w:val="0"/>
          <w:color w:val="auto"/>
          <w:sz w:val="20"/>
          <w:szCs w:val="20"/>
        </w:rPr>
        <w:fldChar w:fldCharType="end"/>
      </w:r>
      <w:r w:rsidRPr="00044794">
        <w:rPr>
          <w:rFonts w:ascii="Times New Roman" w:hAnsi="Times New Roman" w:cs="Times New Roman"/>
          <w:i w:val="0"/>
          <w:iCs w:val="0"/>
          <w:color w:val="auto"/>
          <w:sz w:val="20"/>
          <w:szCs w:val="20"/>
        </w:rPr>
        <w:t>.</w:t>
      </w:r>
      <w:r w:rsidRPr="00044794">
        <w:rPr>
          <w:color w:val="auto"/>
        </w:rPr>
        <w:t xml:space="preserve"> </w:t>
      </w:r>
      <w:r w:rsidRPr="00044794">
        <w:rPr>
          <w:rFonts w:ascii="Times New Roman" w:hAnsi="Times New Roman" w:cs="Times New Roman"/>
          <w:i w:val="0"/>
          <w:iCs w:val="0"/>
          <w:color w:val="auto"/>
          <w:sz w:val="20"/>
          <w:szCs w:val="20"/>
        </w:rPr>
        <w:t>Fordelingen mellem det kystnær</w:t>
      </w:r>
      <w:r>
        <w:rPr>
          <w:rFonts w:ascii="Times New Roman" w:hAnsi="Times New Roman" w:cs="Times New Roman"/>
          <w:i w:val="0"/>
          <w:iCs w:val="0"/>
          <w:color w:val="auto"/>
          <w:sz w:val="20"/>
          <w:szCs w:val="20"/>
        </w:rPr>
        <w:t>e</w:t>
      </w:r>
      <w:r w:rsidRPr="00044794">
        <w:rPr>
          <w:rFonts w:ascii="Times New Roman" w:hAnsi="Times New Roman" w:cs="Times New Roman"/>
          <w:i w:val="0"/>
          <w:iCs w:val="0"/>
          <w:color w:val="auto"/>
          <w:sz w:val="20"/>
          <w:szCs w:val="20"/>
        </w:rPr>
        <w:t xml:space="preserve"> og havgående rejefiskeris fangst og landinger for 2022 i tons. Kilde: Grønlands Statistik.</w:t>
      </w:r>
    </w:p>
    <w:tbl>
      <w:tblPr>
        <w:tblStyle w:val="TableGrid"/>
        <w:tblW w:w="0" w:type="auto"/>
        <w:tblLook w:val="04A0" w:firstRow="1" w:lastRow="0" w:firstColumn="1" w:lastColumn="0" w:noHBand="0" w:noVBand="1"/>
      </w:tblPr>
      <w:tblGrid>
        <w:gridCol w:w="1924"/>
        <w:gridCol w:w="1924"/>
        <w:gridCol w:w="1924"/>
        <w:gridCol w:w="1925"/>
        <w:gridCol w:w="1925"/>
      </w:tblGrid>
      <w:tr w:rsidR="0084644D" w:rsidRPr="00044794" w14:paraId="6B126511" w14:textId="77777777" w:rsidTr="00911203">
        <w:tc>
          <w:tcPr>
            <w:tcW w:w="3848" w:type="dxa"/>
            <w:gridSpan w:val="2"/>
            <w:vMerge w:val="restart"/>
          </w:tcPr>
          <w:p w14:paraId="08D71562" w14:textId="77777777" w:rsidR="0084644D" w:rsidRPr="00977C90" w:rsidRDefault="0084644D" w:rsidP="00911203">
            <w:pPr>
              <w:tabs>
                <w:tab w:val="right" w:pos="4536"/>
              </w:tabs>
              <w:ind w:right="57"/>
              <w:rPr>
                <w:rFonts w:ascii="Arial" w:hAnsi="Arial" w:cs="Arial"/>
                <w:b/>
                <w:bCs/>
                <w:sz w:val="20"/>
                <w:szCs w:val="20"/>
              </w:rPr>
            </w:pPr>
            <w:r w:rsidRPr="00977C90">
              <w:rPr>
                <w:rFonts w:ascii="Arial" w:hAnsi="Arial" w:cs="Arial"/>
                <w:b/>
                <w:bCs/>
                <w:sz w:val="20"/>
                <w:szCs w:val="20"/>
              </w:rPr>
              <w:t>Fangst</w:t>
            </w:r>
          </w:p>
        </w:tc>
        <w:tc>
          <w:tcPr>
            <w:tcW w:w="5774" w:type="dxa"/>
            <w:gridSpan w:val="3"/>
          </w:tcPr>
          <w:p w14:paraId="3E5C0401" w14:textId="77777777" w:rsidR="0084644D" w:rsidRPr="00977C90" w:rsidRDefault="0084644D" w:rsidP="00911203">
            <w:pPr>
              <w:tabs>
                <w:tab w:val="right" w:pos="4536"/>
              </w:tabs>
              <w:ind w:right="57"/>
              <w:rPr>
                <w:rFonts w:ascii="Arial" w:hAnsi="Arial" w:cs="Arial"/>
                <w:b/>
                <w:bCs/>
                <w:sz w:val="20"/>
                <w:szCs w:val="20"/>
              </w:rPr>
            </w:pPr>
            <w:r w:rsidRPr="00977C90">
              <w:rPr>
                <w:rFonts w:ascii="Arial" w:hAnsi="Arial" w:cs="Arial"/>
                <w:b/>
                <w:bCs/>
                <w:sz w:val="20"/>
                <w:szCs w:val="20"/>
              </w:rPr>
              <w:t>Indhandling</w:t>
            </w:r>
          </w:p>
        </w:tc>
      </w:tr>
      <w:tr w:rsidR="0084644D" w:rsidRPr="00044794" w14:paraId="196EEE1F" w14:textId="77777777" w:rsidTr="00911203">
        <w:tc>
          <w:tcPr>
            <w:tcW w:w="3848" w:type="dxa"/>
            <w:gridSpan w:val="2"/>
            <w:vMerge/>
          </w:tcPr>
          <w:p w14:paraId="3BBC1AB0" w14:textId="77777777" w:rsidR="0084644D" w:rsidRPr="00977C90" w:rsidRDefault="0084644D" w:rsidP="00911203">
            <w:pPr>
              <w:tabs>
                <w:tab w:val="right" w:pos="4536"/>
              </w:tabs>
              <w:ind w:right="57"/>
              <w:rPr>
                <w:rFonts w:ascii="Arial" w:hAnsi="Arial" w:cs="Arial"/>
                <w:b/>
                <w:bCs/>
                <w:sz w:val="20"/>
                <w:szCs w:val="20"/>
              </w:rPr>
            </w:pPr>
          </w:p>
        </w:tc>
        <w:tc>
          <w:tcPr>
            <w:tcW w:w="1924" w:type="dxa"/>
          </w:tcPr>
          <w:p w14:paraId="3A589FCA" w14:textId="77777777" w:rsidR="0084644D" w:rsidRPr="00977C90" w:rsidRDefault="0084644D" w:rsidP="00911203">
            <w:pPr>
              <w:tabs>
                <w:tab w:val="right" w:pos="4536"/>
              </w:tabs>
              <w:ind w:right="57"/>
              <w:rPr>
                <w:rFonts w:ascii="Arial" w:hAnsi="Arial" w:cs="Arial"/>
                <w:b/>
                <w:bCs/>
                <w:sz w:val="20"/>
                <w:szCs w:val="20"/>
              </w:rPr>
            </w:pPr>
          </w:p>
        </w:tc>
        <w:tc>
          <w:tcPr>
            <w:tcW w:w="1925" w:type="dxa"/>
          </w:tcPr>
          <w:p w14:paraId="74F6D7A7" w14:textId="77777777" w:rsidR="0084644D" w:rsidRPr="00977C90" w:rsidRDefault="0084644D" w:rsidP="00911203">
            <w:pPr>
              <w:tabs>
                <w:tab w:val="right" w:pos="4536"/>
              </w:tabs>
              <w:ind w:right="57"/>
              <w:rPr>
                <w:rFonts w:ascii="Arial" w:hAnsi="Arial" w:cs="Arial"/>
                <w:b/>
                <w:bCs/>
                <w:i/>
                <w:iCs/>
                <w:sz w:val="20"/>
                <w:szCs w:val="20"/>
              </w:rPr>
            </w:pPr>
            <w:r w:rsidRPr="00977C90">
              <w:rPr>
                <w:rFonts w:ascii="Arial" w:hAnsi="Arial" w:cs="Arial"/>
                <w:b/>
                <w:bCs/>
                <w:i/>
                <w:iCs/>
                <w:sz w:val="20"/>
                <w:szCs w:val="20"/>
              </w:rPr>
              <w:t>Kystnært</w:t>
            </w:r>
          </w:p>
        </w:tc>
        <w:tc>
          <w:tcPr>
            <w:tcW w:w="1925" w:type="dxa"/>
          </w:tcPr>
          <w:p w14:paraId="3CBC289D" w14:textId="77777777" w:rsidR="0084644D" w:rsidRPr="00977C90" w:rsidRDefault="0084644D" w:rsidP="00911203">
            <w:pPr>
              <w:tabs>
                <w:tab w:val="right" w:pos="4536"/>
              </w:tabs>
              <w:ind w:right="57"/>
              <w:rPr>
                <w:rFonts w:ascii="Arial" w:hAnsi="Arial" w:cs="Arial"/>
                <w:b/>
                <w:bCs/>
                <w:i/>
                <w:iCs/>
                <w:sz w:val="20"/>
                <w:szCs w:val="20"/>
              </w:rPr>
            </w:pPr>
            <w:r w:rsidRPr="00977C90">
              <w:rPr>
                <w:rFonts w:ascii="Arial" w:hAnsi="Arial" w:cs="Arial"/>
                <w:b/>
                <w:bCs/>
                <w:i/>
                <w:iCs/>
                <w:sz w:val="20"/>
                <w:szCs w:val="20"/>
              </w:rPr>
              <w:t>Havgående</w:t>
            </w:r>
          </w:p>
        </w:tc>
      </w:tr>
      <w:tr w:rsidR="0084644D" w:rsidRPr="00044794" w14:paraId="457724B7" w14:textId="77777777" w:rsidTr="00911203">
        <w:tc>
          <w:tcPr>
            <w:tcW w:w="1924" w:type="dxa"/>
          </w:tcPr>
          <w:p w14:paraId="4FB1E1FE"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Kystnært i alt</w:t>
            </w:r>
          </w:p>
        </w:tc>
        <w:tc>
          <w:tcPr>
            <w:tcW w:w="1924" w:type="dxa"/>
          </w:tcPr>
          <w:p w14:paraId="7637B918"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48.290</w:t>
            </w:r>
          </w:p>
        </w:tc>
        <w:tc>
          <w:tcPr>
            <w:tcW w:w="1924" w:type="dxa"/>
          </w:tcPr>
          <w:p w14:paraId="52C4B62B"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Nuuk</w:t>
            </w:r>
          </w:p>
        </w:tc>
        <w:tc>
          <w:tcPr>
            <w:tcW w:w="1925" w:type="dxa"/>
          </w:tcPr>
          <w:p w14:paraId="5F8D718D"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2.469</w:t>
            </w:r>
          </w:p>
        </w:tc>
        <w:tc>
          <w:tcPr>
            <w:tcW w:w="1925" w:type="dxa"/>
          </w:tcPr>
          <w:p w14:paraId="504A1792"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10.309</w:t>
            </w:r>
          </w:p>
        </w:tc>
      </w:tr>
      <w:tr w:rsidR="0084644D" w:rsidRPr="00044794" w14:paraId="122C99CE" w14:textId="77777777" w:rsidTr="00911203">
        <w:tc>
          <w:tcPr>
            <w:tcW w:w="1924" w:type="dxa"/>
          </w:tcPr>
          <w:p w14:paraId="06C850CF"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Havgående vest</w:t>
            </w:r>
          </w:p>
        </w:tc>
        <w:tc>
          <w:tcPr>
            <w:tcW w:w="1924" w:type="dxa"/>
          </w:tcPr>
          <w:p w14:paraId="4DD0BDE3"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64.192</w:t>
            </w:r>
          </w:p>
        </w:tc>
        <w:tc>
          <w:tcPr>
            <w:tcW w:w="1924" w:type="dxa"/>
          </w:tcPr>
          <w:p w14:paraId="5C117924"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Sisimiut</w:t>
            </w:r>
          </w:p>
        </w:tc>
        <w:tc>
          <w:tcPr>
            <w:tcW w:w="1925" w:type="dxa"/>
          </w:tcPr>
          <w:p w14:paraId="25614574"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9.844</w:t>
            </w:r>
          </w:p>
        </w:tc>
        <w:tc>
          <w:tcPr>
            <w:tcW w:w="1925" w:type="dxa"/>
          </w:tcPr>
          <w:p w14:paraId="1FB231C8"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7.457</w:t>
            </w:r>
          </w:p>
        </w:tc>
      </w:tr>
      <w:tr w:rsidR="0084644D" w:rsidRPr="00044794" w14:paraId="3A9A9FC8" w14:textId="77777777" w:rsidTr="00911203">
        <w:tc>
          <w:tcPr>
            <w:tcW w:w="1924" w:type="dxa"/>
          </w:tcPr>
          <w:p w14:paraId="541526A3"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Havgående øst</w:t>
            </w:r>
          </w:p>
        </w:tc>
        <w:tc>
          <w:tcPr>
            <w:tcW w:w="1924" w:type="dxa"/>
          </w:tcPr>
          <w:p w14:paraId="4A781AE6"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5.531</w:t>
            </w:r>
          </w:p>
        </w:tc>
        <w:tc>
          <w:tcPr>
            <w:tcW w:w="1924" w:type="dxa"/>
          </w:tcPr>
          <w:p w14:paraId="7CACC1AB"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Aasiaat</w:t>
            </w:r>
          </w:p>
        </w:tc>
        <w:tc>
          <w:tcPr>
            <w:tcW w:w="1925" w:type="dxa"/>
          </w:tcPr>
          <w:p w14:paraId="0A8EAE57"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10.301</w:t>
            </w:r>
          </w:p>
        </w:tc>
        <w:tc>
          <w:tcPr>
            <w:tcW w:w="1925" w:type="dxa"/>
          </w:tcPr>
          <w:p w14:paraId="1EC304C4"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1.361</w:t>
            </w:r>
          </w:p>
        </w:tc>
      </w:tr>
      <w:tr w:rsidR="0084644D" w:rsidRPr="00044794" w14:paraId="22E502FC" w14:textId="77777777" w:rsidTr="00911203">
        <w:tc>
          <w:tcPr>
            <w:tcW w:w="1924" w:type="dxa"/>
          </w:tcPr>
          <w:p w14:paraId="58F0878F"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Total</w:t>
            </w:r>
          </w:p>
        </w:tc>
        <w:tc>
          <w:tcPr>
            <w:tcW w:w="1924" w:type="dxa"/>
          </w:tcPr>
          <w:p w14:paraId="1E8D52DE"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118.013</w:t>
            </w:r>
          </w:p>
        </w:tc>
        <w:tc>
          <w:tcPr>
            <w:tcW w:w="1924" w:type="dxa"/>
          </w:tcPr>
          <w:p w14:paraId="2EB0C0ED"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Ilulissat</w:t>
            </w:r>
          </w:p>
        </w:tc>
        <w:tc>
          <w:tcPr>
            <w:tcW w:w="1925" w:type="dxa"/>
          </w:tcPr>
          <w:p w14:paraId="4DE6195E"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11.485</w:t>
            </w:r>
          </w:p>
        </w:tc>
        <w:tc>
          <w:tcPr>
            <w:tcW w:w="1925" w:type="dxa"/>
          </w:tcPr>
          <w:p w14:paraId="0F67F9C0"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1.147</w:t>
            </w:r>
          </w:p>
        </w:tc>
      </w:tr>
      <w:tr w:rsidR="0084644D" w:rsidRPr="00044794" w14:paraId="2D99D797" w14:textId="77777777" w:rsidTr="00911203">
        <w:tc>
          <w:tcPr>
            <w:tcW w:w="1924" w:type="dxa"/>
          </w:tcPr>
          <w:p w14:paraId="46B034EB" w14:textId="77777777" w:rsidR="0084644D" w:rsidRPr="00044794" w:rsidRDefault="0084644D" w:rsidP="00911203">
            <w:pPr>
              <w:tabs>
                <w:tab w:val="right" w:pos="4536"/>
              </w:tabs>
              <w:ind w:right="57"/>
              <w:rPr>
                <w:rFonts w:ascii="Arial" w:hAnsi="Arial" w:cs="Arial"/>
                <w:sz w:val="20"/>
                <w:szCs w:val="20"/>
              </w:rPr>
            </w:pPr>
          </w:p>
        </w:tc>
        <w:tc>
          <w:tcPr>
            <w:tcW w:w="1924" w:type="dxa"/>
          </w:tcPr>
          <w:p w14:paraId="70EAFE20" w14:textId="77777777" w:rsidR="0084644D" w:rsidRPr="00044794" w:rsidRDefault="0084644D" w:rsidP="00911203">
            <w:pPr>
              <w:tabs>
                <w:tab w:val="right" w:pos="4536"/>
              </w:tabs>
              <w:ind w:right="57"/>
              <w:rPr>
                <w:rFonts w:ascii="Arial" w:hAnsi="Arial" w:cs="Arial"/>
                <w:sz w:val="20"/>
                <w:szCs w:val="20"/>
              </w:rPr>
            </w:pPr>
          </w:p>
        </w:tc>
        <w:tc>
          <w:tcPr>
            <w:tcW w:w="1924" w:type="dxa"/>
          </w:tcPr>
          <w:p w14:paraId="0223FAE7"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Total</w:t>
            </w:r>
          </w:p>
        </w:tc>
        <w:tc>
          <w:tcPr>
            <w:tcW w:w="1925" w:type="dxa"/>
          </w:tcPr>
          <w:p w14:paraId="395D2B56"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34.099</w:t>
            </w:r>
          </w:p>
        </w:tc>
        <w:tc>
          <w:tcPr>
            <w:tcW w:w="1925" w:type="dxa"/>
          </w:tcPr>
          <w:p w14:paraId="46545DA8" w14:textId="77777777" w:rsidR="0084644D" w:rsidRPr="00044794" w:rsidRDefault="0084644D" w:rsidP="00911203">
            <w:pPr>
              <w:tabs>
                <w:tab w:val="right" w:pos="4536"/>
              </w:tabs>
              <w:ind w:right="57"/>
              <w:rPr>
                <w:rFonts w:ascii="Arial" w:hAnsi="Arial" w:cs="Arial"/>
                <w:sz w:val="20"/>
                <w:szCs w:val="20"/>
              </w:rPr>
            </w:pPr>
            <w:r w:rsidRPr="00044794">
              <w:rPr>
                <w:rFonts w:ascii="Arial" w:hAnsi="Arial" w:cs="Arial"/>
                <w:sz w:val="20"/>
                <w:szCs w:val="20"/>
              </w:rPr>
              <w:t>20.274</w:t>
            </w:r>
          </w:p>
        </w:tc>
      </w:tr>
    </w:tbl>
    <w:p w14:paraId="01F0825E" w14:textId="77777777" w:rsidR="0084644D" w:rsidRDefault="0084644D" w:rsidP="0084644D">
      <w:pPr>
        <w:tabs>
          <w:tab w:val="right" w:pos="4536"/>
        </w:tabs>
        <w:ind w:right="57"/>
      </w:pPr>
    </w:p>
    <w:p w14:paraId="0B09B0D0" w14:textId="527921FE" w:rsidR="00430EAB" w:rsidRPr="00430EAB" w:rsidRDefault="00430EAB" w:rsidP="00430EAB">
      <w:pPr>
        <w:pStyle w:val="Heading2"/>
        <w:rPr>
          <w:rFonts w:ascii="Times New Roman" w:hAnsi="Times New Roman" w:cs="Times New Roman"/>
          <w:b/>
          <w:bCs/>
          <w:i/>
          <w:iCs/>
          <w:color w:val="auto"/>
          <w:sz w:val="24"/>
          <w:szCs w:val="24"/>
        </w:rPr>
      </w:pPr>
      <w:r w:rsidRPr="00430EAB">
        <w:rPr>
          <w:rFonts w:ascii="Times New Roman" w:hAnsi="Times New Roman" w:cs="Times New Roman"/>
          <w:b/>
          <w:bCs/>
          <w:i/>
          <w:iCs/>
          <w:color w:val="auto"/>
          <w:sz w:val="24"/>
          <w:szCs w:val="24"/>
        </w:rPr>
        <w:t>Hellefisk</w:t>
      </w:r>
    </w:p>
    <w:p w14:paraId="1201BAE0" w14:textId="0338526C" w:rsidR="00FD0612" w:rsidRDefault="0084644D" w:rsidP="0084644D">
      <w:pPr>
        <w:tabs>
          <w:tab w:val="right" w:pos="4536"/>
        </w:tabs>
        <w:ind w:right="57"/>
        <w:jc w:val="both"/>
        <w:rPr>
          <w:rFonts w:ascii="Times New Roman" w:hAnsi="Times New Roman" w:cs="Times New Roman"/>
          <w:sz w:val="24"/>
          <w:szCs w:val="24"/>
        </w:rPr>
      </w:pPr>
      <w:r w:rsidRPr="00044794">
        <w:rPr>
          <w:rFonts w:ascii="Times New Roman" w:hAnsi="Times New Roman" w:cs="Times New Roman"/>
          <w:sz w:val="24"/>
          <w:szCs w:val="24"/>
        </w:rPr>
        <w:t xml:space="preserve">Af den samlede hellefiskefangst på 55.873 ton i 2022 fremgår det af Tabel 2 at </w:t>
      </w:r>
      <w:r w:rsidR="00FE402F">
        <w:rPr>
          <w:rFonts w:ascii="Times New Roman" w:hAnsi="Times New Roman" w:cs="Times New Roman"/>
          <w:sz w:val="24"/>
          <w:szCs w:val="24"/>
        </w:rPr>
        <w:t xml:space="preserve">cirka </w:t>
      </w:r>
      <w:r w:rsidRPr="00044794">
        <w:rPr>
          <w:rFonts w:ascii="Times New Roman" w:hAnsi="Times New Roman" w:cs="Times New Roman"/>
          <w:sz w:val="24"/>
          <w:szCs w:val="24"/>
        </w:rPr>
        <w:t>80</w:t>
      </w:r>
      <w:r w:rsidR="00430EAB">
        <w:rPr>
          <w:rFonts w:ascii="Times New Roman" w:hAnsi="Times New Roman" w:cs="Times New Roman"/>
          <w:sz w:val="24"/>
          <w:szCs w:val="24"/>
        </w:rPr>
        <w:t>%</w:t>
      </w:r>
      <w:r w:rsidRPr="00044794">
        <w:rPr>
          <w:rFonts w:ascii="Times New Roman" w:hAnsi="Times New Roman" w:cs="Times New Roman"/>
          <w:sz w:val="24"/>
          <w:szCs w:val="24"/>
        </w:rPr>
        <w:t xml:space="preserve"> fanges i Vestgrønland. </w:t>
      </w:r>
      <w:r w:rsidR="00430EAB">
        <w:rPr>
          <w:rFonts w:ascii="Times New Roman" w:hAnsi="Times New Roman" w:cs="Times New Roman"/>
          <w:sz w:val="24"/>
          <w:szCs w:val="24"/>
        </w:rPr>
        <w:t xml:space="preserve">Heraf </w:t>
      </w:r>
      <w:r w:rsidRPr="00044794">
        <w:rPr>
          <w:rFonts w:ascii="Times New Roman" w:hAnsi="Times New Roman" w:cs="Times New Roman"/>
          <w:sz w:val="24"/>
          <w:szCs w:val="24"/>
        </w:rPr>
        <w:t>fanges 61,5</w:t>
      </w:r>
      <w:r w:rsidR="00430EAB">
        <w:rPr>
          <w:rFonts w:ascii="Times New Roman" w:hAnsi="Times New Roman" w:cs="Times New Roman"/>
          <w:sz w:val="24"/>
          <w:szCs w:val="24"/>
        </w:rPr>
        <w:t>%</w:t>
      </w:r>
      <w:r w:rsidRPr="00044794">
        <w:rPr>
          <w:rFonts w:ascii="Times New Roman" w:hAnsi="Times New Roman" w:cs="Times New Roman"/>
          <w:sz w:val="24"/>
          <w:szCs w:val="24"/>
        </w:rPr>
        <w:t xml:space="preserve"> kystnært og 38,5</w:t>
      </w:r>
      <w:r w:rsidR="00430EAB">
        <w:rPr>
          <w:rFonts w:ascii="Times New Roman" w:hAnsi="Times New Roman" w:cs="Times New Roman"/>
          <w:sz w:val="24"/>
          <w:szCs w:val="24"/>
        </w:rPr>
        <w:t>%</w:t>
      </w:r>
      <w:r w:rsidRPr="00044794">
        <w:rPr>
          <w:rFonts w:ascii="Times New Roman" w:hAnsi="Times New Roman" w:cs="Times New Roman"/>
          <w:sz w:val="24"/>
          <w:szCs w:val="24"/>
        </w:rPr>
        <w:t xml:space="preserve"> </w:t>
      </w:r>
      <w:r>
        <w:rPr>
          <w:rFonts w:ascii="Times New Roman" w:hAnsi="Times New Roman" w:cs="Times New Roman"/>
          <w:sz w:val="24"/>
          <w:szCs w:val="24"/>
        </w:rPr>
        <w:t xml:space="preserve">af </w:t>
      </w:r>
      <w:r w:rsidRPr="00044794">
        <w:rPr>
          <w:rFonts w:ascii="Times New Roman" w:hAnsi="Times New Roman" w:cs="Times New Roman"/>
          <w:sz w:val="24"/>
          <w:szCs w:val="24"/>
        </w:rPr>
        <w:t>havgående</w:t>
      </w:r>
      <w:r>
        <w:rPr>
          <w:rFonts w:ascii="Times New Roman" w:hAnsi="Times New Roman" w:cs="Times New Roman"/>
          <w:sz w:val="24"/>
          <w:szCs w:val="24"/>
        </w:rPr>
        <w:t xml:space="preserve"> fartøjer</w:t>
      </w:r>
      <w:r w:rsidRPr="00044794">
        <w:rPr>
          <w:rFonts w:ascii="Times New Roman" w:hAnsi="Times New Roman" w:cs="Times New Roman"/>
          <w:sz w:val="24"/>
          <w:szCs w:val="24"/>
        </w:rPr>
        <w:t>. Af den samlede havgående fangst på 26.996 tons indhandles 20,5</w:t>
      </w:r>
      <w:r w:rsidR="00430EAB">
        <w:rPr>
          <w:rFonts w:ascii="Times New Roman" w:hAnsi="Times New Roman" w:cs="Times New Roman"/>
          <w:sz w:val="24"/>
          <w:szCs w:val="24"/>
        </w:rPr>
        <w:t>%</w:t>
      </w:r>
      <w:r w:rsidR="00977C90">
        <w:rPr>
          <w:rFonts w:ascii="Times New Roman" w:hAnsi="Times New Roman" w:cs="Times New Roman"/>
          <w:sz w:val="24"/>
          <w:szCs w:val="24"/>
        </w:rPr>
        <w:t>,</w:t>
      </w:r>
      <w:r w:rsidR="00430EAB">
        <w:rPr>
          <w:rFonts w:ascii="Times New Roman" w:hAnsi="Times New Roman" w:cs="Times New Roman"/>
          <w:sz w:val="24"/>
          <w:szCs w:val="24"/>
        </w:rPr>
        <w:t xml:space="preserve"> </w:t>
      </w:r>
      <w:r>
        <w:rPr>
          <w:rFonts w:ascii="Times New Roman" w:hAnsi="Times New Roman" w:cs="Times New Roman"/>
          <w:sz w:val="24"/>
          <w:szCs w:val="24"/>
        </w:rPr>
        <w:t>hvorimod s</w:t>
      </w:r>
      <w:r w:rsidRPr="00044794">
        <w:rPr>
          <w:rFonts w:ascii="Times New Roman" w:hAnsi="Times New Roman" w:cs="Times New Roman"/>
          <w:sz w:val="24"/>
          <w:szCs w:val="24"/>
        </w:rPr>
        <w:t>tort set hele den kystnære fangst indhandles (</w:t>
      </w:r>
      <w:r>
        <w:rPr>
          <w:rFonts w:ascii="Times New Roman" w:hAnsi="Times New Roman" w:cs="Times New Roman"/>
          <w:sz w:val="24"/>
          <w:szCs w:val="24"/>
        </w:rPr>
        <w:t>99</w:t>
      </w:r>
      <w:r w:rsidR="00430EAB">
        <w:rPr>
          <w:rFonts w:ascii="Times New Roman" w:hAnsi="Times New Roman" w:cs="Times New Roman"/>
          <w:sz w:val="24"/>
          <w:szCs w:val="24"/>
        </w:rPr>
        <w:t xml:space="preserve">% </w:t>
      </w:r>
      <w:r>
        <w:rPr>
          <w:rFonts w:ascii="Times New Roman" w:hAnsi="Times New Roman" w:cs="Times New Roman"/>
          <w:sz w:val="24"/>
          <w:szCs w:val="24"/>
        </w:rPr>
        <w:t xml:space="preserve">af </w:t>
      </w:r>
      <w:r w:rsidRPr="00044794">
        <w:rPr>
          <w:rFonts w:ascii="Times New Roman" w:hAnsi="Times New Roman" w:cs="Times New Roman"/>
          <w:sz w:val="24"/>
          <w:szCs w:val="24"/>
        </w:rPr>
        <w:t>28.774</w:t>
      </w:r>
      <w:r>
        <w:rPr>
          <w:rFonts w:ascii="Times New Roman" w:hAnsi="Times New Roman" w:cs="Times New Roman"/>
          <w:sz w:val="24"/>
          <w:szCs w:val="24"/>
        </w:rPr>
        <w:t xml:space="preserve"> tons</w:t>
      </w:r>
      <w:r w:rsidRPr="00044794">
        <w:rPr>
          <w:rFonts w:ascii="Times New Roman" w:hAnsi="Times New Roman" w:cs="Times New Roman"/>
          <w:sz w:val="24"/>
          <w:szCs w:val="24"/>
        </w:rPr>
        <w:t>)</w:t>
      </w:r>
      <w:r w:rsidR="007A38E7">
        <w:rPr>
          <w:rFonts w:ascii="Times New Roman" w:hAnsi="Times New Roman" w:cs="Times New Roman"/>
          <w:sz w:val="24"/>
          <w:szCs w:val="24"/>
        </w:rPr>
        <w:t>. R</w:t>
      </w:r>
      <w:r w:rsidRPr="00044794">
        <w:rPr>
          <w:rFonts w:ascii="Times New Roman" w:hAnsi="Times New Roman" w:cs="Times New Roman"/>
          <w:sz w:val="24"/>
          <w:szCs w:val="24"/>
        </w:rPr>
        <w:t xml:space="preserve">esten sælges formodentlig på </w:t>
      </w:r>
      <w:r w:rsidR="00977C90">
        <w:rPr>
          <w:rFonts w:ascii="Times New Roman" w:hAnsi="Times New Roman" w:cs="Times New Roman"/>
          <w:sz w:val="24"/>
          <w:szCs w:val="24"/>
        </w:rPr>
        <w:t xml:space="preserve">de lokale </w:t>
      </w:r>
      <w:r w:rsidRPr="00044794">
        <w:rPr>
          <w:rFonts w:ascii="Times New Roman" w:hAnsi="Times New Roman" w:cs="Times New Roman"/>
          <w:sz w:val="24"/>
          <w:szCs w:val="24"/>
        </w:rPr>
        <w:t>brætte</w:t>
      </w:r>
      <w:r w:rsidR="00977C90">
        <w:rPr>
          <w:rFonts w:ascii="Times New Roman" w:hAnsi="Times New Roman" w:cs="Times New Roman"/>
          <w:sz w:val="24"/>
          <w:szCs w:val="24"/>
        </w:rPr>
        <w:t>r</w:t>
      </w:r>
      <w:r w:rsidRPr="00044794">
        <w:rPr>
          <w:rFonts w:ascii="Times New Roman" w:hAnsi="Times New Roman" w:cs="Times New Roman"/>
          <w:sz w:val="24"/>
          <w:szCs w:val="24"/>
        </w:rPr>
        <w:t xml:space="preserve">. </w:t>
      </w:r>
    </w:p>
    <w:p w14:paraId="02C600B5" w14:textId="517EA8EB" w:rsidR="0084644D" w:rsidRPr="00044794" w:rsidRDefault="0084644D" w:rsidP="00FE402F">
      <w:pPr>
        <w:tabs>
          <w:tab w:val="right" w:pos="4536"/>
        </w:tabs>
        <w:spacing w:before="240"/>
        <w:ind w:right="57"/>
        <w:jc w:val="both"/>
        <w:rPr>
          <w:rFonts w:ascii="Times New Roman" w:hAnsi="Times New Roman" w:cs="Times New Roman"/>
          <w:sz w:val="24"/>
          <w:szCs w:val="24"/>
        </w:rPr>
      </w:pPr>
      <w:r w:rsidRPr="00044794">
        <w:rPr>
          <w:rFonts w:ascii="Times New Roman" w:hAnsi="Times New Roman" w:cs="Times New Roman"/>
          <w:sz w:val="24"/>
          <w:szCs w:val="24"/>
        </w:rPr>
        <w:t>91,6</w:t>
      </w:r>
      <w:proofErr w:type="gramStart"/>
      <w:r w:rsidR="00430EAB">
        <w:rPr>
          <w:rFonts w:ascii="Times New Roman" w:hAnsi="Times New Roman" w:cs="Times New Roman"/>
          <w:sz w:val="24"/>
          <w:szCs w:val="24"/>
        </w:rPr>
        <w:t xml:space="preserve">% </w:t>
      </w:r>
      <w:r w:rsidRPr="00044794">
        <w:rPr>
          <w:rFonts w:ascii="Times New Roman" w:hAnsi="Times New Roman" w:cs="Times New Roman"/>
          <w:sz w:val="24"/>
          <w:szCs w:val="24"/>
        </w:rPr>
        <w:t xml:space="preserve"> af</w:t>
      </w:r>
      <w:proofErr w:type="gramEnd"/>
      <w:r w:rsidRPr="00044794">
        <w:rPr>
          <w:rFonts w:ascii="Times New Roman" w:hAnsi="Times New Roman" w:cs="Times New Roman"/>
          <w:sz w:val="24"/>
          <w:szCs w:val="24"/>
        </w:rPr>
        <w:t xml:space="preserve"> den kystnære fangst fanges i område 47 og af de 26.342 ton, der indhandles i område 47</w:t>
      </w:r>
      <w:r w:rsidR="004D2B10">
        <w:rPr>
          <w:rFonts w:ascii="Times New Roman" w:hAnsi="Times New Roman" w:cs="Times New Roman"/>
          <w:sz w:val="24"/>
          <w:szCs w:val="24"/>
        </w:rPr>
        <w:t>,</w:t>
      </w:r>
      <w:r w:rsidRPr="00044794">
        <w:rPr>
          <w:rFonts w:ascii="Times New Roman" w:hAnsi="Times New Roman" w:cs="Times New Roman"/>
          <w:sz w:val="24"/>
          <w:szCs w:val="24"/>
        </w:rPr>
        <w:t xml:space="preserve"> indhandles 69</w:t>
      </w:r>
      <w:r w:rsidR="00430EAB">
        <w:rPr>
          <w:rFonts w:ascii="Times New Roman" w:hAnsi="Times New Roman" w:cs="Times New Roman"/>
          <w:sz w:val="24"/>
          <w:szCs w:val="24"/>
        </w:rPr>
        <w:t xml:space="preserve">% </w:t>
      </w:r>
      <w:r w:rsidRPr="00044794">
        <w:rPr>
          <w:rFonts w:ascii="Times New Roman" w:hAnsi="Times New Roman" w:cs="Times New Roman"/>
          <w:sz w:val="24"/>
          <w:szCs w:val="24"/>
        </w:rPr>
        <w:t>af joller. Af de 2.415 ton, der fanges udenfor område 47 indhandles 78</w:t>
      </w:r>
      <w:r w:rsidR="00430EAB">
        <w:rPr>
          <w:rFonts w:ascii="Times New Roman" w:hAnsi="Times New Roman" w:cs="Times New Roman"/>
          <w:sz w:val="24"/>
          <w:szCs w:val="24"/>
        </w:rPr>
        <w:t xml:space="preserve">% </w:t>
      </w:r>
      <w:r w:rsidRPr="00044794">
        <w:rPr>
          <w:rFonts w:ascii="Times New Roman" w:hAnsi="Times New Roman" w:cs="Times New Roman"/>
          <w:sz w:val="24"/>
          <w:szCs w:val="24"/>
        </w:rPr>
        <w:t>af joller. Fordelt på distrikt udgør jollernes indhandling 61</w:t>
      </w:r>
      <w:r w:rsidR="00430EAB">
        <w:rPr>
          <w:rFonts w:ascii="Times New Roman" w:hAnsi="Times New Roman" w:cs="Times New Roman"/>
          <w:sz w:val="24"/>
          <w:szCs w:val="24"/>
        </w:rPr>
        <w:t xml:space="preserve">% </w:t>
      </w:r>
      <w:r w:rsidRPr="00044794">
        <w:rPr>
          <w:rFonts w:ascii="Times New Roman" w:hAnsi="Times New Roman" w:cs="Times New Roman"/>
          <w:sz w:val="24"/>
          <w:szCs w:val="24"/>
        </w:rPr>
        <w:t>i Ilulissat, 72</w:t>
      </w:r>
      <w:r w:rsidR="00430EAB">
        <w:rPr>
          <w:rFonts w:ascii="Times New Roman" w:hAnsi="Times New Roman" w:cs="Times New Roman"/>
          <w:sz w:val="24"/>
          <w:szCs w:val="24"/>
        </w:rPr>
        <w:t xml:space="preserve">% </w:t>
      </w:r>
      <w:r w:rsidRPr="00044794">
        <w:rPr>
          <w:rFonts w:ascii="Times New Roman" w:hAnsi="Times New Roman" w:cs="Times New Roman"/>
          <w:sz w:val="24"/>
          <w:szCs w:val="24"/>
        </w:rPr>
        <w:t>i Uummannaq o</w:t>
      </w:r>
      <w:r w:rsidR="004D2B10">
        <w:rPr>
          <w:rFonts w:ascii="Times New Roman" w:hAnsi="Times New Roman" w:cs="Times New Roman"/>
          <w:sz w:val="24"/>
          <w:szCs w:val="24"/>
        </w:rPr>
        <w:t>g</w:t>
      </w:r>
      <w:r w:rsidRPr="00044794">
        <w:rPr>
          <w:rFonts w:ascii="Times New Roman" w:hAnsi="Times New Roman" w:cs="Times New Roman"/>
          <w:sz w:val="24"/>
          <w:szCs w:val="24"/>
        </w:rPr>
        <w:t xml:space="preserve"> 76</w:t>
      </w:r>
      <w:r w:rsidR="00430EAB">
        <w:rPr>
          <w:rFonts w:ascii="Times New Roman" w:hAnsi="Times New Roman" w:cs="Times New Roman"/>
          <w:sz w:val="24"/>
          <w:szCs w:val="24"/>
        </w:rPr>
        <w:t xml:space="preserve">% </w:t>
      </w:r>
      <w:r w:rsidRPr="00044794">
        <w:rPr>
          <w:rFonts w:ascii="Times New Roman" w:hAnsi="Times New Roman" w:cs="Times New Roman"/>
          <w:sz w:val="24"/>
          <w:szCs w:val="24"/>
        </w:rPr>
        <w:t>i Upernavik. For en del af fangsten i Uummannaq og Upernavik gælder det formodentlig, at den er indhandlet i Ilulissat eller længere sydpå.</w:t>
      </w:r>
    </w:p>
    <w:p w14:paraId="0115C7D9" w14:textId="77777777" w:rsidR="0084644D" w:rsidRPr="00044794" w:rsidRDefault="0084644D" w:rsidP="0084644D">
      <w:pPr>
        <w:tabs>
          <w:tab w:val="right" w:pos="4536"/>
        </w:tabs>
        <w:ind w:right="57"/>
        <w:jc w:val="both"/>
        <w:rPr>
          <w:rFonts w:ascii="Times New Roman" w:hAnsi="Times New Roman" w:cs="Times New Roman"/>
          <w:sz w:val="24"/>
          <w:szCs w:val="24"/>
        </w:rPr>
      </w:pPr>
    </w:p>
    <w:p w14:paraId="1FA473B0" w14:textId="185785FA" w:rsidR="00430EAB" w:rsidRPr="00044794" w:rsidRDefault="00430EAB" w:rsidP="00430EAB">
      <w:pPr>
        <w:pStyle w:val="Caption"/>
        <w:keepNext/>
        <w:rPr>
          <w:rFonts w:ascii="Times New Roman" w:hAnsi="Times New Roman" w:cs="Times New Roman"/>
          <w:i w:val="0"/>
          <w:iCs w:val="0"/>
          <w:color w:val="auto"/>
          <w:sz w:val="20"/>
          <w:szCs w:val="20"/>
        </w:rPr>
      </w:pPr>
      <w:r w:rsidRPr="00044794">
        <w:rPr>
          <w:rFonts w:ascii="Times New Roman" w:hAnsi="Times New Roman" w:cs="Times New Roman"/>
          <w:i w:val="0"/>
          <w:iCs w:val="0"/>
          <w:color w:val="auto"/>
          <w:sz w:val="20"/>
          <w:szCs w:val="20"/>
        </w:rPr>
        <w:t xml:space="preserve">Tabel </w:t>
      </w:r>
      <w:r w:rsidRPr="00044794">
        <w:rPr>
          <w:rFonts w:ascii="Times New Roman" w:hAnsi="Times New Roman" w:cs="Times New Roman"/>
          <w:i w:val="0"/>
          <w:iCs w:val="0"/>
          <w:color w:val="auto"/>
          <w:sz w:val="20"/>
          <w:szCs w:val="20"/>
        </w:rPr>
        <w:fldChar w:fldCharType="begin"/>
      </w:r>
      <w:r w:rsidRPr="00044794">
        <w:rPr>
          <w:rFonts w:ascii="Times New Roman" w:hAnsi="Times New Roman" w:cs="Times New Roman"/>
          <w:i w:val="0"/>
          <w:iCs w:val="0"/>
          <w:color w:val="auto"/>
          <w:sz w:val="20"/>
          <w:szCs w:val="20"/>
        </w:rPr>
        <w:instrText xml:space="preserve"> SEQ Tabel \* ARABIC </w:instrText>
      </w:r>
      <w:r w:rsidRPr="00044794">
        <w:rPr>
          <w:rFonts w:ascii="Times New Roman" w:hAnsi="Times New Roman" w:cs="Times New Roman"/>
          <w:i w:val="0"/>
          <w:iCs w:val="0"/>
          <w:color w:val="auto"/>
          <w:sz w:val="20"/>
          <w:szCs w:val="20"/>
        </w:rPr>
        <w:fldChar w:fldCharType="separate"/>
      </w:r>
      <w:r w:rsidRPr="00044794">
        <w:rPr>
          <w:rFonts w:ascii="Times New Roman" w:hAnsi="Times New Roman" w:cs="Times New Roman"/>
          <w:i w:val="0"/>
          <w:iCs w:val="0"/>
          <w:noProof/>
          <w:color w:val="auto"/>
          <w:sz w:val="20"/>
          <w:szCs w:val="20"/>
        </w:rPr>
        <w:t>2</w:t>
      </w:r>
      <w:r w:rsidRPr="00044794">
        <w:rPr>
          <w:rFonts w:ascii="Times New Roman" w:hAnsi="Times New Roman" w:cs="Times New Roman"/>
          <w:i w:val="0"/>
          <w:iCs w:val="0"/>
          <w:color w:val="auto"/>
          <w:sz w:val="20"/>
          <w:szCs w:val="20"/>
        </w:rPr>
        <w:fldChar w:fldCharType="end"/>
      </w:r>
      <w:r w:rsidRPr="00044794">
        <w:rPr>
          <w:rFonts w:ascii="Times New Roman" w:hAnsi="Times New Roman" w:cs="Times New Roman"/>
          <w:i w:val="0"/>
          <w:iCs w:val="0"/>
          <w:color w:val="auto"/>
          <w:sz w:val="20"/>
          <w:szCs w:val="20"/>
        </w:rPr>
        <w:t>. Fordelingen mellem det kystnær</w:t>
      </w:r>
      <w:r w:rsidR="00977C90">
        <w:rPr>
          <w:rFonts w:ascii="Times New Roman" w:hAnsi="Times New Roman" w:cs="Times New Roman"/>
          <w:i w:val="0"/>
          <w:iCs w:val="0"/>
          <w:color w:val="auto"/>
          <w:sz w:val="20"/>
          <w:szCs w:val="20"/>
        </w:rPr>
        <w:t>e</w:t>
      </w:r>
      <w:r w:rsidRPr="00044794">
        <w:rPr>
          <w:rFonts w:ascii="Times New Roman" w:hAnsi="Times New Roman" w:cs="Times New Roman"/>
          <w:i w:val="0"/>
          <w:iCs w:val="0"/>
          <w:color w:val="auto"/>
          <w:sz w:val="20"/>
          <w:szCs w:val="20"/>
        </w:rPr>
        <w:t xml:space="preserve"> og havgående hellefisk fiskeris fangst og landinger for 2022 i ton</w:t>
      </w:r>
      <w:r>
        <w:rPr>
          <w:rFonts w:ascii="Times New Roman" w:hAnsi="Times New Roman" w:cs="Times New Roman"/>
          <w:i w:val="0"/>
          <w:iCs w:val="0"/>
          <w:color w:val="auto"/>
          <w:sz w:val="20"/>
          <w:szCs w:val="20"/>
        </w:rPr>
        <w:t>s</w:t>
      </w:r>
      <w:r w:rsidRPr="00044794">
        <w:rPr>
          <w:rFonts w:ascii="Times New Roman" w:hAnsi="Times New Roman" w:cs="Times New Roman"/>
          <w:i w:val="0"/>
          <w:iCs w:val="0"/>
          <w:color w:val="auto"/>
          <w:sz w:val="20"/>
          <w:szCs w:val="20"/>
        </w:rPr>
        <w:t>. For det kystnære fiskeri skelnes mellem joller og kuttere. Antal licenser i Upernavik, Uummannaq og Ilulissat</w:t>
      </w:r>
      <w:r>
        <w:rPr>
          <w:rFonts w:ascii="Times New Roman" w:hAnsi="Times New Roman" w:cs="Times New Roman"/>
          <w:i w:val="0"/>
          <w:iCs w:val="0"/>
          <w:color w:val="auto"/>
          <w:sz w:val="20"/>
          <w:szCs w:val="20"/>
        </w:rPr>
        <w:t>.</w:t>
      </w:r>
      <w:r w:rsidRPr="00044794">
        <w:rPr>
          <w:rFonts w:ascii="Times New Roman" w:hAnsi="Times New Roman" w:cs="Times New Roman"/>
          <w:i w:val="0"/>
          <w:iCs w:val="0"/>
          <w:color w:val="auto"/>
          <w:sz w:val="20"/>
          <w:szCs w:val="20"/>
        </w:rPr>
        <w:t xml:space="preserve">  Kilde: </w:t>
      </w:r>
      <w:r>
        <w:rPr>
          <w:rFonts w:ascii="Times New Roman" w:hAnsi="Times New Roman" w:cs="Times New Roman"/>
          <w:i w:val="0"/>
          <w:iCs w:val="0"/>
          <w:color w:val="auto"/>
          <w:sz w:val="20"/>
          <w:szCs w:val="20"/>
        </w:rPr>
        <w:t>G</w:t>
      </w:r>
      <w:r w:rsidRPr="00044794">
        <w:rPr>
          <w:rFonts w:ascii="Times New Roman" w:hAnsi="Times New Roman" w:cs="Times New Roman"/>
          <w:i w:val="0"/>
          <w:iCs w:val="0"/>
          <w:color w:val="auto"/>
          <w:sz w:val="20"/>
          <w:szCs w:val="20"/>
        </w:rPr>
        <w:t>rønlands Statistik</w:t>
      </w:r>
    </w:p>
    <w:tbl>
      <w:tblPr>
        <w:tblStyle w:val="TableGrid"/>
        <w:tblW w:w="0" w:type="auto"/>
        <w:tblLook w:val="04A0" w:firstRow="1" w:lastRow="0" w:firstColumn="1" w:lastColumn="0" w:noHBand="0" w:noVBand="1"/>
      </w:tblPr>
      <w:tblGrid>
        <w:gridCol w:w="1980"/>
        <w:gridCol w:w="1052"/>
        <w:gridCol w:w="1819"/>
        <w:gridCol w:w="2122"/>
        <w:gridCol w:w="1545"/>
        <w:gridCol w:w="1104"/>
      </w:tblGrid>
      <w:tr w:rsidR="00430EAB" w:rsidRPr="00044794" w14:paraId="55EC7718" w14:textId="77777777" w:rsidTr="00650B38">
        <w:tc>
          <w:tcPr>
            <w:tcW w:w="3032" w:type="dxa"/>
            <w:gridSpan w:val="2"/>
            <w:vMerge w:val="restart"/>
          </w:tcPr>
          <w:p w14:paraId="02F6ECED" w14:textId="77777777" w:rsidR="00430EAB" w:rsidRPr="00977C90" w:rsidRDefault="00430EAB" w:rsidP="00650B38">
            <w:pPr>
              <w:tabs>
                <w:tab w:val="right" w:pos="4536"/>
              </w:tabs>
              <w:ind w:right="57"/>
              <w:rPr>
                <w:rFonts w:ascii="Arial" w:hAnsi="Arial" w:cs="Arial"/>
                <w:b/>
                <w:bCs/>
                <w:sz w:val="20"/>
                <w:szCs w:val="20"/>
              </w:rPr>
            </w:pPr>
            <w:r w:rsidRPr="00977C90">
              <w:rPr>
                <w:rFonts w:ascii="Arial" w:hAnsi="Arial" w:cs="Arial"/>
                <w:b/>
                <w:bCs/>
                <w:sz w:val="20"/>
                <w:szCs w:val="20"/>
              </w:rPr>
              <w:t>Fangst</w:t>
            </w:r>
          </w:p>
        </w:tc>
        <w:tc>
          <w:tcPr>
            <w:tcW w:w="6590" w:type="dxa"/>
            <w:gridSpan w:val="4"/>
          </w:tcPr>
          <w:p w14:paraId="55EBE63C" w14:textId="77777777" w:rsidR="00430EAB" w:rsidRPr="00977C90" w:rsidRDefault="00430EAB" w:rsidP="00650B38">
            <w:pPr>
              <w:tabs>
                <w:tab w:val="right" w:pos="4536"/>
              </w:tabs>
              <w:ind w:right="57"/>
              <w:rPr>
                <w:rFonts w:ascii="Arial" w:hAnsi="Arial" w:cs="Arial"/>
                <w:b/>
                <w:bCs/>
                <w:sz w:val="20"/>
                <w:szCs w:val="20"/>
              </w:rPr>
            </w:pPr>
            <w:r w:rsidRPr="00977C90">
              <w:rPr>
                <w:rFonts w:ascii="Arial" w:hAnsi="Arial" w:cs="Arial"/>
                <w:b/>
                <w:bCs/>
                <w:sz w:val="20"/>
                <w:szCs w:val="20"/>
              </w:rPr>
              <w:t>Indhandling</w:t>
            </w:r>
          </w:p>
        </w:tc>
      </w:tr>
      <w:tr w:rsidR="00430EAB" w:rsidRPr="00044794" w14:paraId="2E02F0DF" w14:textId="77777777" w:rsidTr="00650B38">
        <w:tc>
          <w:tcPr>
            <w:tcW w:w="3032" w:type="dxa"/>
            <w:gridSpan w:val="2"/>
            <w:vMerge/>
          </w:tcPr>
          <w:p w14:paraId="6BA1C8C1" w14:textId="77777777" w:rsidR="00430EAB" w:rsidRPr="00977C90" w:rsidRDefault="00430EAB" w:rsidP="00650B38">
            <w:pPr>
              <w:tabs>
                <w:tab w:val="right" w:pos="4536"/>
              </w:tabs>
              <w:ind w:right="57"/>
              <w:rPr>
                <w:rFonts w:ascii="Arial" w:hAnsi="Arial" w:cs="Arial"/>
                <w:b/>
                <w:bCs/>
                <w:sz w:val="20"/>
                <w:szCs w:val="20"/>
              </w:rPr>
            </w:pPr>
          </w:p>
        </w:tc>
        <w:tc>
          <w:tcPr>
            <w:tcW w:w="3941" w:type="dxa"/>
            <w:gridSpan w:val="2"/>
          </w:tcPr>
          <w:p w14:paraId="389F89AD" w14:textId="77777777" w:rsidR="00430EAB" w:rsidRPr="00977C90" w:rsidRDefault="00430EAB" w:rsidP="00650B38">
            <w:pPr>
              <w:tabs>
                <w:tab w:val="right" w:pos="4536"/>
              </w:tabs>
              <w:ind w:right="57"/>
              <w:rPr>
                <w:rFonts w:ascii="Arial" w:hAnsi="Arial" w:cs="Arial"/>
                <w:b/>
                <w:bCs/>
                <w:i/>
                <w:iCs/>
                <w:sz w:val="20"/>
                <w:szCs w:val="20"/>
              </w:rPr>
            </w:pPr>
            <w:r w:rsidRPr="00977C90">
              <w:rPr>
                <w:rFonts w:ascii="Arial" w:hAnsi="Arial" w:cs="Arial"/>
                <w:b/>
                <w:bCs/>
                <w:i/>
                <w:iCs/>
                <w:sz w:val="20"/>
                <w:szCs w:val="20"/>
              </w:rPr>
              <w:t>Havgående</w:t>
            </w:r>
          </w:p>
        </w:tc>
        <w:tc>
          <w:tcPr>
            <w:tcW w:w="2649" w:type="dxa"/>
            <w:gridSpan w:val="2"/>
          </w:tcPr>
          <w:p w14:paraId="5B718B89" w14:textId="77777777" w:rsidR="00430EAB" w:rsidRPr="00977C90" w:rsidRDefault="00430EAB" w:rsidP="00650B38">
            <w:pPr>
              <w:tabs>
                <w:tab w:val="right" w:pos="4536"/>
              </w:tabs>
              <w:ind w:right="57"/>
              <w:rPr>
                <w:rFonts w:ascii="Arial" w:hAnsi="Arial" w:cs="Arial"/>
                <w:b/>
                <w:bCs/>
                <w:i/>
                <w:iCs/>
                <w:sz w:val="20"/>
                <w:szCs w:val="20"/>
              </w:rPr>
            </w:pPr>
            <w:r w:rsidRPr="00977C90">
              <w:rPr>
                <w:rFonts w:ascii="Arial" w:hAnsi="Arial" w:cs="Arial"/>
                <w:b/>
                <w:bCs/>
                <w:i/>
                <w:iCs/>
                <w:sz w:val="20"/>
                <w:szCs w:val="20"/>
              </w:rPr>
              <w:t>Kystnære</w:t>
            </w:r>
          </w:p>
        </w:tc>
      </w:tr>
      <w:tr w:rsidR="00430EAB" w:rsidRPr="00044794" w14:paraId="6DC93262" w14:textId="77777777" w:rsidTr="00650B38">
        <w:tc>
          <w:tcPr>
            <w:tcW w:w="1980" w:type="dxa"/>
          </w:tcPr>
          <w:p w14:paraId="41DF5648"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Kystnært vest</w:t>
            </w:r>
          </w:p>
        </w:tc>
        <w:tc>
          <w:tcPr>
            <w:tcW w:w="1052" w:type="dxa"/>
          </w:tcPr>
          <w:p w14:paraId="2FFDD5A2"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28.774</w:t>
            </w:r>
          </w:p>
        </w:tc>
        <w:tc>
          <w:tcPr>
            <w:tcW w:w="1819" w:type="dxa"/>
          </w:tcPr>
          <w:p w14:paraId="37F97AA6"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Paamiut</w:t>
            </w:r>
          </w:p>
        </w:tc>
        <w:tc>
          <w:tcPr>
            <w:tcW w:w="2122" w:type="dxa"/>
          </w:tcPr>
          <w:p w14:paraId="78E30120"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607</w:t>
            </w:r>
          </w:p>
        </w:tc>
        <w:tc>
          <w:tcPr>
            <w:tcW w:w="1545" w:type="dxa"/>
          </w:tcPr>
          <w:p w14:paraId="37AF2C20"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Kuttere</w:t>
            </w:r>
          </w:p>
        </w:tc>
        <w:tc>
          <w:tcPr>
            <w:tcW w:w="1104" w:type="dxa"/>
          </w:tcPr>
          <w:p w14:paraId="563C9912"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8.635</w:t>
            </w:r>
          </w:p>
        </w:tc>
      </w:tr>
      <w:tr w:rsidR="00430EAB" w:rsidRPr="00044794" w14:paraId="7D8F318D" w14:textId="77777777" w:rsidTr="00650B38">
        <w:tc>
          <w:tcPr>
            <w:tcW w:w="1980" w:type="dxa"/>
          </w:tcPr>
          <w:p w14:paraId="5A9EDA8D"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Kystnært øst</w:t>
            </w:r>
          </w:p>
        </w:tc>
        <w:tc>
          <w:tcPr>
            <w:tcW w:w="1052" w:type="dxa"/>
          </w:tcPr>
          <w:p w14:paraId="1B33444B"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103</w:t>
            </w:r>
          </w:p>
        </w:tc>
        <w:tc>
          <w:tcPr>
            <w:tcW w:w="1819" w:type="dxa"/>
          </w:tcPr>
          <w:p w14:paraId="18CFA865"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Maniitsoq</w:t>
            </w:r>
          </w:p>
        </w:tc>
        <w:tc>
          <w:tcPr>
            <w:tcW w:w="2122" w:type="dxa"/>
          </w:tcPr>
          <w:p w14:paraId="717BF88A"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2.050</w:t>
            </w:r>
          </w:p>
        </w:tc>
        <w:tc>
          <w:tcPr>
            <w:tcW w:w="1545" w:type="dxa"/>
          </w:tcPr>
          <w:p w14:paraId="3BFABBC5"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Joller</w:t>
            </w:r>
          </w:p>
        </w:tc>
        <w:tc>
          <w:tcPr>
            <w:tcW w:w="1104" w:type="dxa"/>
          </w:tcPr>
          <w:p w14:paraId="1D02554D"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20.121</w:t>
            </w:r>
          </w:p>
        </w:tc>
      </w:tr>
      <w:tr w:rsidR="00430EAB" w:rsidRPr="00044794" w14:paraId="09378383" w14:textId="77777777" w:rsidTr="00650B38">
        <w:tc>
          <w:tcPr>
            <w:tcW w:w="1980" w:type="dxa"/>
          </w:tcPr>
          <w:p w14:paraId="796CF278"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Kystnært i alt</w:t>
            </w:r>
          </w:p>
        </w:tc>
        <w:tc>
          <w:tcPr>
            <w:tcW w:w="1052" w:type="dxa"/>
          </w:tcPr>
          <w:p w14:paraId="639ED65C"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28.877</w:t>
            </w:r>
          </w:p>
        </w:tc>
        <w:tc>
          <w:tcPr>
            <w:tcW w:w="1819" w:type="dxa"/>
          </w:tcPr>
          <w:p w14:paraId="5F926F7F"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Kangaatsiaq</w:t>
            </w:r>
          </w:p>
        </w:tc>
        <w:tc>
          <w:tcPr>
            <w:tcW w:w="2122" w:type="dxa"/>
          </w:tcPr>
          <w:p w14:paraId="0FCC4071"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69</w:t>
            </w:r>
          </w:p>
        </w:tc>
        <w:tc>
          <w:tcPr>
            <w:tcW w:w="1545" w:type="dxa"/>
          </w:tcPr>
          <w:p w14:paraId="29D0F8B5"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Total</w:t>
            </w:r>
          </w:p>
        </w:tc>
        <w:tc>
          <w:tcPr>
            <w:tcW w:w="1104" w:type="dxa"/>
          </w:tcPr>
          <w:p w14:paraId="50E2006F"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28.756</w:t>
            </w:r>
          </w:p>
        </w:tc>
      </w:tr>
      <w:tr w:rsidR="00430EAB" w:rsidRPr="00044794" w14:paraId="3EE6B75B" w14:textId="77777777" w:rsidTr="00650B38">
        <w:tc>
          <w:tcPr>
            <w:tcW w:w="1980" w:type="dxa"/>
          </w:tcPr>
          <w:p w14:paraId="31BCDC42"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Havgående vest</w:t>
            </w:r>
          </w:p>
        </w:tc>
        <w:tc>
          <w:tcPr>
            <w:tcW w:w="1052" w:type="dxa"/>
          </w:tcPr>
          <w:p w14:paraId="355A9523"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18.013</w:t>
            </w:r>
          </w:p>
        </w:tc>
        <w:tc>
          <w:tcPr>
            <w:tcW w:w="1819" w:type="dxa"/>
          </w:tcPr>
          <w:p w14:paraId="6F182C4A"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Aasiaat</w:t>
            </w:r>
          </w:p>
        </w:tc>
        <w:tc>
          <w:tcPr>
            <w:tcW w:w="2122" w:type="dxa"/>
          </w:tcPr>
          <w:p w14:paraId="0D680527"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1.326</w:t>
            </w:r>
          </w:p>
        </w:tc>
        <w:tc>
          <w:tcPr>
            <w:tcW w:w="2649" w:type="dxa"/>
            <w:gridSpan w:val="2"/>
          </w:tcPr>
          <w:p w14:paraId="6A9A5CCB"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Licenser</w:t>
            </w:r>
          </w:p>
        </w:tc>
      </w:tr>
      <w:tr w:rsidR="00430EAB" w:rsidRPr="00044794" w14:paraId="18610BCB" w14:textId="77777777" w:rsidTr="00650B38">
        <w:tc>
          <w:tcPr>
            <w:tcW w:w="1980" w:type="dxa"/>
          </w:tcPr>
          <w:p w14:paraId="3414EF35"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Havgående øst</w:t>
            </w:r>
          </w:p>
        </w:tc>
        <w:tc>
          <w:tcPr>
            <w:tcW w:w="1052" w:type="dxa"/>
          </w:tcPr>
          <w:p w14:paraId="2229933B"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8.983</w:t>
            </w:r>
          </w:p>
        </w:tc>
        <w:tc>
          <w:tcPr>
            <w:tcW w:w="1819" w:type="dxa"/>
          </w:tcPr>
          <w:p w14:paraId="30020325"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Qasigiannguit</w:t>
            </w:r>
          </w:p>
        </w:tc>
        <w:tc>
          <w:tcPr>
            <w:tcW w:w="2122" w:type="dxa"/>
          </w:tcPr>
          <w:p w14:paraId="583F6B92"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1.489</w:t>
            </w:r>
          </w:p>
        </w:tc>
        <w:tc>
          <w:tcPr>
            <w:tcW w:w="1545" w:type="dxa"/>
          </w:tcPr>
          <w:p w14:paraId="140EA4AC"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Ilulissat</w:t>
            </w:r>
          </w:p>
        </w:tc>
        <w:tc>
          <w:tcPr>
            <w:tcW w:w="1104" w:type="dxa"/>
          </w:tcPr>
          <w:p w14:paraId="10D00BCA"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227</w:t>
            </w:r>
          </w:p>
        </w:tc>
      </w:tr>
      <w:tr w:rsidR="00430EAB" w:rsidRPr="00044794" w14:paraId="6EAB13FF" w14:textId="77777777" w:rsidTr="00650B38">
        <w:tc>
          <w:tcPr>
            <w:tcW w:w="1980" w:type="dxa"/>
          </w:tcPr>
          <w:p w14:paraId="5E0E2231"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Havgående i alt</w:t>
            </w:r>
          </w:p>
        </w:tc>
        <w:tc>
          <w:tcPr>
            <w:tcW w:w="1052" w:type="dxa"/>
          </w:tcPr>
          <w:p w14:paraId="5F429B86"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26.996</w:t>
            </w:r>
          </w:p>
        </w:tc>
        <w:tc>
          <w:tcPr>
            <w:tcW w:w="1819" w:type="dxa"/>
          </w:tcPr>
          <w:p w14:paraId="195548D6"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Total</w:t>
            </w:r>
          </w:p>
        </w:tc>
        <w:tc>
          <w:tcPr>
            <w:tcW w:w="2122" w:type="dxa"/>
          </w:tcPr>
          <w:p w14:paraId="77D7F575"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5.541</w:t>
            </w:r>
          </w:p>
        </w:tc>
        <w:tc>
          <w:tcPr>
            <w:tcW w:w="1545" w:type="dxa"/>
          </w:tcPr>
          <w:p w14:paraId="32F080CA"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Uummannaq</w:t>
            </w:r>
          </w:p>
        </w:tc>
        <w:tc>
          <w:tcPr>
            <w:tcW w:w="1104" w:type="dxa"/>
          </w:tcPr>
          <w:p w14:paraId="4F89A5D1"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299</w:t>
            </w:r>
          </w:p>
        </w:tc>
      </w:tr>
      <w:tr w:rsidR="00430EAB" w:rsidRPr="00044794" w14:paraId="7C164062" w14:textId="77777777" w:rsidTr="00650B38">
        <w:tc>
          <w:tcPr>
            <w:tcW w:w="1980" w:type="dxa"/>
          </w:tcPr>
          <w:p w14:paraId="342B0C02"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Total</w:t>
            </w:r>
          </w:p>
        </w:tc>
        <w:tc>
          <w:tcPr>
            <w:tcW w:w="1052" w:type="dxa"/>
          </w:tcPr>
          <w:p w14:paraId="727871A1"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55.873</w:t>
            </w:r>
          </w:p>
        </w:tc>
        <w:tc>
          <w:tcPr>
            <w:tcW w:w="1819" w:type="dxa"/>
          </w:tcPr>
          <w:p w14:paraId="11AC2394" w14:textId="77777777" w:rsidR="00430EAB" w:rsidRPr="00044794" w:rsidRDefault="00430EAB" w:rsidP="00650B38">
            <w:pPr>
              <w:tabs>
                <w:tab w:val="right" w:pos="4536"/>
              </w:tabs>
              <w:ind w:right="57"/>
              <w:rPr>
                <w:rFonts w:ascii="Arial" w:hAnsi="Arial" w:cs="Arial"/>
                <w:sz w:val="20"/>
                <w:szCs w:val="20"/>
              </w:rPr>
            </w:pPr>
          </w:p>
        </w:tc>
        <w:tc>
          <w:tcPr>
            <w:tcW w:w="2122" w:type="dxa"/>
          </w:tcPr>
          <w:p w14:paraId="13DDA26F" w14:textId="77777777" w:rsidR="00430EAB" w:rsidRPr="00044794" w:rsidRDefault="00430EAB" w:rsidP="00650B38">
            <w:pPr>
              <w:tabs>
                <w:tab w:val="right" w:pos="4536"/>
              </w:tabs>
              <w:ind w:right="57"/>
              <w:rPr>
                <w:rFonts w:ascii="Arial" w:hAnsi="Arial" w:cs="Arial"/>
                <w:sz w:val="20"/>
                <w:szCs w:val="20"/>
              </w:rPr>
            </w:pPr>
          </w:p>
        </w:tc>
        <w:tc>
          <w:tcPr>
            <w:tcW w:w="1545" w:type="dxa"/>
          </w:tcPr>
          <w:p w14:paraId="38AD429C"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Upernavik</w:t>
            </w:r>
          </w:p>
        </w:tc>
        <w:tc>
          <w:tcPr>
            <w:tcW w:w="1104" w:type="dxa"/>
          </w:tcPr>
          <w:p w14:paraId="69E11CAE" w14:textId="77777777" w:rsidR="00430EAB" w:rsidRPr="00044794" w:rsidRDefault="00430EAB" w:rsidP="00650B38">
            <w:pPr>
              <w:tabs>
                <w:tab w:val="right" w:pos="4536"/>
              </w:tabs>
              <w:ind w:right="57"/>
              <w:rPr>
                <w:rFonts w:ascii="Arial" w:hAnsi="Arial" w:cs="Arial"/>
                <w:sz w:val="20"/>
                <w:szCs w:val="20"/>
              </w:rPr>
            </w:pPr>
            <w:r w:rsidRPr="00044794">
              <w:rPr>
                <w:rFonts w:ascii="Arial" w:hAnsi="Arial" w:cs="Arial"/>
                <w:sz w:val="20"/>
                <w:szCs w:val="20"/>
              </w:rPr>
              <w:t>399</w:t>
            </w:r>
          </w:p>
        </w:tc>
      </w:tr>
    </w:tbl>
    <w:p w14:paraId="40A59B06" w14:textId="2B8C915A" w:rsidR="00FD0612" w:rsidRPr="00FE402F" w:rsidRDefault="00FD0612" w:rsidP="00FE402F">
      <w:pPr>
        <w:tabs>
          <w:tab w:val="right" w:pos="4536"/>
        </w:tabs>
        <w:spacing w:before="240" w:after="240"/>
        <w:ind w:right="57"/>
        <w:jc w:val="both"/>
        <w:rPr>
          <w:rFonts w:ascii="Times New Roman" w:hAnsi="Times New Roman" w:cs="Times New Roman"/>
          <w:sz w:val="24"/>
          <w:szCs w:val="24"/>
        </w:rPr>
      </w:pPr>
      <w:bookmarkStart w:id="0" w:name="_Hlk154057639"/>
      <w:r w:rsidRPr="00FE402F">
        <w:rPr>
          <w:rFonts w:ascii="Times New Roman" w:hAnsi="Times New Roman" w:cs="Times New Roman"/>
          <w:sz w:val="24"/>
          <w:szCs w:val="24"/>
        </w:rPr>
        <w:t xml:space="preserve">Lovforslaget indeholder </w:t>
      </w:r>
      <w:r w:rsidR="00FE402F">
        <w:rPr>
          <w:rFonts w:ascii="Times New Roman" w:hAnsi="Times New Roman" w:cs="Times New Roman"/>
          <w:sz w:val="24"/>
          <w:szCs w:val="24"/>
        </w:rPr>
        <w:t xml:space="preserve">dermed </w:t>
      </w:r>
      <w:r w:rsidRPr="00FE402F">
        <w:rPr>
          <w:rFonts w:ascii="Times New Roman" w:hAnsi="Times New Roman" w:cs="Times New Roman"/>
          <w:sz w:val="24"/>
          <w:szCs w:val="24"/>
        </w:rPr>
        <w:t>på samme tid en svækkelse af landingspligt</w:t>
      </w:r>
      <w:r w:rsidR="00FE402F">
        <w:rPr>
          <w:rFonts w:ascii="Times New Roman" w:hAnsi="Times New Roman" w:cs="Times New Roman"/>
          <w:sz w:val="24"/>
          <w:szCs w:val="24"/>
        </w:rPr>
        <w:t>en</w:t>
      </w:r>
      <w:r w:rsidRPr="00FE402F">
        <w:rPr>
          <w:rFonts w:ascii="Times New Roman" w:hAnsi="Times New Roman" w:cs="Times New Roman"/>
          <w:sz w:val="24"/>
          <w:szCs w:val="24"/>
        </w:rPr>
        <w:t xml:space="preserve"> og </w:t>
      </w:r>
      <w:r w:rsidR="00FE402F">
        <w:rPr>
          <w:rFonts w:ascii="Times New Roman" w:hAnsi="Times New Roman" w:cs="Times New Roman"/>
          <w:sz w:val="24"/>
          <w:szCs w:val="24"/>
        </w:rPr>
        <w:t xml:space="preserve">med </w:t>
      </w:r>
      <w:r w:rsidRPr="00FE402F">
        <w:rPr>
          <w:rFonts w:ascii="Times New Roman" w:hAnsi="Times New Roman" w:cs="Times New Roman"/>
          <w:sz w:val="24"/>
          <w:szCs w:val="24"/>
        </w:rPr>
        <w:t xml:space="preserve">indførelse af </w:t>
      </w:r>
      <w:proofErr w:type="spellStart"/>
      <w:r w:rsidRPr="00FE402F">
        <w:rPr>
          <w:rFonts w:ascii="Times New Roman" w:hAnsi="Times New Roman" w:cs="Times New Roman"/>
          <w:sz w:val="24"/>
          <w:szCs w:val="24"/>
        </w:rPr>
        <w:t>IOK</w:t>
      </w:r>
      <w:r w:rsidR="00FE402F">
        <w:rPr>
          <w:rFonts w:ascii="Times New Roman" w:hAnsi="Times New Roman" w:cs="Times New Roman"/>
          <w:sz w:val="24"/>
          <w:szCs w:val="24"/>
        </w:rPr>
        <w:t>’er</w:t>
      </w:r>
      <w:proofErr w:type="spellEnd"/>
      <w:r w:rsidR="00FE402F">
        <w:rPr>
          <w:rFonts w:ascii="Times New Roman" w:hAnsi="Times New Roman" w:cs="Times New Roman"/>
          <w:sz w:val="24"/>
          <w:szCs w:val="24"/>
        </w:rPr>
        <w:t xml:space="preserve"> en forventning om koncentration af kvoteejerskab på færre større fartøjer og dermed ud af bygderne</w:t>
      </w:r>
      <w:r w:rsidRPr="00FE402F">
        <w:rPr>
          <w:rFonts w:ascii="Times New Roman" w:hAnsi="Times New Roman" w:cs="Times New Roman"/>
          <w:sz w:val="24"/>
          <w:szCs w:val="24"/>
        </w:rPr>
        <w:t>. Tallene ovenfor illustrerer, at et</w:t>
      </w:r>
      <w:r w:rsidR="00FE402F">
        <w:rPr>
          <w:rFonts w:ascii="Times New Roman" w:hAnsi="Times New Roman" w:cs="Times New Roman"/>
          <w:sz w:val="24"/>
          <w:szCs w:val="24"/>
        </w:rPr>
        <w:t xml:space="preserve"> </w:t>
      </w:r>
      <w:r w:rsidRPr="00FE402F">
        <w:rPr>
          <w:rFonts w:ascii="Times New Roman" w:hAnsi="Times New Roman" w:cs="Times New Roman"/>
          <w:sz w:val="24"/>
          <w:szCs w:val="24"/>
        </w:rPr>
        <w:t xml:space="preserve">skift i </w:t>
      </w:r>
      <w:proofErr w:type="spellStart"/>
      <w:r w:rsidR="00FE402F" w:rsidRPr="00FE402F">
        <w:rPr>
          <w:rFonts w:ascii="Times New Roman" w:hAnsi="Times New Roman" w:cs="Times New Roman"/>
          <w:sz w:val="24"/>
          <w:szCs w:val="24"/>
        </w:rPr>
        <w:t>hellefiskfiskriet</w:t>
      </w:r>
      <w:proofErr w:type="spellEnd"/>
      <w:r w:rsidR="00FE402F" w:rsidRPr="00FE402F">
        <w:rPr>
          <w:rFonts w:ascii="Times New Roman" w:hAnsi="Times New Roman" w:cs="Times New Roman"/>
          <w:sz w:val="24"/>
          <w:szCs w:val="24"/>
        </w:rPr>
        <w:t xml:space="preserve"> </w:t>
      </w:r>
      <w:r w:rsidR="00FE402F">
        <w:rPr>
          <w:rFonts w:ascii="Times New Roman" w:hAnsi="Times New Roman" w:cs="Times New Roman"/>
          <w:sz w:val="24"/>
          <w:szCs w:val="24"/>
        </w:rPr>
        <w:t xml:space="preserve">i </w:t>
      </w:r>
      <w:r w:rsidRPr="00FE402F">
        <w:rPr>
          <w:rFonts w:ascii="Times New Roman" w:hAnsi="Times New Roman" w:cs="Times New Roman"/>
          <w:sz w:val="24"/>
          <w:szCs w:val="24"/>
        </w:rPr>
        <w:t xml:space="preserve">retning af kuttere og større fartøjer også vil kunne føre til en reduktion i andelen af hellefisk, der indhandles lokalt og i Grønland. </w:t>
      </w:r>
    </w:p>
    <w:bookmarkEnd w:id="0"/>
    <w:p w14:paraId="27B03166" w14:textId="7893E37F" w:rsidR="00430EAB" w:rsidRDefault="0084644D" w:rsidP="0084644D">
      <w:pPr>
        <w:tabs>
          <w:tab w:val="right" w:pos="4536"/>
        </w:tabs>
        <w:spacing w:after="240"/>
        <w:ind w:right="57"/>
        <w:jc w:val="both"/>
        <w:rPr>
          <w:rFonts w:ascii="Times New Roman" w:hAnsi="Times New Roman" w:cs="Times New Roman"/>
          <w:sz w:val="24"/>
          <w:szCs w:val="24"/>
        </w:rPr>
      </w:pPr>
      <w:r w:rsidRPr="00044794">
        <w:rPr>
          <w:rFonts w:ascii="Times New Roman" w:hAnsi="Times New Roman" w:cs="Times New Roman"/>
          <w:sz w:val="24"/>
          <w:szCs w:val="24"/>
        </w:rPr>
        <w:t>Lovforslaget definerer ikke</w:t>
      </w:r>
      <w:r>
        <w:rPr>
          <w:rFonts w:ascii="Times New Roman" w:hAnsi="Times New Roman" w:cs="Times New Roman"/>
          <w:sz w:val="24"/>
          <w:szCs w:val="24"/>
        </w:rPr>
        <w:t>,</w:t>
      </w:r>
      <w:r w:rsidRPr="00044794">
        <w:rPr>
          <w:rFonts w:ascii="Times New Roman" w:hAnsi="Times New Roman" w:cs="Times New Roman"/>
          <w:sz w:val="24"/>
          <w:szCs w:val="24"/>
        </w:rPr>
        <w:t xml:space="preserve"> hvordan det kystnære hellefisk</w:t>
      </w:r>
      <w:r w:rsidR="00977C90">
        <w:rPr>
          <w:rFonts w:ascii="Times New Roman" w:hAnsi="Times New Roman" w:cs="Times New Roman"/>
          <w:sz w:val="24"/>
          <w:szCs w:val="24"/>
        </w:rPr>
        <w:t>e</w:t>
      </w:r>
      <w:r w:rsidRPr="00044794">
        <w:rPr>
          <w:rFonts w:ascii="Times New Roman" w:hAnsi="Times New Roman" w:cs="Times New Roman"/>
          <w:sz w:val="24"/>
          <w:szCs w:val="24"/>
        </w:rPr>
        <w:t xml:space="preserve">fiskeri inddeles om end §15 gør </w:t>
      </w:r>
      <w:r w:rsidR="00430EAB">
        <w:rPr>
          <w:rFonts w:ascii="Times New Roman" w:hAnsi="Times New Roman" w:cs="Times New Roman"/>
          <w:sz w:val="24"/>
          <w:szCs w:val="24"/>
        </w:rPr>
        <w:t xml:space="preserve">en inddeling </w:t>
      </w:r>
      <w:r w:rsidRPr="00044794">
        <w:rPr>
          <w:rFonts w:ascii="Times New Roman" w:hAnsi="Times New Roman" w:cs="Times New Roman"/>
          <w:sz w:val="24"/>
          <w:szCs w:val="24"/>
        </w:rPr>
        <w:t xml:space="preserve">mulig. Således fremgår det ikke, om område 47 fortsat skal administreres som et selvstændigt område, og om det fortsat skal være delt i </w:t>
      </w:r>
      <w:r>
        <w:rPr>
          <w:rFonts w:ascii="Times New Roman" w:hAnsi="Times New Roman" w:cs="Times New Roman"/>
          <w:sz w:val="24"/>
          <w:szCs w:val="24"/>
        </w:rPr>
        <w:t>Diskobugten</w:t>
      </w:r>
      <w:r w:rsidRPr="00044794">
        <w:rPr>
          <w:rFonts w:ascii="Times New Roman" w:hAnsi="Times New Roman" w:cs="Times New Roman"/>
          <w:sz w:val="24"/>
          <w:szCs w:val="24"/>
        </w:rPr>
        <w:t>, Uummannaq og Upernavik, eller om det er et samlet område, hvor alle</w:t>
      </w:r>
      <w:r>
        <w:rPr>
          <w:rFonts w:ascii="Times New Roman" w:hAnsi="Times New Roman" w:cs="Times New Roman"/>
          <w:sz w:val="24"/>
          <w:szCs w:val="24"/>
        </w:rPr>
        <w:t xml:space="preserve"> </w:t>
      </w:r>
      <w:r w:rsidR="00977C90">
        <w:rPr>
          <w:rFonts w:ascii="Times New Roman" w:eastAsia="Times New Roman" w:hAnsi="Times New Roman" w:cs="Times New Roman"/>
          <w:sz w:val="24"/>
          <w:szCs w:val="24"/>
          <w:lang w:eastAsia="en-US"/>
        </w:rPr>
        <w:t xml:space="preserve">– også fiskere, der bor udenfor område 47 - </w:t>
      </w:r>
      <w:r w:rsidRPr="00044794">
        <w:rPr>
          <w:rFonts w:ascii="Times New Roman" w:hAnsi="Times New Roman" w:cs="Times New Roman"/>
          <w:sz w:val="24"/>
          <w:szCs w:val="24"/>
        </w:rPr>
        <w:t xml:space="preserve">kan fiske. </w:t>
      </w:r>
    </w:p>
    <w:p w14:paraId="3BA07AC3" w14:textId="03F81518" w:rsidR="0084644D" w:rsidRPr="00BD14EA" w:rsidRDefault="00FD0612" w:rsidP="0084644D">
      <w:pPr>
        <w:tabs>
          <w:tab w:val="right" w:pos="4536"/>
        </w:tabs>
        <w:spacing w:after="240"/>
        <w:ind w:right="57"/>
        <w:jc w:val="both"/>
        <w:rPr>
          <w:rFonts w:ascii="Times New Roman" w:hAnsi="Times New Roman" w:cs="Times New Roman"/>
          <w:sz w:val="24"/>
          <w:szCs w:val="24"/>
        </w:rPr>
      </w:pPr>
      <w:r w:rsidRPr="00BD14EA">
        <w:rPr>
          <w:rFonts w:ascii="Times New Roman" w:hAnsi="Times New Roman" w:cs="Times New Roman"/>
          <w:sz w:val="24"/>
          <w:szCs w:val="24"/>
        </w:rPr>
        <w:t xml:space="preserve">Når </w:t>
      </w:r>
      <w:r w:rsidR="0084644D" w:rsidRPr="00BD14EA">
        <w:rPr>
          <w:rFonts w:ascii="Times New Roman" w:hAnsi="Times New Roman" w:cs="Times New Roman"/>
          <w:sz w:val="24"/>
          <w:szCs w:val="24"/>
        </w:rPr>
        <w:t>der ikke er defineret noget krav om geografisk tilknytning til et givet område</w:t>
      </w:r>
      <w:r w:rsidR="00430EAB" w:rsidRPr="00BD14EA">
        <w:rPr>
          <w:rFonts w:ascii="Times New Roman" w:hAnsi="Times New Roman" w:cs="Times New Roman"/>
          <w:sz w:val="24"/>
          <w:szCs w:val="24"/>
        </w:rPr>
        <w:t>,</w:t>
      </w:r>
      <w:r w:rsidR="0084644D" w:rsidRPr="00BD14EA">
        <w:rPr>
          <w:rFonts w:ascii="Times New Roman" w:hAnsi="Times New Roman" w:cs="Times New Roman"/>
          <w:sz w:val="24"/>
          <w:szCs w:val="24"/>
        </w:rPr>
        <w:t xml:space="preserve"> vil en stigende andel af kvoten </w:t>
      </w:r>
      <w:r w:rsidR="00430EAB" w:rsidRPr="00BD14EA">
        <w:rPr>
          <w:rFonts w:ascii="Times New Roman" w:hAnsi="Times New Roman" w:cs="Times New Roman"/>
          <w:sz w:val="24"/>
          <w:szCs w:val="24"/>
        </w:rPr>
        <w:t xml:space="preserve">formodentligt blive </w:t>
      </w:r>
      <w:r w:rsidR="00BD14EA" w:rsidRPr="00BD14EA">
        <w:rPr>
          <w:rFonts w:ascii="Times New Roman" w:hAnsi="Times New Roman" w:cs="Times New Roman"/>
          <w:sz w:val="24"/>
          <w:szCs w:val="24"/>
        </w:rPr>
        <w:t xml:space="preserve">opkøbt </w:t>
      </w:r>
      <w:r w:rsidR="0084644D" w:rsidRPr="00BD14EA">
        <w:rPr>
          <w:rFonts w:ascii="Times New Roman" w:hAnsi="Times New Roman" w:cs="Times New Roman"/>
          <w:sz w:val="24"/>
          <w:szCs w:val="24"/>
        </w:rPr>
        <w:t>af folk uden for Upernavik, Uummannaq og Diskobugten</w:t>
      </w:r>
      <w:r w:rsidR="00430EAB" w:rsidRPr="00BD14EA">
        <w:rPr>
          <w:rFonts w:ascii="Times New Roman" w:hAnsi="Times New Roman" w:cs="Times New Roman"/>
          <w:sz w:val="24"/>
          <w:szCs w:val="24"/>
        </w:rPr>
        <w:t xml:space="preserve">. Det vil </w:t>
      </w:r>
      <w:r w:rsidR="0084644D" w:rsidRPr="00BD14EA">
        <w:rPr>
          <w:rFonts w:ascii="Times New Roman" w:hAnsi="Times New Roman" w:cs="Times New Roman"/>
          <w:sz w:val="24"/>
          <w:szCs w:val="24"/>
        </w:rPr>
        <w:t xml:space="preserve">også føre til, at </w:t>
      </w:r>
      <w:r w:rsidR="00430EAB" w:rsidRPr="00BD14EA">
        <w:rPr>
          <w:rFonts w:ascii="Times New Roman" w:hAnsi="Times New Roman" w:cs="Times New Roman"/>
          <w:sz w:val="24"/>
          <w:szCs w:val="24"/>
        </w:rPr>
        <w:t xml:space="preserve">en større del af </w:t>
      </w:r>
      <w:r w:rsidR="0084644D" w:rsidRPr="00BD14EA">
        <w:rPr>
          <w:rFonts w:ascii="Times New Roman" w:hAnsi="Times New Roman" w:cs="Times New Roman"/>
          <w:sz w:val="24"/>
          <w:szCs w:val="24"/>
        </w:rPr>
        <w:t xml:space="preserve">fangsten indhandles uden for disse distrikter. Det vil betyde, at nogle af indhandlingsanlæggene i område 47 kan blive nødt til at lukke på grund af for lille indhandling. </w:t>
      </w:r>
      <w:r w:rsidR="00977C90" w:rsidRPr="00BD14EA">
        <w:rPr>
          <w:rFonts w:ascii="Times New Roman" w:hAnsi="Times New Roman" w:cs="Times New Roman"/>
          <w:sz w:val="24"/>
          <w:szCs w:val="24"/>
        </w:rPr>
        <w:t>N</w:t>
      </w:r>
      <w:r w:rsidR="0084644D" w:rsidRPr="00BD14EA">
        <w:rPr>
          <w:rFonts w:ascii="Times New Roman" w:hAnsi="Times New Roman" w:cs="Times New Roman"/>
          <w:sz w:val="24"/>
          <w:szCs w:val="24"/>
        </w:rPr>
        <w:t>edlæggelse af indhandlingsanlæg indebærer længere transport, større brændstofudgifter, ringere kvalitet af de fangede fisk og ikke mindst større risici ved sejlads i joller over længere afstande.</w:t>
      </w:r>
      <w:r w:rsidR="00430EAB" w:rsidRPr="00BD14EA">
        <w:rPr>
          <w:rFonts w:ascii="Times New Roman" w:hAnsi="Times New Roman" w:cs="Times New Roman"/>
          <w:sz w:val="24"/>
          <w:szCs w:val="24"/>
        </w:rPr>
        <w:t xml:space="preserve"> </w:t>
      </w:r>
      <w:r w:rsidR="00AC3506" w:rsidRPr="00BD14EA">
        <w:rPr>
          <w:rFonts w:ascii="Times New Roman" w:hAnsi="Times New Roman" w:cs="Times New Roman"/>
          <w:sz w:val="24"/>
          <w:szCs w:val="24"/>
        </w:rPr>
        <w:t>Det vil s</w:t>
      </w:r>
      <w:r w:rsidR="0084644D" w:rsidRPr="00BD14EA">
        <w:rPr>
          <w:rFonts w:ascii="Times New Roman" w:hAnsi="Times New Roman" w:cs="Times New Roman"/>
          <w:sz w:val="24"/>
          <w:szCs w:val="24"/>
        </w:rPr>
        <w:t>amtidig umuliggøre vinterens isfiskeri.</w:t>
      </w:r>
    </w:p>
    <w:p w14:paraId="16926020" w14:textId="20D44E0F" w:rsidR="0084644D" w:rsidRPr="00044794" w:rsidRDefault="00BD14EA" w:rsidP="0084644D">
      <w:pPr>
        <w:tabs>
          <w:tab w:val="right" w:pos="4536"/>
        </w:tabs>
        <w:spacing w:after="240"/>
        <w:ind w:right="57"/>
        <w:jc w:val="both"/>
        <w:rPr>
          <w:rFonts w:ascii="Times New Roman" w:hAnsi="Times New Roman" w:cs="Times New Roman"/>
          <w:sz w:val="24"/>
          <w:szCs w:val="24"/>
        </w:rPr>
      </w:pPr>
      <w:r>
        <w:rPr>
          <w:rFonts w:ascii="Times New Roman" w:hAnsi="Times New Roman" w:cs="Times New Roman"/>
          <w:sz w:val="24"/>
          <w:szCs w:val="24"/>
        </w:rPr>
        <w:t xml:space="preserve">At </w:t>
      </w:r>
      <w:r w:rsidRPr="00044794">
        <w:rPr>
          <w:rFonts w:ascii="Times New Roman" w:hAnsi="Times New Roman" w:cs="Times New Roman"/>
          <w:sz w:val="24"/>
          <w:szCs w:val="24"/>
        </w:rPr>
        <w:t>ordet ’joller’ i</w:t>
      </w:r>
      <w:r>
        <w:rPr>
          <w:rFonts w:ascii="Times New Roman" w:hAnsi="Times New Roman" w:cs="Times New Roman"/>
          <w:sz w:val="24"/>
          <w:szCs w:val="24"/>
        </w:rPr>
        <w:t xml:space="preserve">kke er nævnt nogen steder </w:t>
      </w:r>
      <w:r w:rsidRPr="00044794">
        <w:rPr>
          <w:rFonts w:ascii="Times New Roman" w:hAnsi="Times New Roman" w:cs="Times New Roman"/>
          <w:sz w:val="24"/>
          <w:szCs w:val="24"/>
        </w:rPr>
        <w:t>i udkastet til lovtekst</w:t>
      </w:r>
      <w:r>
        <w:rPr>
          <w:rFonts w:ascii="Times New Roman" w:hAnsi="Times New Roman" w:cs="Times New Roman"/>
          <w:sz w:val="24"/>
          <w:szCs w:val="24"/>
        </w:rPr>
        <w:t xml:space="preserve">en syntes at </w:t>
      </w:r>
      <w:r w:rsidR="00AD07AA">
        <w:rPr>
          <w:rFonts w:ascii="Times New Roman" w:hAnsi="Times New Roman" w:cs="Times New Roman"/>
          <w:sz w:val="24"/>
          <w:szCs w:val="24"/>
        </w:rPr>
        <w:t xml:space="preserve">understøtte </w:t>
      </w:r>
      <w:r>
        <w:rPr>
          <w:rFonts w:ascii="Times New Roman" w:hAnsi="Times New Roman" w:cs="Times New Roman"/>
          <w:sz w:val="24"/>
          <w:szCs w:val="24"/>
        </w:rPr>
        <w:t>en holdning</w:t>
      </w:r>
      <w:r w:rsidR="00AD07AA">
        <w:rPr>
          <w:rFonts w:ascii="Times New Roman" w:hAnsi="Times New Roman" w:cs="Times New Roman"/>
          <w:sz w:val="24"/>
          <w:szCs w:val="24"/>
        </w:rPr>
        <w:t>,</w:t>
      </w:r>
      <w:r>
        <w:rPr>
          <w:rFonts w:ascii="Times New Roman" w:hAnsi="Times New Roman" w:cs="Times New Roman"/>
          <w:sz w:val="24"/>
          <w:szCs w:val="24"/>
        </w:rPr>
        <w:t xml:space="preserve"> der ikke </w:t>
      </w:r>
      <w:r w:rsidR="00AD07AA">
        <w:rPr>
          <w:rFonts w:ascii="Times New Roman" w:hAnsi="Times New Roman" w:cs="Times New Roman"/>
          <w:sz w:val="24"/>
          <w:szCs w:val="24"/>
        </w:rPr>
        <w:t xml:space="preserve">ser </w:t>
      </w:r>
      <w:r>
        <w:rPr>
          <w:rFonts w:ascii="Times New Roman" w:hAnsi="Times New Roman" w:cs="Times New Roman"/>
          <w:sz w:val="24"/>
          <w:szCs w:val="24"/>
        </w:rPr>
        <w:t xml:space="preserve">jollefiskeriet </w:t>
      </w:r>
      <w:r w:rsidR="00AD07AA">
        <w:rPr>
          <w:rFonts w:ascii="Times New Roman" w:hAnsi="Times New Roman" w:cs="Times New Roman"/>
          <w:sz w:val="24"/>
          <w:szCs w:val="24"/>
        </w:rPr>
        <w:t xml:space="preserve">som en del af </w:t>
      </w:r>
      <w:r>
        <w:rPr>
          <w:rFonts w:ascii="Times New Roman" w:hAnsi="Times New Roman" w:cs="Times New Roman"/>
          <w:sz w:val="24"/>
          <w:szCs w:val="24"/>
        </w:rPr>
        <w:t>fremtiden, hvilket er p</w:t>
      </w:r>
      <w:r w:rsidR="0084644D" w:rsidRPr="00044794">
        <w:rPr>
          <w:rFonts w:ascii="Times New Roman" w:hAnsi="Times New Roman" w:cs="Times New Roman"/>
          <w:sz w:val="24"/>
          <w:szCs w:val="24"/>
        </w:rPr>
        <w:t>aradoksalt</w:t>
      </w:r>
      <w:r w:rsidR="0084644D">
        <w:rPr>
          <w:rFonts w:ascii="Times New Roman" w:hAnsi="Times New Roman" w:cs="Times New Roman"/>
          <w:sz w:val="24"/>
          <w:szCs w:val="24"/>
        </w:rPr>
        <w:t xml:space="preserve"> </w:t>
      </w:r>
      <w:r>
        <w:rPr>
          <w:rFonts w:ascii="Times New Roman" w:hAnsi="Times New Roman" w:cs="Times New Roman"/>
          <w:sz w:val="24"/>
          <w:szCs w:val="24"/>
        </w:rPr>
        <w:t xml:space="preserve">i betragtning af den store betydning af </w:t>
      </w:r>
      <w:proofErr w:type="spellStart"/>
      <w:r>
        <w:rPr>
          <w:rFonts w:ascii="Times New Roman" w:hAnsi="Times New Roman" w:cs="Times New Roman"/>
          <w:sz w:val="24"/>
          <w:szCs w:val="24"/>
        </w:rPr>
        <w:t>nettop</w:t>
      </w:r>
      <w:proofErr w:type="spellEnd"/>
      <w:r>
        <w:rPr>
          <w:rFonts w:ascii="Times New Roman" w:hAnsi="Times New Roman" w:cs="Times New Roman"/>
          <w:sz w:val="24"/>
          <w:szCs w:val="24"/>
        </w:rPr>
        <w:t xml:space="preserve"> jollefiskeriet</w:t>
      </w:r>
      <w:r w:rsidR="00AD07AA">
        <w:rPr>
          <w:rFonts w:ascii="Times New Roman" w:hAnsi="Times New Roman" w:cs="Times New Roman"/>
          <w:sz w:val="24"/>
          <w:szCs w:val="24"/>
        </w:rPr>
        <w:t>,</w:t>
      </w:r>
      <w:r>
        <w:rPr>
          <w:rFonts w:ascii="Times New Roman" w:hAnsi="Times New Roman" w:cs="Times New Roman"/>
          <w:sz w:val="24"/>
          <w:szCs w:val="24"/>
        </w:rPr>
        <w:t xml:space="preserve"> som disse tal viser. Faktisk </w:t>
      </w:r>
      <w:r w:rsidR="0084644D" w:rsidRPr="00044794">
        <w:rPr>
          <w:rFonts w:ascii="Times New Roman" w:hAnsi="Times New Roman" w:cs="Times New Roman"/>
          <w:sz w:val="24"/>
          <w:szCs w:val="24"/>
        </w:rPr>
        <w:t xml:space="preserve">defineres kravet til ’fartøj’ i §10, </w:t>
      </w:r>
      <w:r>
        <w:rPr>
          <w:rFonts w:ascii="Times New Roman" w:hAnsi="Times New Roman" w:cs="Times New Roman"/>
          <w:sz w:val="24"/>
          <w:szCs w:val="24"/>
        </w:rPr>
        <w:t xml:space="preserve">på en måde, der </w:t>
      </w:r>
      <w:r w:rsidR="0084644D" w:rsidRPr="00044794">
        <w:rPr>
          <w:rFonts w:ascii="Times New Roman" w:hAnsi="Times New Roman" w:cs="Times New Roman"/>
          <w:sz w:val="24"/>
          <w:szCs w:val="24"/>
        </w:rPr>
        <w:t xml:space="preserve">ikke umiddelbart </w:t>
      </w:r>
      <w:r w:rsidR="00AD07AA">
        <w:rPr>
          <w:rFonts w:ascii="Times New Roman" w:hAnsi="Times New Roman" w:cs="Times New Roman"/>
          <w:sz w:val="24"/>
          <w:szCs w:val="24"/>
        </w:rPr>
        <w:t>tillader</w:t>
      </w:r>
      <w:r w:rsidR="0084644D" w:rsidRPr="00044794">
        <w:rPr>
          <w:rFonts w:ascii="Times New Roman" w:hAnsi="Times New Roman" w:cs="Times New Roman"/>
          <w:sz w:val="24"/>
          <w:szCs w:val="24"/>
        </w:rPr>
        <w:t xml:space="preserve"> joller – medmindre</w:t>
      </w:r>
      <w:r w:rsidR="00977C90">
        <w:rPr>
          <w:rFonts w:ascii="Times New Roman" w:hAnsi="Times New Roman" w:cs="Times New Roman"/>
          <w:sz w:val="24"/>
          <w:szCs w:val="24"/>
        </w:rPr>
        <w:t>,</w:t>
      </w:r>
      <w:r w:rsidR="0084644D" w:rsidRPr="00044794">
        <w:rPr>
          <w:rFonts w:ascii="Times New Roman" w:hAnsi="Times New Roman" w:cs="Times New Roman"/>
          <w:sz w:val="24"/>
          <w:szCs w:val="24"/>
        </w:rPr>
        <w:t xml:space="preserve"> der indføres </w:t>
      </w:r>
      <w:r w:rsidR="00977C90">
        <w:rPr>
          <w:rFonts w:ascii="Times New Roman" w:hAnsi="Times New Roman" w:cs="Times New Roman"/>
          <w:sz w:val="24"/>
          <w:szCs w:val="24"/>
        </w:rPr>
        <w:t xml:space="preserve">et </w:t>
      </w:r>
      <w:r w:rsidR="0084644D" w:rsidRPr="00044794">
        <w:rPr>
          <w:rFonts w:ascii="Times New Roman" w:hAnsi="Times New Roman" w:cs="Times New Roman"/>
          <w:sz w:val="24"/>
          <w:szCs w:val="24"/>
        </w:rPr>
        <w:t>særligt register for joller under Søfartsstyrelsens Fartøjsfortegnelse.</w:t>
      </w:r>
    </w:p>
    <w:p w14:paraId="1FC6C9B5" w14:textId="48AE1435" w:rsidR="00430EAB" w:rsidRPr="00BD14EA" w:rsidRDefault="00430EAB" w:rsidP="00430EAB">
      <w:pPr>
        <w:pStyle w:val="Heading1"/>
        <w:rPr>
          <w:rFonts w:ascii="Times New Roman" w:hAnsi="Times New Roman" w:cs="Times New Roman"/>
          <w:b/>
          <w:bCs/>
          <w:color w:val="auto"/>
          <w:sz w:val="28"/>
          <w:szCs w:val="28"/>
          <w:lang w:val="da-DK"/>
        </w:rPr>
      </w:pPr>
      <w:r w:rsidRPr="00BD14EA">
        <w:rPr>
          <w:rFonts w:ascii="Times New Roman" w:hAnsi="Times New Roman" w:cs="Times New Roman"/>
          <w:b/>
          <w:bCs/>
          <w:color w:val="auto"/>
          <w:sz w:val="28"/>
          <w:szCs w:val="28"/>
          <w:lang w:val="da-DK"/>
        </w:rPr>
        <w:t xml:space="preserve">Konsekvenserne af </w:t>
      </w:r>
      <w:proofErr w:type="spellStart"/>
      <w:r w:rsidRPr="00BD14EA">
        <w:rPr>
          <w:rFonts w:ascii="Times New Roman" w:hAnsi="Times New Roman" w:cs="Times New Roman"/>
          <w:b/>
          <w:bCs/>
          <w:color w:val="auto"/>
          <w:sz w:val="28"/>
          <w:szCs w:val="28"/>
          <w:lang w:val="da-DK"/>
        </w:rPr>
        <w:t>recuceret</w:t>
      </w:r>
      <w:proofErr w:type="spellEnd"/>
      <w:r w:rsidRPr="00BD14EA">
        <w:rPr>
          <w:rFonts w:ascii="Times New Roman" w:hAnsi="Times New Roman" w:cs="Times New Roman"/>
          <w:b/>
          <w:bCs/>
          <w:color w:val="auto"/>
          <w:sz w:val="28"/>
          <w:szCs w:val="28"/>
          <w:lang w:val="da-DK"/>
        </w:rPr>
        <w:t xml:space="preserve"> landingspligt</w:t>
      </w:r>
    </w:p>
    <w:p w14:paraId="4834A891" w14:textId="4AC77B93" w:rsidR="00430EAB" w:rsidRDefault="0084644D" w:rsidP="00430EAB">
      <w:pPr>
        <w:pStyle w:val="NormalWeb"/>
        <w:spacing w:before="0" w:beforeAutospacing="0"/>
        <w:jc w:val="both"/>
      </w:pPr>
      <w:r>
        <w:t xml:space="preserve">Når </w:t>
      </w:r>
      <w:r w:rsidRPr="00D97C1B">
        <w:t>landingspligt i Grønland reduceres</w:t>
      </w:r>
      <w:r>
        <w:t xml:space="preserve"> – som lovforslaget lægger op til - e</w:t>
      </w:r>
      <w:r w:rsidRPr="00D97C1B">
        <w:t>r det sandsynligt, at indhandling i stigende grad vil ske uden for Grønland. Det vil reducere værdiskabelsen gennem forarbejdning i Grønland til skade for fabrikkerne</w:t>
      </w:r>
      <w:r w:rsidR="00FD0612">
        <w:t>, lokalsamfund</w:t>
      </w:r>
      <w:r w:rsidRPr="00D97C1B">
        <w:t xml:space="preserve"> og samfundet generelt. I dag er ca. 15</w:t>
      </w:r>
      <w:r w:rsidR="008878F4">
        <w:t xml:space="preserve"> pct</w:t>
      </w:r>
      <w:r w:rsidRPr="00D97C1B">
        <w:t xml:space="preserve"> af Grønlands erhvervsaktive befolkning beskæftiget med fiskeri, indhandling og forarbejdning. </w:t>
      </w:r>
    </w:p>
    <w:p w14:paraId="61324E10" w14:textId="30C8F41F" w:rsidR="0084644D" w:rsidRDefault="0084644D" w:rsidP="00430EAB">
      <w:pPr>
        <w:pStyle w:val="NormalWeb"/>
        <w:spacing w:before="0" w:beforeAutospacing="0"/>
        <w:jc w:val="both"/>
      </w:pPr>
      <w:r>
        <w:t xml:space="preserve">Tilsvarende vil </w:t>
      </w:r>
      <w:r w:rsidR="007A38E7">
        <w:t xml:space="preserve">en </w:t>
      </w:r>
      <w:r>
        <w:t>reduktion af jollefiskerier i område 47 kunne føre til lukning af flere af de små fabrikker. I de tilfælde</w:t>
      </w:r>
      <w:r w:rsidR="00430EAB">
        <w:t>,</w:t>
      </w:r>
      <w:r>
        <w:t xml:space="preserve"> hvor manden i husholdningen udelukkes fra hellefisk</w:t>
      </w:r>
      <w:r w:rsidR="00977C90">
        <w:t>e</w:t>
      </w:r>
      <w:r>
        <w:t>fiskeriet igennem salget af sin IOK</w:t>
      </w:r>
      <w:r w:rsidR="00977C90">
        <w:t>,</w:t>
      </w:r>
      <w:r>
        <w:t xml:space="preserve"> og ægtefællen arbejder på en fiskefabrik</w:t>
      </w:r>
      <w:r w:rsidR="00430EAB">
        <w:t>,</w:t>
      </w:r>
      <w:r>
        <w:t xml:space="preserve"> vil husholdningen være dobbelt ramt af konsekvenserne af lovforslaget - uden </w:t>
      </w:r>
      <w:r w:rsidRPr="00D97C1B">
        <w:t>realistiske alternative erhvervsmuligheder</w:t>
      </w:r>
      <w:r>
        <w:t xml:space="preserve">. </w:t>
      </w:r>
    </w:p>
    <w:p w14:paraId="148B0707" w14:textId="0DEEF91B" w:rsidR="00FD0612" w:rsidRDefault="00FD0612" w:rsidP="00430EAB">
      <w:pPr>
        <w:pStyle w:val="NormalWeb"/>
        <w:spacing w:before="0" w:beforeAutospacing="0"/>
        <w:jc w:val="both"/>
      </w:pPr>
      <w:r>
        <w:t>Ved at nedprioritere jollefiskeriet</w:t>
      </w:r>
      <w:r w:rsidR="00BD14EA">
        <w:t xml:space="preserve">, </w:t>
      </w:r>
      <w:proofErr w:type="spellStart"/>
      <w:r>
        <w:t>isfiskeret</w:t>
      </w:r>
      <w:proofErr w:type="spellEnd"/>
      <w:r>
        <w:t xml:space="preserve"> og den lokale forarbejdnin</w:t>
      </w:r>
      <w:r w:rsidR="00FE7B58">
        <w:t>g</w:t>
      </w:r>
      <w:r>
        <w:t xml:space="preserve"> </w:t>
      </w:r>
      <w:proofErr w:type="spellStart"/>
      <w:r>
        <w:t>underminnerer</w:t>
      </w:r>
      <w:proofErr w:type="spellEnd"/>
      <w:r>
        <w:t xml:space="preserve"> man samtidig den værditilvækst i det grønlandske fiskeri, der kunne udnyttes gennem branding af </w:t>
      </w:r>
      <w:proofErr w:type="gramStart"/>
      <w:r>
        <w:t>lokal bæredygtigt fiskeri</w:t>
      </w:r>
      <w:proofErr w:type="gramEnd"/>
      <w:r w:rsidR="00BD14EA">
        <w:t>, s</w:t>
      </w:r>
      <w:r>
        <w:t xml:space="preserve">amt de turismemuligheder, der ligger i at besøge levende lokalsamfund. </w:t>
      </w:r>
    </w:p>
    <w:p w14:paraId="12931C9B" w14:textId="6BCDF050" w:rsidR="0084644D" w:rsidRPr="0084644D" w:rsidRDefault="0084644D" w:rsidP="00590760">
      <w:pPr>
        <w:pStyle w:val="NormalWeb"/>
        <w:jc w:val="both"/>
      </w:pPr>
      <w:r>
        <w:t>Det betyder, at lovforslaget kommer til at påvirke hvor og hvordan</w:t>
      </w:r>
      <w:r w:rsidR="00977C90">
        <w:t>,</w:t>
      </w:r>
      <w:r>
        <w:t xml:space="preserve"> man kan leve i fremtidens Grønland. Det er derfor nødvendigt, som en del af høringsprocessen om lovforslaget</w:t>
      </w:r>
      <w:r w:rsidR="008878F4">
        <w:t>,</w:t>
      </w:r>
      <w:r>
        <w:t xml:space="preserve"> at diskutere: </w:t>
      </w:r>
      <w:r w:rsidR="00430EAB">
        <w:t>O</w:t>
      </w:r>
      <w:r>
        <w:t>m man ønsker</w:t>
      </w:r>
      <w:r w:rsidR="00430EAB">
        <w:t>,</w:t>
      </w:r>
      <w:r>
        <w:t xml:space="preserve"> at folk skal bo i de større byer</w:t>
      </w:r>
      <w:r w:rsidR="00430EAB">
        <w:t>,</w:t>
      </w:r>
      <w:r>
        <w:t xml:space="preserve"> eller om der er kvaliteter ved</w:t>
      </w:r>
      <w:r w:rsidR="00430EAB">
        <w:t>,</w:t>
      </w:r>
      <w:r>
        <w:t xml:space="preserve"> at en del af befolkningen bor spredt i mindre bosteder og beskæftiger sig med fiskeri</w:t>
      </w:r>
      <w:r w:rsidR="00977C90">
        <w:t xml:space="preserve"> og fangst</w:t>
      </w:r>
      <w:r>
        <w:t xml:space="preserve">? Hvad betyder </w:t>
      </w:r>
      <w:r w:rsidR="00977C90">
        <w:t>tilknytningen til et bosted</w:t>
      </w:r>
      <w:r w:rsidR="00FE7B58">
        <w:t>,</w:t>
      </w:r>
      <w:r w:rsidR="00977C90">
        <w:t xml:space="preserve"> og hvad betyder det for </w:t>
      </w:r>
      <w:r>
        <w:t>livskvalitet</w:t>
      </w:r>
      <w:r w:rsidR="008878F4">
        <w:t>en</w:t>
      </w:r>
      <w:r w:rsidR="00FD0612">
        <w:t>,</w:t>
      </w:r>
      <w:r w:rsidR="00977C90">
        <w:t xml:space="preserve"> hvis man er tvunget til at flytte</w:t>
      </w:r>
      <w:r>
        <w:t xml:space="preserve">? </w:t>
      </w:r>
      <w:r w:rsidR="00FD0612">
        <w:t xml:space="preserve">Hvad </w:t>
      </w:r>
      <w:r w:rsidR="00977C90">
        <w:t xml:space="preserve">betyder det for </w:t>
      </w:r>
      <w:r>
        <w:t xml:space="preserve">fremtidens jobstruktur og kompetencer? For turismeudviklingen? Alle disse spørgsmål er </w:t>
      </w:r>
      <w:r w:rsidR="008878F4">
        <w:t xml:space="preserve">nemlig i </w:t>
      </w:r>
      <w:r>
        <w:t>spil</w:t>
      </w:r>
      <w:r w:rsidR="00FB2596">
        <w:t xml:space="preserve"> og dermed også den sociale og kulturelle bæredygtighed</w:t>
      </w:r>
      <w:r>
        <w:t xml:space="preserve">, når man ændrer organiseringen af fiskeriet så radikalt som lovforslaget ligger op til. </w:t>
      </w:r>
    </w:p>
    <w:sectPr w:rsidR="0084644D" w:rsidRPr="008464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115"/>
    <w:multiLevelType w:val="hybridMultilevel"/>
    <w:tmpl w:val="BC6AE5D8"/>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DD17430"/>
    <w:multiLevelType w:val="hybridMultilevel"/>
    <w:tmpl w:val="79D414D0"/>
    <w:lvl w:ilvl="0" w:tplc="FFFFFFF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3EAE2B0">
      <w:start w:val="4"/>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787927"/>
    <w:multiLevelType w:val="hybridMultilevel"/>
    <w:tmpl w:val="E4B453EC"/>
    <w:lvl w:ilvl="0" w:tplc="53A2D506">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43B6547D"/>
    <w:multiLevelType w:val="hybridMultilevel"/>
    <w:tmpl w:val="FCAAA7D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6E197F52"/>
    <w:multiLevelType w:val="hybridMultilevel"/>
    <w:tmpl w:val="7E201C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716D25CB"/>
    <w:multiLevelType w:val="hybridMultilevel"/>
    <w:tmpl w:val="1DA24ABC"/>
    <w:lvl w:ilvl="0" w:tplc="FFFFFFFF">
      <w:start w:val="1"/>
      <w:numFmt w:val="decimal"/>
      <w:lvlText w:val="%1."/>
      <w:lvlJc w:val="left"/>
      <w:pPr>
        <w:ind w:left="720" w:hanging="360"/>
      </w:pPr>
    </w:lvl>
    <w:lvl w:ilvl="1" w:tplc="F65CBA96">
      <w:numFmt w:val="bullet"/>
      <w:lvlText w:val="-"/>
      <w:lvlJc w:val="left"/>
      <w:pPr>
        <w:ind w:left="720" w:hanging="360"/>
      </w:pPr>
      <w:rPr>
        <w:rFonts w:ascii="Calibri" w:eastAsiaTheme="minorHAnsi" w:hAnsi="Calibri" w:cs="Calibr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32B0188"/>
    <w:multiLevelType w:val="hybridMultilevel"/>
    <w:tmpl w:val="F9909746"/>
    <w:lvl w:ilvl="0" w:tplc="F65CBA9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7002444">
    <w:abstractNumId w:val="4"/>
  </w:num>
  <w:num w:numId="2" w16cid:durableId="941643585">
    <w:abstractNumId w:val="6"/>
  </w:num>
  <w:num w:numId="3" w16cid:durableId="939989110">
    <w:abstractNumId w:val="4"/>
  </w:num>
  <w:num w:numId="4" w16cid:durableId="696390863">
    <w:abstractNumId w:val="0"/>
  </w:num>
  <w:num w:numId="5" w16cid:durableId="783769176">
    <w:abstractNumId w:val="2"/>
  </w:num>
  <w:num w:numId="6" w16cid:durableId="1064259445">
    <w:abstractNumId w:val="5"/>
  </w:num>
  <w:num w:numId="7" w16cid:durableId="669328456">
    <w:abstractNumId w:val="1"/>
  </w:num>
  <w:num w:numId="8" w16cid:durableId="525753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0MDQzMDIyMbUwNTVQ0lEKTi0uzszPAymwrAUAWJIs7CwAAAA="/>
  </w:docVars>
  <w:rsids>
    <w:rsidRoot w:val="000275D1"/>
    <w:rsid w:val="00001E22"/>
    <w:rsid w:val="00013E2A"/>
    <w:rsid w:val="00015144"/>
    <w:rsid w:val="00022CF6"/>
    <w:rsid w:val="000275D1"/>
    <w:rsid w:val="00030A1E"/>
    <w:rsid w:val="000314C2"/>
    <w:rsid w:val="00032025"/>
    <w:rsid w:val="00036780"/>
    <w:rsid w:val="00036FE4"/>
    <w:rsid w:val="00044794"/>
    <w:rsid w:val="0004717F"/>
    <w:rsid w:val="00055010"/>
    <w:rsid w:val="000573A5"/>
    <w:rsid w:val="0006142A"/>
    <w:rsid w:val="00063088"/>
    <w:rsid w:val="00073AF6"/>
    <w:rsid w:val="0007413A"/>
    <w:rsid w:val="0007486D"/>
    <w:rsid w:val="00075560"/>
    <w:rsid w:val="00084675"/>
    <w:rsid w:val="0009422F"/>
    <w:rsid w:val="0009524E"/>
    <w:rsid w:val="000959B0"/>
    <w:rsid w:val="000A05FC"/>
    <w:rsid w:val="000A0FAF"/>
    <w:rsid w:val="000A3AAC"/>
    <w:rsid w:val="000A3D5A"/>
    <w:rsid w:val="000B0B4B"/>
    <w:rsid w:val="000D063B"/>
    <w:rsid w:val="000D2675"/>
    <w:rsid w:val="000D3418"/>
    <w:rsid w:val="000D59D1"/>
    <w:rsid w:val="000E2EFB"/>
    <w:rsid w:val="000E5C91"/>
    <w:rsid w:val="000E7600"/>
    <w:rsid w:val="001008BC"/>
    <w:rsid w:val="001117DF"/>
    <w:rsid w:val="00116EDE"/>
    <w:rsid w:val="0011725C"/>
    <w:rsid w:val="00117690"/>
    <w:rsid w:val="00121A78"/>
    <w:rsid w:val="00122689"/>
    <w:rsid w:val="00133CD2"/>
    <w:rsid w:val="00134678"/>
    <w:rsid w:val="0013483F"/>
    <w:rsid w:val="00143632"/>
    <w:rsid w:val="0014707C"/>
    <w:rsid w:val="001570A0"/>
    <w:rsid w:val="00157C41"/>
    <w:rsid w:val="00164B44"/>
    <w:rsid w:val="00166BCD"/>
    <w:rsid w:val="00166DC6"/>
    <w:rsid w:val="0016775D"/>
    <w:rsid w:val="00170CA2"/>
    <w:rsid w:val="00186158"/>
    <w:rsid w:val="00195096"/>
    <w:rsid w:val="001A06E6"/>
    <w:rsid w:val="001A38F6"/>
    <w:rsid w:val="001B4BDB"/>
    <w:rsid w:val="001B5A8B"/>
    <w:rsid w:val="001C55DD"/>
    <w:rsid w:val="001C6838"/>
    <w:rsid w:val="001D7060"/>
    <w:rsid w:val="001E62D5"/>
    <w:rsid w:val="001E7439"/>
    <w:rsid w:val="00216097"/>
    <w:rsid w:val="00226981"/>
    <w:rsid w:val="00241027"/>
    <w:rsid w:val="002615E2"/>
    <w:rsid w:val="002617F5"/>
    <w:rsid w:val="00273ACF"/>
    <w:rsid w:val="00277D60"/>
    <w:rsid w:val="00282A52"/>
    <w:rsid w:val="002834AA"/>
    <w:rsid w:val="00285E4F"/>
    <w:rsid w:val="00293798"/>
    <w:rsid w:val="002B36CC"/>
    <w:rsid w:val="002C72C6"/>
    <w:rsid w:val="002C7E7F"/>
    <w:rsid w:val="002E21B5"/>
    <w:rsid w:val="002E227E"/>
    <w:rsid w:val="002F04AD"/>
    <w:rsid w:val="002F4AF4"/>
    <w:rsid w:val="002F58C0"/>
    <w:rsid w:val="003012CB"/>
    <w:rsid w:val="003044F3"/>
    <w:rsid w:val="00312FDA"/>
    <w:rsid w:val="003372F6"/>
    <w:rsid w:val="003408A6"/>
    <w:rsid w:val="00342CAB"/>
    <w:rsid w:val="00342DC0"/>
    <w:rsid w:val="0036602A"/>
    <w:rsid w:val="00371986"/>
    <w:rsid w:val="00376036"/>
    <w:rsid w:val="00380750"/>
    <w:rsid w:val="0038245C"/>
    <w:rsid w:val="00383962"/>
    <w:rsid w:val="00393421"/>
    <w:rsid w:val="003A0B85"/>
    <w:rsid w:val="003D1D07"/>
    <w:rsid w:val="003E56FD"/>
    <w:rsid w:val="003E7098"/>
    <w:rsid w:val="003F083B"/>
    <w:rsid w:val="00400E16"/>
    <w:rsid w:val="004065A5"/>
    <w:rsid w:val="004215D7"/>
    <w:rsid w:val="00430EAB"/>
    <w:rsid w:val="00431754"/>
    <w:rsid w:val="0043746E"/>
    <w:rsid w:val="00444A75"/>
    <w:rsid w:val="00447BBC"/>
    <w:rsid w:val="0045452D"/>
    <w:rsid w:val="00454B21"/>
    <w:rsid w:val="00457C37"/>
    <w:rsid w:val="0047338B"/>
    <w:rsid w:val="00475FD4"/>
    <w:rsid w:val="00486EC6"/>
    <w:rsid w:val="004A6CA8"/>
    <w:rsid w:val="004A7AD0"/>
    <w:rsid w:val="004C1447"/>
    <w:rsid w:val="004C5EAC"/>
    <w:rsid w:val="004C7EDC"/>
    <w:rsid w:val="004D2B10"/>
    <w:rsid w:val="004D6C1C"/>
    <w:rsid w:val="004D7544"/>
    <w:rsid w:val="004E26D4"/>
    <w:rsid w:val="004E4355"/>
    <w:rsid w:val="004E45EA"/>
    <w:rsid w:val="004E5FD5"/>
    <w:rsid w:val="004F5234"/>
    <w:rsid w:val="00502348"/>
    <w:rsid w:val="00503013"/>
    <w:rsid w:val="00511B41"/>
    <w:rsid w:val="00516DE0"/>
    <w:rsid w:val="00525310"/>
    <w:rsid w:val="0054458D"/>
    <w:rsid w:val="00550D60"/>
    <w:rsid w:val="00551CC4"/>
    <w:rsid w:val="00551FB9"/>
    <w:rsid w:val="00557699"/>
    <w:rsid w:val="00563BC2"/>
    <w:rsid w:val="00574ECA"/>
    <w:rsid w:val="00587B6D"/>
    <w:rsid w:val="00590760"/>
    <w:rsid w:val="00590CB0"/>
    <w:rsid w:val="00591D08"/>
    <w:rsid w:val="005A1DE5"/>
    <w:rsid w:val="005A7FE0"/>
    <w:rsid w:val="005B04B8"/>
    <w:rsid w:val="005C019B"/>
    <w:rsid w:val="005C1058"/>
    <w:rsid w:val="00614D52"/>
    <w:rsid w:val="006172C9"/>
    <w:rsid w:val="00630AEC"/>
    <w:rsid w:val="00651513"/>
    <w:rsid w:val="006570A8"/>
    <w:rsid w:val="0065720C"/>
    <w:rsid w:val="006608BE"/>
    <w:rsid w:val="00670C14"/>
    <w:rsid w:val="00673DA6"/>
    <w:rsid w:val="00674C11"/>
    <w:rsid w:val="006835DE"/>
    <w:rsid w:val="006854AD"/>
    <w:rsid w:val="006927E8"/>
    <w:rsid w:val="006B75DC"/>
    <w:rsid w:val="006C1041"/>
    <w:rsid w:val="006C15CF"/>
    <w:rsid w:val="006C39DA"/>
    <w:rsid w:val="006C3C54"/>
    <w:rsid w:val="006C5900"/>
    <w:rsid w:val="006D4CEC"/>
    <w:rsid w:val="006E0E79"/>
    <w:rsid w:val="006E5240"/>
    <w:rsid w:val="006F2B58"/>
    <w:rsid w:val="00701ECC"/>
    <w:rsid w:val="00710408"/>
    <w:rsid w:val="00710CBA"/>
    <w:rsid w:val="00714C2E"/>
    <w:rsid w:val="00733955"/>
    <w:rsid w:val="00735CC3"/>
    <w:rsid w:val="00743318"/>
    <w:rsid w:val="0074475B"/>
    <w:rsid w:val="00746529"/>
    <w:rsid w:val="0075360B"/>
    <w:rsid w:val="00755444"/>
    <w:rsid w:val="0075674B"/>
    <w:rsid w:val="00762E7A"/>
    <w:rsid w:val="007646FE"/>
    <w:rsid w:val="00765ABA"/>
    <w:rsid w:val="00767ECB"/>
    <w:rsid w:val="007759CE"/>
    <w:rsid w:val="007979B0"/>
    <w:rsid w:val="007A198B"/>
    <w:rsid w:val="007A212D"/>
    <w:rsid w:val="007A31AB"/>
    <w:rsid w:val="007A38E7"/>
    <w:rsid w:val="007B01D2"/>
    <w:rsid w:val="007C2178"/>
    <w:rsid w:val="007D43A7"/>
    <w:rsid w:val="007F3B69"/>
    <w:rsid w:val="008005EA"/>
    <w:rsid w:val="008065EB"/>
    <w:rsid w:val="008223AF"/>
    <w:rsid w:val="00824A56"/>
    <w:rsid w:val="00826A64"/>
    <w:rsid w:val="008365B1"/>
    <w:rsid w:val="008412E0"/>
    <w:rsid w:val="008428E0"/>
    <w:rsid w:val="0084644D"/>
    <w:rsid w:val="00864A48"/>
    <w:rsid w:val="008878F4"/>
    <w:rsid w:val="0089006C"/>
    <w:rsid w:val="00895AE5"/>
    <w:rsid w:val="00896F19"/>
    <w:rsid w:val="008A0308"/>
    <w:rsid w:val="008A14E0"/>
    <w:rsid w:val="008A18D2"/>
    <w:rsid w:val="008C7567"/>
    <w:rsid w:val="008D2390"/>
    <w:rsid w:val="00904BF3"/>
    <w:rsid w:val="00913D3E"/>
    <w:rsid w:val="009222EC"/>
    <w:rsid w:val="0092705B"/>
    <w:rsid w:val="00940F4A"/>
    <w:rsid w:val="009423FE"/>
    <w:rsid w:val="00942EA4"/>
    <w:rsid w:val="00952C94"/>
    <w:rsid w:val="00953094"/>
    <w:rsid w:val="00954728"/>
    <w:rsid w:val="00963936"/>
    <w:rsid w:val="009659D9"/>
    <w:rsid w:val="00970C99"/>
    <w:rsid w:val="00977C90"/>
    <w:rsid w:val="00981561"/>
    <w:rsid w:val="00986EA7"/>
    <w:rsid w:val="00993DDE"/>
    <w:rsid w:val="009A0E76"/>
    <w:rsid w:val="009A5B49"/>
    <w:rsid w:val="009B4571"/>
    <w:rsid w:val="009B6841"/>
    <w:rsid w:val="009C199F"/>
    <w:rsid w:val="009E5AB4"/>
    <w:rsid w:val="009F41E0"/>
    <w:rsid w:val="00A134E4"/>
    <w:rsid w:val="00A17311"/>
    <w:rsid w:val="00A20008"/>
    <w:rsid w:val="00A20F99"/>
    <w:rsid w:val="00A21B22"/>
    <w:rsid w:val="00A27B42"/>
    <w:rsid w:val="00A306CF"/>
    <w:rsid w:val="00A3733B"/>
    <w:rsid w:val="00A41985"/>
    <w:rsid w:val="00A450F6"/>
    <w:rsid w:val="00A545C7"/>
    <w:rsid w:val="00A65B4E"/>
    <w:rsid w:val="00A833BE"/>
    <w:rsid w:val="00A87AE6"/>
    <w:rsid w:val="00A90D66"/>
    <w:rsid w:val="00A9176A"/>
    <w:rsid w:val="00AA2074"/>
    <w:rsid w:val="00AA401C"/>
    <w:rsid w:val="00AB1EE8"/>
    <w:rsid w:val="00AC0790"/>
    <w:rsid w:val="00AC3506"/>
    <w:rsid w:val="00AD07AA"/>
    <w:rsid w:val="00AF44E1"/>
    <w:rsid w:val="00AF7440"/>
    <w:rsid w:val="00B021A4"/>
    <w:rsid w:val="00B11637"/>
    <w:rsid w:val="00B12214"/>
    <w:rsid w:val="00B15649"/>
    <w:rsid w:val="00B20052"/>
    <w:rsid w:val="00B23DF5"/>
    <w:rsid w:val="00B41F09"/>
    <w:rsid w:val="00B43314"/>
    <w:rsid w:val="00B46CE6"/>
    <w:rsid w:val="00B5137E"/>
    <w:rsid w:val="00B519E8"/>
    <w:rsid w:val="00B5756A"/>
    <w:rsid w:val="00B64FBD"/>
    <w:rsid w:val="00B6670E"/>
    <w:rsid w:val="00B73F36"/>
    <w:rsid w:val="00B81C05"/>
    <w:rsid w:val="00B834D5"/>
    <w:rsid w:val="00BA016B"/>
    <w:rsid w:val="00BA2C0A"/>
    <w:rsid w:val="00BA53AD"/>
    <w:rsid w:val="00BB1D16"/>
    <w:rsid w:val="00BB3021"/>
    <w:rsid w:val="00BB6631"/>
    <w:rsid w:val="00BC3959"/>
    <w:rsid w:val="00BD0BF1"/>
    <w:rsid w:val="00BD14EA"/>
    <w:rsid w:val="00BD7424"/>
    <w:rsid w:val="00BD7B23"/>
    <w:rsid w:val="00BE187C"/>
    <w:rsid w:val="00BF6DF3"/>
    <w:rsid w:val="00BF7FC6"/>
    <w:rsid w:val="00C03596"/>
    <w:rsid w:val="00C03980"/>
    <w:rsid w:val="00C0461E"/>
    <w:rsid w:val="00C0469F"/>
    <w:rsid w:val="00C11B76"/>
    <w:rsid w:val="00C17440"/>
    <w:rsid w:val="00C2390A"/>
    <w:rsid w:val="00C44C8B"/>
    <w:rsid w:val="00C451FF"/>
    <w:rsid w:val="00C46A00"/>
    <w:rsid w:val="00C57F68"/>
    <w:rsid w:val="00C611C6"/>
    <w:rsid w:val="00C611D9"/>
    <w:rsid w:val="00C71A44"/>
    <w:rsid w:val="00C74453"/>
    <w:rsid w:val="00C832EC"/>
    <w:rsid w:val="00C95400"/>
    <w:rsid w:val="00C95DC0"/>
    <w:rsid w:val="00CB2C8F"/>
    <w:rsid w:val="00CB625A"/>
    <w:rsid w:val="00CC4C5C"/>
    <w:rsid w:val="00CC4CDB"/>
    <w:rsid w:val="00CD1B6A"/>
    <w:rsid w:val="00CE633C"/>
    <w:rsid w:val="00CF0A52"/>
    <w:rsid w:val="00CF2968"/>
    <w:rsid w:val="00CF43F3"/>
    <w:rsid w:val="00D12335"/>
    <w:rsid w:val="00D2254B"/>
    <w:rsid w:val="00D33B1E"/>
    <w:rsid w:val="00D34C0A"/>
    <w:rsid w:val="00D45E34"/>
    <w:rsid w:val="00D47C39"/>
    <w:rsid w:val="00D533D5"/>
    <w:rsid w:val="00D53FCA"/>
    <w:rsid w:val="00D62E4B"/>
    <w:rsid w:val="00D92AAC"/>
    <w:rsid w:val="00DA6C69"/>
    <w:rsid w:val="00DB360C"/>
    <w:rsid w:val="00DB7611"/>
    <w:rsid w:val="00DC29EE"/>
    <w:rsid w:val="00DC2E7A"/>
    <w:rsid w:val="00DD10C9"/>
    <w:rsid w:val="00DE15E1"/>
    <w:rsid w:val="00DF13A9"/>
    <w:rsid w:val="00DF1AE6"/>
    <w:rsid w:val="00E027B0"/>
    <w:rsid w:val="00E068F3"/>
    <w:rsid w:val="00E122C6"/>
    <w:rsid w:val="00E127B0"/>
    <w:rsid w:val="00E1430D"/>
    <w:rsid w:val="00E15DF6"/>
    <w:rsid w:val="00E303C7"/>
    <w:rsid w:val="00E318CC"/>
    <w:rsid w:val="00E335F2"/>
    <w:rsid w:val="00E33BD0"/>
    <w:rsid w:val="00E36AEC"/>
    <w:rsid w:val="00E36EBF"/>
    <w:rsid w:val="00E376B4"/>
    <w:rsid w:val="00E40F72"/>
    <w:rsid w:val="00E435E5"/>
    <w:rsid w:val="00E47478"/>
    <w:rsid w:val="00E53D88"/>
    <w:rsid w:val="00E61A65"/>
    <w:rsid w:val="00E632EF"/>
    <w:rsid w:val="00E648CF"/>
    <w:rsid w:val="00E8278E"/>
    <w:rsid w:val="00E9498B"/>
    <w:rsid w:val="00E97D92"/>
    <w:rsid w:val="00EA7C3E"/>
    <w:rsid w:val="00EB40C1"/>
    <w:rsid w:val="00EB5E7B"/>
    <w:rsid w:val="00EB6F0F"/>
    <w:rsid w:val="00EC18B4"/>
    <w:rsid w:val="00EC2057"/>
    <w:rsid w:val="00ED1B35"/>
    <w:rsid w:val="00ED4B45"/>
    <w:rsid w:val="00ED773A"/>
    <w:rsid w:val="00EE064D"/>
    <w:rsid w:val="00EE16FA"/>
    <w:rsid w:val="00EF04AF"/>
    <w:rsid w:val="00EF41E9"/>
    <w:rsid w:val="00F04A50"/>
    <w:rsid w:val="00F05EA0"/>
    <w:rsid w:val="00F13F39"/>
    <w:rsid w:val="00F170AE"/>
    <w:rsid w:val="00F252C6"/>
    <w:rsid w:val="00F3309C"/>
    <w:rsid w:val="00F37142"/>
    <w:rsid w:val="00F505B3"/>
    <w:rsid w:val="00F55A49"/>
    <w:rsid w:val="00F569A9"/>
    <w:rsid w:val="00F64ECA"/>
    <w:rsid w:val="00F66959"/>
    <w:rsid w:val="00F73C98"/>
    <w:rsid w:val="00F77669"/>
    <w:rsid w:val="00F820BF"/>
    <w:rsid w:val="00F866FC"/>
    <w:rsid w:val="00F932CC"/>
    <w:rsid w:val="00FA360D"/>
    <w:rsid w:val="00FB2596"/>
    <w:rsid w:val="00FC6444"/>
    <w:rsid w:val="00FC7913"/>
    <w:rsid w:val="00FD0612"/>
    <w:rsid w:val="00FD2F90"/>
    <w:rsid w:val="00FD5BB7"/>
    <w:rsid w:val="00FE402F"/>
    <w:rsid w:val="00FE6973"/>
    <w:rsid w:val="00FE7B58"/>
    <w:rsid w:val="00FF1E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32A05"/>
  <w15:chartTrackingRefBased/>
  <w15:docId w15:val="{C4569088-8205-4FE8-A665-7091F68D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5D1"/>
    <w:pPr>
      <w:spacing w:after="0" w:line="240" w:lineRule="auto"/>
    </w:pPr>
    <w:rPr>
      <w:rFonts w:ascii="Calibri" w:hAnsi="Calibri" w:cs="Calibri"/>
      <w:kern w:val="0"/>
      <w:lang w:eastAsia="da-DK"/>
      <w14:ligatures w14:val="none"/>
    </w:rPr>
  </w:style>
  <w:style w:type="paragraph" w:styleId="Heading1">
    <w:name w:val="heading 1"/>
    <w:basedOn w:val="Normal"/>
    <w:next w:val="Normal"/>
    <w:link w:val="Heading1Char"/>
    <w:uiPriority w:val="9"/>
    <w:qFormat/>
    <w:rsid w:val="00164B44"/>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lang w:val="en-US" w:eastAsia="en-US"/>
      <w14:ligatures w14:val="standardContextual"/>
    </w:rPr>
  </w:style>
  <w:style w:type="paragraph" w:styleId="Heading2">
    <w:name w:val="heading 2"/>
    <w:basedOn w:val="Normal"/>
    <w:next w:val="Normal"/>
    <w:link w:val="Heading2Char"/>
    <w:uiPriority w:val="9"/>
    <w:unhideWhenUsed/>
    <w:qFormat/>
    <w:rsid w:val="00430E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5D1"/>
    <w:pPr>
      <w:ind w:left="720"/>
    </w:pPr>
  </w:style>
  <w:style w:type="character" w:customStyle="1" w:styleId="Heading1Char">
    <w:name w:val="Heading 1 Char"/>
    <w:basedOn w:val="DefaultParagraphFont"/>
    <w:link w:val="Heading1"/>
    <w:uiPriority w:val="9"/>
    <w:rsid w:val="00164B44"/>
    <w:rPr>
      <w:rFonts w:asciiTheme="majorHAnsi" w:eastAsiaTheme="majorEastAsia" w:hAnsiTheme="majorHAnsi" w:cstheme="majorBidi"/>
      <w:color w:val="2F5496" w:themeColor="accent1" w:themeShade="BF"/>
      <w:sz w:val="32"/>
      <w:szCs w:val="32"/>
      <w:lang w:val="en-US"/>
    </w:rPr>
  </w:style>
  <w:style w:type="paragraph" w:styleId="NormalWeb">
    <w:name w:val="Normal (Web)"/>
    <w:basedOn w:val="Normal"/>
    <w:uiPriority w:val="99"/>
    <w:unhideWhenUsed/>
    <w:rsid w:val="00164B4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4B44"/>
    <w:rPr>
      <w:sz w:val="16"/>
      <w:szCs w:val="16"/>
    </w:rPr>
  </w:style>
  <w:style w:type="paragraph" w:styleId="CommentText">
    <w:name w:val="annotation text"/>
    <w:basedOn w:val="Normal"/>
    <w:link w:val="CommentTextChar"/>
    <w:uiPriority w:val="99"/>
    <w:unhideWhenUsed/>
    <w:rsid w:val="00164B44"/>
    <w:pPr>
      <w:spacing w:after="160"/>
    </w:pPr>
    <w:rPr>
      <w:rFonts w:asciiTheme="minorHAnsi" w:hAnsiTheme="minorHAnsi" w:cstheme="minorBidi"/>
      <w:kern w:val="2"/>
      <w:sz w:val="20"/>
      <w:szCs w:val="20"/>
      <w:lang w:val="en-US" w:eastAsia="en-US"/>
      <w14:ligatures w14:val="standardContextual"/>
    </w:rPr>
  </w:style>
  <w:style w:type="character" w:customStyle="1" w:styleId="CommentTextChar">
    <w:name w:val="Comment Text Char"/>
    <w:basedOn w:val="DefaultParagraphFont"/>
    <w:link w:val="CommentText"/>
    <w:uiPriority w:val="99"/>
    <w:rsid w:val="00164B44"/>
    <w:rPr>
      <w:sz w:val="20"/>
      <w:szCs w:val="20"/>
      <w:lang w:val="en-US"/>
    </w:rPr>
  </w:style>
  <w:style w:type="paragraph" w:styleId="Revision">
    <w:name w:val="Revision"/>
    <w:hidden/>
    <w:uiPriority w:val="99"/>
    <w:semiHidden/>
    <w:rsid w:val="00400E16"/>
    <w:pPr>
      <w:spacing w:after="0" w:line="240" w:lineRule="auto"/>
    </w:pPr>
    <w:rPr>
      <w:rFonts w:ascii="Calibri" w:hAnsi="Calibri" w:cs="Calibri"/>
      <w:kern w:val="0"/>
      <w:lang w:eastAsia="da-DK"/>
      <w14:ligatures w14:val="none"/>
    </w:rPr>
  </w:style>
  <w:style w:type="paragraph" w:styleId="CommentSubject">
    <w:name w:val="annotation subject"/>
    <w:basedOn w:val="CommentText"/>
    <w:next w:val="CommentText"/>
    <w:link w:val="CommentSubjectChar"/>
    <w:uiPriority w:val="99"/>
    <w:semiHidden/>
    <w:unhideWhenUsed/>
    <w:rsid w:val="00CB2C8F"/>
    <w:pPr>
      <w:spacing w:after="0"/>
    </w:pPr>
    <w:rPr>
      <w:rFonts w:ascii="Calibri" w:hAnsi="Calibri" w:cs="Calibri"/>
      <w:b/>
      <w:bCs/>
      <w:kern w:val="0"/>
      <w:lang w:val="da-DK" w:eastAsia="da-DK"/>
      <w14:ligatures w14:val="none"/>
    </w:rPr>
  </w:style>
  <w:style w:type="character" w:customStyle="1" w:styleId="CommentSubjectChar">
    <w:name w:val="Comment Subject Char"/>
    <w:basedOn w:val="CommentTextChar"/>
    <w:link w:val="CommentSubject"/>
    <w:uiPriority w:val="99"/>
    <w:semiHidden/>
    <w:rsid w:val="00CB2C8F"/>
    <w:rPr>
      <w:rFonts w:ascii="Calibri" w:hAnsi="Calibri" w:cs="Calibri"/>
      <w:b/>
      <w:bCs/>
      <w:kern w:val="0"/>
      <w:sz w:val="20"/>
      <w:szCs w:val="20"/>
      <w:lang w:val="en-US" w:eastAsia="da-DK"/>
      <w14:ligatures w14:val="none"/>
    </w:rPr>
  </w:style>
  <w:style w:type="paragraph" w:styleId="BalloonText">
    <w:name w:val="Balloon Text"/>
    <w:basedOn w:val="Normal"/>
    <w:link w:val="BalloonTextChar"/>
    <w:uiPriority w:val="99"/>
    <w:semiHidden/>
    <w:unhideWhenUsed/>
    <w:rsid w:val="008C75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7567"/>
    <w:rPr>
      <w:rFonts w:ascii="Times New Roman" w:hAnsi="Times New Roman" w:cs="Times New Roman"/>
      <w:kern w:val="0"/>
      <w:sz w:val="18"/>
      <w:szCs w:val="18"/>
      <w:lang w:eastAsia="da-DK"/>
      <w14:ligatures w14:val="none"/>
    </w:rPr>
  </w:style>
  <w:style w:type="table" w:styleId="TableGrid">
    <w:name w:val="Table Grid"/>
    <w:basedOn w:val="TableNormal"/>
    <w:uiPriority w:val="39"/>
    <w:rsid w:val="00BD7B2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7B23"/>
    <w:pPr>
      <w:spacing w:after="200"/>
    </w:pPr>
    <w:rPr>
      <w:rFonts w:asciiTheme="minorHAnsi" w:hAnsiTheme="minorHAnsi" w:cstheme="minorBidi"/>
      <w:i/>
      <w:iCs/>
      <w:color w:val="44546A" w:themeColor="text2"/>
      <w:kern w:val="2"/>
      <w:sz w:val="18"/>
      <w:szCs w:val="18"/>
      <w:lang w:eastAsia="en-US"/>
      <w14:ligatures w14:val="standardContextual"/>
    </w:rPr>
  </w:style>
  <w:style w:type="character" w:customStyle="1" w:styleId="Heading2Char">
    <w:name w:val="Heading 2 Char"/>
    <w:basedOn w:val="DefaultParagraphFont"/>
    <w:link w:val="Heading2"/>
    <w:uiPriority w:val="9"/>
    <w:rsid w:val="00430EAB"/>
    <w:rPr>
      <w:rFonts w:asciiTheme="majorHAnsi" w:eastAsiaTheme="majorEastAsia" w:hAnsiTheme="majorHAnsi" w:cstheme="majorBidi"/>
      <w:color w:val="2F5496" w:themeColor="accent1" w:themeShade="BF"/>
      <w:kern w:val="0"/>
      <w:sz w:val="26"/>
      <w:szCs w:val="26"/>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4750">
      <w:bodyDiv w:val="1"/>
      <w:marLeft w:val="0"/>
      <w:marRight w:val="0"/>
      <w:marTop w:val="0"/>
      <w:marBottom w:val="0"/>
      <w:divBdr>
        <w:top w:val="none" w:sz="0" w:space="0" w:color="auto"/>
        <w:left w:val="none" w:sz="0" w:space="0" w:color="auto"/>
        <w:bottom w:val="none" w:sz="0" w:space="0" w:color="auto"/>
        <w:right w:val="none" w:sz="0" w:space="0" w:color="auto"/>
      </w:divBdr>
    </w:div>
    <w:div w:id="114304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2134</Words>
  <Characters>11805</Characters>
  <Application>Microsoft Office Word</Application>
  <DocSecurity>0</DocSecurity>
  <Lines>236</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Hoffmann</dc:creator>
  <cp:keywords/>
  <dc:description/>
  <cp:lastModifiedBy>Martin Reinhardt Nielsen</cp:lastModifiedBy>
  <cp:revision>3</cp:revision>
  <dcterms:created xsi:type="dcterms:W3CDTF">2023-12-22T17:50:00Z</dcterms:created>
  <dcterms:modified xsi:type="dcterms:W3CDTF">2023-12-22T17:53:00Z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GrammarlyDocumentId">
    <vt:lpwstr>e05601bad0d9446c528bc51aeb56e8d4055f01186f3d7580d4385fb6702e99bd</vt:lpwstr>
  </property>
</Properties>
</file>