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D" w:rsidRPr="00FF5040" w:rsidRDefault="00993A2C" w:rsidP="00993A2C">
      <w:pPr>
        <w:pStyle w:val="PaperTitle"/>
      </w:pPr>
      <w:r w:rsidRPr="00FF5040">
        <w:t>Changing Institutions of knowing – Climate mitigation, craft competences and voc</w:t>
      </w:r>
      <w:r w:rsidRPr="00FF5040">
        <w:t>a</w:t>
      </w:r>
      <w:r w:rsidRPr="00FF5040">
        <w:t>tional training in Denmark</w:t>
      </w:r>
      <w:r w:rsidR="00A96B11" w:rsidRPr="00FF5040">
        <w:fldChar w:fldCharType="begin"/>
      </w:r>
      <w:r w:rsidR="004924DD" w:rsidRPr="00FF5040">
        <w:instrText xml:space="preserve"> TC “</w:instrText>
      </w:r>
      <w:bookmarkStart w:id="0" w:name="_Toc428605112"/>
      <w:bookmarkStart w:id="1" w:name="_Toc428632431"/>
      <w:r w:rsidR="004924DD" w:rsidRPr="00FF5040">
        <w:instrText xml:space="preserve">Title – </w:instrText>
      </w:r>
      <w:bookmarkEnd w:id="0"/>
      <w:bookmarkEnd w:id="1"/>
      <w:r w:rsidR="004924DD" w:rsidRPr="00FF5040">
        <w:instrText>A</w:instrText>
      </w:r>
      <w:r w:rsidR="004924DD" w:rsidRPr="00FF5040">
        <w:instrText>u</w:instrText>
      </w:r>
      <w:r w:rsidR="004924DD" w:rsidRPr="00FF5040">
        <w:instrText>thors” \f “s” \l 2</w:instrText>
      </w:r>
      <w:r w:rsidR="00A96B11" w:rsidRPr="00FF5040">
        <w:fldChar w:fldCharType="end"/>
      </w:r>
    </w:p>
    <w:p w:rsidR="004924DD" w:rsidRPr="00FF5040" w:rsidRDefault="00191657">
      <w:pPr>
        <w:pStyle w:val="Author"/>
      </w:pPr>
      <w:r w:rsidRPr="00FF5040">
        <w:t>Christian Koch</w:t>
      </w:r>
      <w:r w:rsidR="004924DD" w:rsidRPr="00FF5040">
        <w:rPr>
          <w:rStyle w:val="Fodnotehenvisning"/>
        </w:rPr>
        <w:footnoteReference w:id="1"/>
      </w:r>
      <w:r w:rsidRPr="00FF5040">
        <w:t xml:space="preserve"> and Niels Haldor Bertelsen</w:t>
      </w:r>
      <w:r w:rsidR="00A96B11" w:rsidRPr="00FF5040">
        <w:rPr>
          <w:vertAlign w:val="superscript"/>
        </w:rPr>
        <w:fldChar w:fldCharType="begin"/>
      </w:r>
      <w:r w:rsidR="004924DD" w:rsidRPr="00FF5040">
        <w:rPr>
          <w:vertAlign w:val="superscript"/>
        </w:rPr>
        <w:instrText xml:space="preserve"> XE "Author 1" \f “a”</w:instrText>
      </w:r>
      <w:r w:rsidR="00A96B11" w:rsidRPr="00FF5040">
        <w:rPr>
          <w:vertAlign w:val="superscript"/>
        </w:rPr>
        <w:fldChar w:fldCharType="end"/>
      </w:r>
      <w:r w:rsidR="00A96B11" w:rsidRPr="00FF5040">
        <w:rPr>
          <w:vertAlign w:val="superscript"/>
        </w:rPr>
        <w:fldChar w:fldCharType="begin"/>
      </w:r>
      <w:r w:rsidR="004924DD" w:rsidRPr="00FF5040">
        <w:rPr>
          <w:vertAlign w:val="superscript"/>
        </w:rPr>
        <w:instrText xml:space="preserve"> XE "Author 2 " \f “a”</w:instrText>
      </w:r>
      <w:r w:rsidR="00A96B11" w:rsidRPr="00FF5040">
        <w:rPr>
          <w:vertAlign w:val="superscript"/>
        </w:rPr>
        <w:fldChar w:fldCharType="end"/>
      </w:r>
      <w:r w:rsidR="004924DD" w:rsidRPr="00FF5040">
        <w:rPr>
          <w:vertAlign w:val="superscript"/>
        </w:rPr>
        <w:t>2</w:t>
      </w:r>
    </w:p>
    <w:p w:rsidR="004924DD" w:rsidRPr="00FF5040" w:rsidRDefault="004924DD">
      <w:pPr>
        <w:pStyle w:val="Address"/>
      </w:pPr>
      <w:r w:rsidRPr="00FF5040">
        <w:rPr>
          <w:vertAlign w:val="superscript"/>
        </w:rPr>
        <w:t xml:space="preserve">1 </w:t>
      </w:r>
      <w:r w:rsidR="00191657" w:rsidRPr="00FF5040">
        <w:t xml:space="preserve">Chalmers University of Technology, Sven </w:t>
      </w:r>
      <w:proofErr w:type="spellStart"/>
      <w:r w:rsidR="00191657" w:rsidRPr="00FF5040">
        <w:t>Hultins</w:t>
      </w:r>
      <w:proofErr w:type="spellEnd"/>
      <w:r w:rsidR="00191657" w:rsidRPr="00FF5040">
        <w:t xml:space="preserve"> </w:t>
      </w:r>
      <w:proofErr w:type="spellStart"/>
      <w:r w:rsidR="00191657" w:rsidRPr="00FF5040">
        <w:t>Gatan</w:t>
      </w:r>
      <w:proofErr w:type="spellEnd"/>
      <w:r w:rsidR="00191657" w:rsidRPr="00FF5040">
        <w:t xml:space="preserve"> 8, </w:t>
      </w:r>
      <w:proofErr w:type="spellStart"/>
      <w:r w:rsidR="00191657" w:rsidRPr="00FF5040">
        <w:t>Göteborg</w:t>
      </w:r>
      <w:proofErr w:type="spellEnd"/>
    </w:p>
    <w:p w:rsidR="004924DD" w:rsidRPr="00FF5040" w:rsidRDefault="004924DD">
      <w:pPr>
        <w:pStyle w:val="Address"/>
      </w:pPr>
      <w:r w:rsidRPr="00FF5040">
        <w:rPr>
          <w:vertAlign w:val="superscript"/>
        </w:rPr>
        <w:t xml:space="preserve">2 </w:t>
      </w:r>
      <w:r w:rsidR="000C6D37" w:rsidRPr="00FF5040">
        <w:t xml:space="preserve">Danish Building Research Institute, Aalborg University Copenhagen, </w:t>
      </w:r>
      <w:r w:rsidR="00FF2FD4" w:rsidRPr="00FF5040">
        <w:t xml:space="preserve">A. C. Meyers </w:t>
      </w:r>
      <w:proofErr w:type="spellStart"/>
      <w:r w:rsidR="00FF2FD4" w:rsidRPr="00FF5040">
        <w:t>Vaenge</w:t>
      </w:r>
      <w:proofErr w:type="spellEnd"/>
      <w:r w:rsidR="00FF2FD4" w:rsidRPr="00FF5040">
        <w:t xml:space="preserve"> 15, DK-2450 Copenhagen SV</w:t>
      </w:r>
    </w:p>
    <w:p w:rsidR="00191657" w:rsidRPr="00FF5040" w:rsidRDefault="00191657" w:rsidP="00191657">
      <w:pPr>
        <w:pStyle w:val="Abstract"/>
      </w:pPr>
      <w:r w:rsidRPr="00FF5040">
        <w:t>In order to reach the EU 2020 goals for the climate, Danish vocational training units are currently in a process of institutional change triggered by the need of providing energy</w:t>
      </w:r>
      <w:r w:rsidR="00FB6BC2">
        <w:t>,</w:t>
      </w:r>
      <w:r w:rsidRPr="00FF5040">
        <w:t xml:space="preserve"> and </w:t>
      </w:r>
      <w:r w:rsidR="009F11D4">
        <w:t xml:space="preserve">new process </w:t>
      </w:r>
      <w:r w:rsidRPr="00FF5040">
        <w:t xml:space="preserve">competences for the skilled and semiskilled workforce active in construction. The aim of the present paper is to </w:t>
      </w:r>
      <w:proofErr w:type="spellStart"/>
      <w:r w:rsidRPr="00FF5040">
        <w:t>analyze</w:t>
      </w:r>
      <w:proofErr w:type="spellEnd"/>
      <w:r w:rsidRPr="00FF5040">
        <w:t xml:space="preserve"> enablers and barriers for this institutional change. The vocational education system in Denmark is strongly i</w:t>
      </w:r>
      <w:r w:rsidRPr="00FF5040">
        <w:t>n</w:t>
      </w:r>
      <w:r w:rsidRPr="00FF5040">
        <w:t xml:space="preserve">stitutionalised with unions, employer’s associations and the schools in central roles. Drawing on institutional theory contributions on labour market -, educational - and professional institutions, the paper presents a study of institutional work inside and across schools and craft disciplines </w:t>
      </w:r>
      <w:r w:rsidR="00D72308">
        <w:t>working in</w:t>
      </w:r>
      <w:r w:rsidRPr="00FF5040">
        <w:t xml:space="preserve"> SMEs involved in new buil</w:t>
      </w:r>
      <w:r w:rsidR="00D72308">
        <w:t>ding</w:t>
      </w:r>
      <w:r w:rsidRPr="00FF5040">
        <w:t xml:space="preserve"> and renovation with an energy aspect. </w:t>
      </w:r>
      <w:r w:rsidR="00D72308">
        <w:t>C</w:t>
      </w:r>
      <w:r w:rsidRPr="00FF5040">
        <w:t xml:space="preserve">ollaboration </w:t>
      </w:r>
      <w:r w:rsidR="00D72308">
        <w:t xml:space="preserve">between four </w:t>
      </w:r>
      <w:r w:rsidRPr="00FF5040">
        <w:t xml:space="preserve">education committees for carpenters, masons, electricians and plumbers </w:t>
      </w:r>
      <w:r w:rsidR="00D72308">
        <w:t>and interviews with seven comp</w:t>
      </w:r>
      <w:r w:rsidR="00D72308">
        <w:t>a</w:t>
      </w:r>
      <w:r w:rsidR="00D72308">
        <w:t xml:space="preserve">nies </w:t>
      </w:r>
      <w:r w:rsidRPr="00FF5040">
        <w:t xml:space="preserve">come to focus on competences of </w:t>
      </w:r>
      <w:r w:rsidR="004D0737" w:rsidRPr="00FF5040">
        <w:t>inter</w:t>
      </w:r>
      <w:r w:rsidRPr="00FF5040">
        <w:t>disciplinary collaboration and sustainable innovation</w:t>
      </w:r>
      <w:r w:rsidR="00D72308">
        <w:t xml:space="preserve"> in SME</w:t>
      </w:r>
      <w:r w:rsidRPr="00FF5040">
        <w:t xml:space="preserve">. The anticipation of future </w:t>
      </w:r>
      <w:r w:rsidR="00D72308">
        <w:t xml:space="preserve">building </w:t>
      </w:r>
      <w:r w:rsidRPr="00FF5040">
        <w:t>regulation of 2015 and 2020 creates an institutional pressure in education for change including handling different</w:t>
      </w:r>
      <w:r w:rsidRPr="00FF5040">
        <w:t>i</w:t>
      </w:r>
      <w:r w:rsidRPr="00FF5040">
        <w:t>ated demands of customers and contractors, not always just following regulation but occasionally ahead of it.</w:t>
      </w:r>
      <w:r w:rsidR="004D0737" w:rsidRPr="00FF5040">
        <w:t xml:space="preserve"> </w:t>
      </w:r>
      <w:r w:rsidRPr="00FF5040">
        <w:t xml:space="preserve">At a time this needs to be balanced with customer needs with a comfort orientation and issues of cost and financing. </w:t>
      </w:r>
      <w:r w:rsidR="00802FBF">
        <w:t>The committees act in a co</w:t>
      </w:r>
      <w:r w:rsidR="00802FBF">
        <w:t>n</w:t>
      </w:r>
      <w:r w:rsidR="00802FBF">
        <w:t xml:space="preserve">tradictory, sometimes conservative manner in this change of institutions of knowing.  </w:t>
      </w:r>
      <w:r w:rsidR="004D0737" w:rsidRPr="00FF5040">
        <w:t xml:space="preserve">In the future </w:t>
      </w:r>
      <w:r w:rsidR="006A0CAB">
        <w:t>specialization</w:t>
      </w:r>
      <w:r w:rsidR="00D72308">
        <w:t xml:space="preserve"> </w:t>
      </w:r>
      <w:r w:rsidR="004D0737" w:rsidRPr="00FF5040">
        <w:t>will</w:t>
      </w:r>
      <w:r w:rsidR="005B4E4C">
        <w:t xml:space="preserve"> be supplemented by</w:t>
      </w:r>
      <w:r w:rsidR="004D0737" w:rsidRPr="00FF5040">
        <w:t xml:space="preserve"> horizontal and vertical interdisc</w:t>
      </w:r>
      <w:r w:rsidR="004D0737" w:rsidRPr="00FF5040">
        <w:t>i</w:t>
      </w:r>
      <w:r w:rsidR="004D0737" w:rsidRPr="00FF5040">
        <w:t xml:space="preserve">plinary and </w:t>
      </w:r>
      <w:r w:rsidR="001C298E" w:rsidRPr="00FF5040">
        <w:t xml:space="preserve">innovative </w:t>
      </w:r>
      <w:r w:rsidR="004D0737" w:rsidRPr="00FF5040">
        <w:t>competences</w:t>
      </w:r>
      <w:r w:rsidR="008A7BC6">
        <w:t xml:space="preserve"> </w:t>
      </w:r>
      <w:r w:rsidR="00802FBF">
        <w:t xml:space="preserve">integrating the </w:t>
      </w:r>
      <w:r w:rsidR="004D0737" w:rsidRPr="00FF5040">
        <w:t xml:space="preserve">complex </w:t>
      </w:r>
      <w:r w:rsidR="005B4E4C">
        <w:t xml:space="preserve">process industrialized </w:t>
      </w:r>
      <w:r w:rsidR="004D0737" w:rsidRPr="00FF5040">
        <w:t xml:space="preserve">construction sector. Schools, teachers and digital teaching materials </w:t>
      </w:r>
      <w:r w:rsidR="00802FBF">
        <w:t>need</w:t>
      </w:r>
      <w:r w:rsidR="004D0737" w:rsidRPr="00FF5040">
        <w:t xml:space="preserve"> be deve</w:t>
      </w:r>
      <w:r w:rsidR="004D0737" w:rsidRPr="00FF5040">
        <w:t>l</w:t>
      </w:r>
      <w:r w:rsidR="004D0737" w:rsidRPr="00FF5040">
        <w:t>oped to support this change supported by front running companies</w:t>
      </w:r>
      <w:r w:rsidR="005B4E4C">
        <w:t xml:space="preserve"> and results from innovative building projects</w:t>
      </w:r>
      <w:r w:rsidR="004D0737" w:rsidRPr="00FF5040">
        <w:t xml:space="preserve">. The </w:t>
      </w:r>
      <w:r w:rsidR="00E801D8">
        <w:t>education</w:t>
      </w:r>
      <w:r w:rsidR="00E801D8" w:rsidRPr="00FF5040">
        <w:t xml:space="preserve"> </w:t>
      </w:r>
      <w:r w:rsidR="004D0737" w:rsidRPr="00FF5040">
        <w:t xml:space="preserve">committees </w:t>
      </w:r>
      <w:r w:rsidR="005B4E4C">
        <w:t xml:space="preserve">in Denmark </w:t>
      </w:r>
      <w:r w:rsidR="00802FBF">
        <w:t xml:space="preserve">can </w:t>
      </w:r>
      <w:r w:rsidR="004D0737" w:rsidRPr="00FF5040">
        <w:t>have a lea</w:t>
      </w:r>
      <w:r w:rsidR="004D0737" w:rsidRPr="00FF5040">
        <w:t>d</w:t>
      </w:r>
      <w:r w:rsidR="004D0737" w:rsidRPr="00FF5040">
        <w:t>ing role in this development and set high and motivational standards for the i</w:t>
      </w:r>
      <w:r w:rsidR="004D0737" w:rsidRPr="00FF5040">
        <w:t>m</w:t>
      </w:r>
      <w:r w:rsidR="004D0737" w:rsidRPr="00FF5040">
        <w:t>pro</w:t>
      </w:r>
      <w:r w:rsidR="00E801D8">
        <w:softHyphen/>
      </w:r>
      <w:r w:rsidR="004D0737" w:rsidRPr="00FF5040">
        <w:t xml:space="preserve">vements. The analysis sees </w:t>
      </w:r>
      <w:r w:rsidR="00802FBF">
        <w:t xml:space="preserve">however </w:t>
      </w:r>
      <w:r w:rsidR="004D0737" w:rsidRPr="00FF5040">
        <w:t>a lot more barriers than enablers.</w:t>
      </w:r>
    </w:p>
    <w:p w:rsidR="004924DD" w:rsidRPr="00FF5040" w:rsidRDefault="00191657">
      <w:pPr>
        <w:pStyle w:val="Keywords"/>
      </w:pPr>
      <w:r w:rsidRPr="00FF5040">
        <w:t>Keywords: Competences, craft, vocational training, energy, climate</w:t>
      </w:r>
      <w:r w:rsidR="005B4E4C">
        <w:t>, indust</w:t>
      </w:r>
      <w:r w:rsidR="006A0CAB">
        <w:t>r</w:t>
      </w:r>
      <w:r w:rsidR="005B4E4C">
        <w:t>ialization.</w:t>
      </w:r>
    </w:p>
    <w:p w:rsidR="004924DD" w:rsidRPr="00FF5040" w:rsidRDefault="004924DD">
      <w:pPr>
        <w:pStyle w:val="SectionHeading"/>
      </w:pPr>
      <w:r w:rsidRPr="00FF5040">
        <w:t>Introduction</w:t>
      </w:r>
    </w:p>
    <w:p w:rsidR="004924DD" w:rsidRPr="00FF5040" w:rsidRDefault="004237F6" w:rsidP="00690436">
      <w:r w:rsidRPr="00FF5040">
        <w:t xml:space="preserve">The societal task of renovating the existing building stock in Europe to meet the commissions climate targets for 2020 is tantamount </w:t>
      </w:r>
      <w:r w:rsidR="009D4AA5" w:rsidRPr="00FF5040">
        <w:t>(</w:t>
      </w:r>
      <w:proofErr w:type="spellStart"/>
      <w:r w:rsidR="009D4AA5" w:rsidRPr="00FF5040">
        <w:t>Næss</w:t>
      </w:r>
      <w:proofErr w:type="spellEnd"/>
      <w:r w:rsidR="009D4AA5" w:rsidRPr="00FF5040">
        <w:t>-Schmidt et al., 2012) and it is recognized that the development requires not only financial investment and tec</w:t>
      </w:r>
      <w:r w:rsidR="009D4AA5" w:rsidRPr="00FF5040">
        <w:t>h</w:t>
      </w:r>
      <w:r w:rsidR="009D4AA5" w:rsidRPr="00FF5040">
        <w:t>nology, but also competences (</w:t>
      </w:r>
      <w:proofErr w:type="spellStart"/>
      <w:r w:rsidR="00C24C93" w:rsidRPr="00FF5040">
        <w:t>Forsingdal</w:t>
      </w:r>
      <w:proofErr w:type="spellEnd"/>
      <w:r w:rsidR="00C24C93" w:rsidRPr="00FF5040">
        <w:t xml:space="preserve"> et al 2012</w:t>
      </w:r>
      <w:r w:rsidR="009D4AA5" w:rsidRPr="00FF5040">
        <w:t>)</w:t>
      </w:r>
      <w:r w:rsidR="00C24C93" w:rsidRPr="00FF5040">
        <w:t>. In August 2013 the Danish go</w:t>
      </w:r>
      <w:r w:rsidR="00C24C93" w:rsidRPr="00FF5040">
        <w:t>v</w:t>
      </w:r>
      <w:r w:rsidR="00C24C93" w:rsidRPr="00FF5040">
        <w:t xml:space="preserve">ernment </w:t>
      </w:r>
      <w:r w:rsidR="008A7BC6">
        <w:t>decided</w:t>
      </w:r>
      <w:r w:rsidR="00C24C93" w:rsidRPr="00FF5040">
        <w:t xml:space="preserve"> to reduce emissions of greenhouse gases by 40 % from 1990 to 2020. The government </w:t>
      </w:r>
      <w:r w:rsidR="00690436" w:rsidRPr="00FF5040">
        <w:t>expects</w:t>
      </w:r>
      <w:r w:rsidR="00C24C93" w:rsidRPr="00FF5040">
        <w:t xml:space="preserve"> this ambitious Danish climate plan can be combined with successful economic dev</w:t>
      </w:r>
      <w:r w:rsidR="00690436" w:rsidRPr="00FF5040">
        <w:t>elopment and</w:t>
      </w:r>
      <w:r w:rsidR="00E801D8">
        <w:t xml:space="preserve"> a</w:t>
      </w:r>
      <w:r w:rsidR="00DB6E10">
        <w:t xml:space="preserve"> </w:t>
      </w:r>
      <w:proofErr w:type="gramStart"/>
      <w:r w:rsidR="008A7BC6">
        <w:t>conducive</w:t>
      </w:r>
      <w:proofErr w:type="gramEnd"/>
      <w:r w:rsidR="00690436" w:rsidRPr="00FF5040">
        <w:t xml:space="preserve"> frame</w:t>
      </w:r>
      <w:r w:rsidR="00C24C93" w:rsidRPr="00FF5040">
        <w:t>work for i</w:t>
      </w:r>
      <w:r w:rsidR="00690436" w:rsidRPr="00FF5040">
        <w:t>ndustry</w:t>
      </w:r>
      <w:r w:rsidR="00C24C93" w:rsidRPr="00FF5040">
        <w:t xml:space="preserve">. </w:t>
      </w:r>
      <w:r w:rsidR="00690436" w:rsidRPr="00FF5040">
        <w:t xml:space="preserve">For new </w:t>
      </w:r>
      <w:r w:rsidR="00690436" w:rsidRPr="00FF5040">
        <w:lastRenderedPageBreak/>
        <w:t>buil</w:t>
      </w:r>
      <w:r w:rsidR="00FB6BC2">
        <w:t>dings</w:t>
      </w:r>
      <w:r w:rsidR="00690436" w:rsidRPr="00FF5040">
        <w:t xml:space="preserve"> The Danish Building Regulative 2020 </w:t>
      </w:r>
      <w:r w:rsidR="00FB6BC2">
        <w:t xml:space="preserve">will </w:t>
      </w:r>
      <w:r w:rsidR="00690436" w:rsidRPr="00FF5040">
        <w:t>require maximum gross e</w:t>
      </w:r>
      <w:r w:rsidR="00690436" w:rsidRPr="00FF5040">
        <w:t>n</w:t>
      </w:r>
      <w:r w:rsidR="00690436" w:rsidRPr="00FF5040">
        <w:t xml:space="preserve">ergy consumption at 20-25 kWh/m2 per year (an implementation of </w:t>
      </w:r>
      <w:r w:rsidR="00FB6BC2">
        <w:t xml:space="preserve">the </w:t>
      </w:r>
      <w:r w:rsidR="00690436" w:rsidRPr="00FF5040">
        <w:t xml:space="preserve">EU </w:t>
      </w:r>
      <w:r w:rsidR="00FB6BC2">
        <w:t>near zero ca</w:t>
      </w:r>
      <w:r w:rsidR="00FB6BC2">
        <w:t>r</w:t>
      </w:r>
      <w:r w:rsidR="00FB6BC2">
        <w:t xml:space="preserve">bon </w:t>
      </w:r>
      <w:proofErr w:type="gramStart"/>
      <w:r w:rsidR="00FB6BC2">
        <w:t>directive</w:t>
      </w:r>
      <w:proofErr w:type="gramEnd"/>
      <w:r w:rsidR="00690436" w:rsidRPr="00FF5040">
        <w:t>)</w:t>
      </w:r>
      <w:r w:rsidR="00FE1745" w:rsidRPr="00FF5040">
        <w:t>.</w:t>
      </w:r>
      <w:r w:rsidR="00690436" w:rsidRPr="00FF5040">
        <w:t xml:space="preserve"> </w:t>
      </w:r>
      <w:r w:rsidR="00C24C93" w:rsidRPr="00FF5040">
        <w:t xml:space="preserve">One of the </w:t>
      </w:r>
      <w:r w:rsidR="00690436" w:rsidRPr="00FF5040">
        <w:t xml:space="preserve">energy renovation </w:t>
      </w:r>
      <w:r w:rsidR="00C24C93" w:rsidRPr="00FF5040">
        <w:t>initiatives is conversion of oil and natural gas boilers in existing buildings to rene</w:t>
      </w:r>
      <w:r w:rsidR="00690436" w:rsidRPr="00FF5040">
        <w:t>wable energy. Another</w:t>
      </w:r>
      <w:r w:rsidR="00C24C93" w:rsidRPr="00FF5040">
        <w:t xml:space="preserve"> is to reduce energy consumption in</w:t>
      </w:r>
      <w:r w:rsidR="00FE1745" w:rsidRPr="00FF5040">
        <w:t xml:space="preserve"> the building stock</w:t>
      </w:r>
      <w:r w:rsidR="00C24C93" w:rsidRPr="00FF5040">
        <w:t xml:space="preserve">. </w:t>
      </w:r>
      <w:proofErr w:type="spellStart"/>
      <w:r w:rsidR="00690436" w:rsidRPr="00FF5040">
        <w:t>Forsingdal</w:t>
      </w:r>
      <w:proofErr w:type="spellEnd"/>
      <w:r w:rsidR="00690436" w:rsidRPr="00FF5040">
        <w:t xml:space="preserve"> et al (2012) calculate </w:t>
      </w:r>
      <w:r w:rsidR="00FE1745" w:rsidRPr="00FF5040">
        <w:t xml:space="preserve">the </w:t>
      </w:r>
      <w:r w:rsidR="00690436" w:rsidRPr="00FF5040">
        <w:t xml:space="preserve">need </w:t>
      </w:r>
      <w:r w:rsidR="00FE1745" w:rsidRPr="00FF5040">
        <w:t xml:space="preserve">for </w:t>
      </w:r>
      <w:r w:rsidR="00B86122">
        <w:t>l</w:t>
      </w:r>
      <w:r w:rsidR="00B86122">
        <w:t>a</w:t>
      </w:r>
      <w:r w:rsidR="00B86122">
        <w:t>bour</w:t>
      </w:r>
      <w:r w:rsidR="00690436" w:rsidRPr="00FF5040">
        <w:t xml:space="preserve"> to meet these new demands </w:t>
      </w:r>
      <w:r w:rsidR="00B86122">
        <w:t>at</w:t>
      </w:r>
      <w:r w:rsidR="00690436" w:rsidRPr="00FF5040">
        <w:t xml:space="preserve"> 6</w:t>
      </w:r>
      <w:r w:rsidR="00C00A34">
        <w:t>-</w:t>
      </w:r>
      <w:r w:rsidR="00690436" w:rsidRPr="00FF5040">
        <w:t>13</w:t>
      </w:r>
      <w:r w:rsidR="00C00A34">
        <w:t>,</w:t>
      </w:r>
      <w:r w:rsidR="00690436" w:rsidRPr="00FF5040">
        <w:t xml:space="preserve">000 </w:t>
      </w:r>
      <w:r w:rsidR="00C00A34">
        <w:t xml:space="preserve">workers </w:t>
      </w:r>
      <w:r w:rsidR="00690436" w:rsidRPr="00FF5040">
        <w:t xml:space="preserve">compared to </w:t>
      </w:r>
      <w:r w:rsidR="00B86122">
        <w:t>the</w:t>
      </w:r>
      <w:r w:rsidR="00690436" w:rsidRPr="00FF5040">
        <w:t xml:space="preserve"> </w:t>
      </w:r>
      <w:r w:rsidR="00C00A34">
        <w:t xml:space="preserve">total </w:t>
      </w:r>
      <w:r w:rsidR="00690436" w:rsidRPr="00FF5040">
        <w:t>emplo</w:t>
      </w:r>
      <w:r w:rsidR="00690436" w:rsidRPr="00FF5040">
        <w:t>y</w:t>
      </w:r>
      <w:r w:rsidR="00690436" w:rsidRPr="00FF5040">
        <w:t>ment in construction at around 150</w:t>
      </w:r>
      <w:r w:rsidR="0000579A">
        <w:t>,</w:t>
      </w:r>
      <w:r w:rsidR="00690436" w:rsidRPr="00FF5040">
        <w:t>000. Moreover Bertelsen et al (2013) point</w:t>
      </w:r>
      <w:r w:rsidR="009D2D6C">
        <w:t>ed</w:t>
      </w:r>
      <w:r w:rsidR="00690436" w:rsidRPr="00FF5040">
        <w:t xml:space="preserve"> at the </w:t>
      </w:r>
      <w:r w:rsidR="0000579A">
        <w:t xml:space="preserve">need </w:t>
      </w:r>
      <w:r w:rsidR="00FE1745" w:rsidRPr="00FF5040">
        <w:t xml:space="preserve">to meet the requirement from new </w:t>
      </w:r>
      <w:r w:rsidR="009D2D6C">
        <w:t xml:space="preserve">process </w:t>
      </w:r>
      <w:r w:rsidR="00FE1745" w:rsidRPr="00FF5040">
        <w:t>industrialization</w:t>
      </w:r>
      <w:r w:rsidR="002B02DD" w:rsidRPr="00FF5040">
        <w:t xml:space="preserve"> changing the co</w:t>
      </w:r>
      <w:r w:rsidR="002B02DD" w:rsidRPr="00FF5040">
        <w:t>n</w:t>
      </w:r>
      <w:r w:rsidR="002B02DD" w:rsidRPr="00FF5040">
        <w:t xml:space="preserve">struction </w:t>
      </w:r>
      <w:r w:rsidR="0000579A">
        <w:t>process</w:t>
      </w:r>
      <w:r w:rsidR="002B02DD" w:rsidRPr="00FF5040">
        <w:t xml:space="preserve"> in Denmark</w:t>
      </w:r>
      <w:r w:rsidR="00690436" w:rsidRPr="00FF5040">
        <w:t>.</w:t>
      </w:r>
      <w:r w:rsidRPr="00FF5040">
        <w:t xml:space="preserve"> </w:t>
      </w:r>
    </w:p>
    <w:p w:rsidR="004237F6" w:rsidRPr="00FF5040" w:rsidRDefault="004237F6">
      <w:r w:rsidRPr="00FF5040">
        <w:t xml:space="preserve">The aim of the present paper is to </w:t>
      </w:r>
      <w:proofErr w:type="spellStart"/>
      <w:r w:rsidRPr="00FF5040">
        <w:t>analyze</w:t>
      </w:r>
      <w:proofErr w:type="spellEnd"/>
      <w:r w:rsidRPr="00FF5040">
        <w:t xml:space="preserve"> enablers and barriers for this institutional change</w:t>
      </w:r>
      <w:r w:rsidR="002B02DD" w:rsidRPr="00FF5040">
        <w:t xml:space="preserve"> </w:t>
      </w:r>
      <w:r w:rsidR="004919B3">
        <w:t xml:space="preserve">of energy and </w:t>
      </w:r>
      <w:r w:rsidR="002B02DD" w:rsidRPr="00FF5040">
        <w:t xml:space="preserve">new </w:t>
      </w:r>
      <w:r w:rsidR="0000579A">
        <w:t xml:space="preserve">process </w:t>
      </w:r>
      <w:r w:rsidR="002B02DD" w:rsidRPr="00FF5040">
        <w:t>industrialization</w:t>
      </w:r>
      <w:r w:rsidRPr="00FF5040">
        <w:t xml:space="preserve">. Two main </w:t>
      </w:r>
      <w:r w:rsidR="004919B3">
        <w:t xml:space="preserve">institutional </w:t>
      </w:r>
      <w:r w:rsidRPr="00FF5040">
        <w:t>processes are discerned; from within the vocational training system itself and from the comp</w:t>
      </w:r>
      <w:r w:rsidRPr="00FF5040">
        <w:t>a</w:t>
      </w:r>
      <w:r w:rsidRPr="00FF5040">
        <w:t>nies working in the emerging energy renovation market.</w:t>
      </w:r>
    </w:p>
    <w:p w:rsidR="004237F6" w:rsidRPr="00FF5040" w:rsidRDefault="004237F6">
      <w:r w:rsidRPr="00FF5040">
        <w:t>The vocational education system in Denmark is strongly institutionalised with unions, employer’s associations and the schools in central roles</w:t>
      </w:r>
      <w:r w:rsidR="00690436" w:rsidRPr="00FF5040">
        <w:t xml:space="preserve"> (Koch 2013)</w:t>
      </w:r>
      <w:r w:rsidRPr="00FF5040">
        <w:t>. Drawing on i</w:t>
      </w:r>
      <w:r w:rsidRPr="00FF5040">
        <w:t>n</w:t>
      </w:r>
      <w:r w:rsidRPr="00FF5040">
        <w:t>stitutional theory contributions on labour market -, educational - and professional i</w:t>
      </w:r>
      <w:r w:rsidRPr="00FF5040">
        <w:t>n</w:t>
      </w:r>
      <w:r w:rsidRPr="00FF5040">
        <w:t xml:space="preserve">stitutions the paper presents a study of institutional work </w:t>
      </w:r>
      <w:r w:rsidR="00FE256F">
        <w:t xml:space="preserve">(Lawrence et al 2009) </w:t>
      </w:r>
      <w:r w:rsidRPr="00FF5040">
        <w:t>inside and across schools and craft disciplines as well as in energy oriented craft. Interviews with seven com</w:t>
      </w:r>
      <w:r w:rsidR="004732EA">
        <w:softHyphen/>
      </w:r>
      <w:r w:rsidRPr="00FF5040">
        <w:t xml:space="preserve">panies </w:t>
      </w:r>
      <w:r w:rsidR="000C551E">
        <w:t xml:space="preserve">performed by the four </w:t>
      </w:r>
      <w:r w:rsidRPr="00FF5040">
        <w:t>committees for carpenters, masons, ele</w:t>
      </w:r>
      <w:r w:rsidRPr="00FF5040">
        <w:t>c</w:t>
      </w:r>
      <w:r w:rsidRPr="00FF5040">
        <w:t xml:space="preserve">tricians and plumbers come to focus on competences of </w:t>
      </w:r>
      <w:r w:rsidR="006A0CAB">
        <w:t>specialization</w:t>
      </w:r>
      <w:r w:rsidR="000C551E">
        <w:t xml:space="preserve">, </w:t>
      </w:r>
      <w:r w:rsidR="002B02DD" w:rsidRPr="00FF5040">
        <w:t>inter</w:t>
      </w:r>
      <w:r w:rsidRPr="00FF5040">
        <w:t>discipl</w:t>
      </w:r>
      <w:r w:rsidRPr="00FF5040">
        <w:t>i</w:t>
      </w:r>
      <w:r w:rsidRPr="00FF5040">
        <w:t>nary collabo</w:t>
      </w:r>
      <w:r w:rsidR="004732EA">
        <w:softHyphen/>
      </w:r>
      <w:r w:rsidRPr="00FF5040">
        <w:t>ration and of doing sustainable innovation.</w:t>
      </w:r>
    </w:p>
    <w:p w:rsidR="004237F6" w:rsidRPr="00FF5040" w:rsidRDefault="004237F6">
      <w:r w:rsidRPr="00FF5040">
        <w:t>The paper is structured as follows</w:t>
      </w:r>
      <w:r w:rsidR="0085116A" w:rsidRPr="00FF5040">
        <w:t>. It opens with a</w:t>
      </w:r>
      <w:r w:rsidR="002B02DD" w:rsidRPr="00FF5040">
        <w:t>n</w:t>
      </w:r>
      <w:r w:rsidR="0085116A" w:rsidRPr="00FF5040">
        <w:t xml:space="preserve"> overall method, followed by a framework of understanding of the institutional dynamics. The general description of the Danish vocational education and training system, followed by the empirical mat</w:t>
      </w:r>
      <w:r w:rsidR="0085116A" w:rsidRPr="00FF5040">
        <w:t>e</w:t>
      </w:r>
      <w:r w:rsidR="0085116A" w:rsidRPr="00FF5040">
        <w:t xml:space="preserve">rial first focusing on </w:t>
      </w:r>
      <w:r w:rsidR="001E5FF2">
        <w:t xml:space="preserve">four selected </w:t>
      </w:r>
      <w:r w:rsidR="006A0CAB">
        <w:t>education</w:t>
      </w:r>
      <w:r w:rsidR="0085116A" w:rsidRPr="00FF5040">
        <w:t xml:space="preserve"> committees and second on </w:t>
      </w:r>
      <w:r w:rsidR="001E5FF2">
        <w:t xml:space="preserve">seven selected </w:t>
      </w:r>
      <w:r w:rsidR="0085116A" w:rsidRPr="00FF5040">
        <w:t>enterprises. This is th</w:t>
      </w:r>
      <w:r w:rsidR="00FE256F">
        <w:t>e</w:t>
      </w:r>
      <w:r w:rsidR="0085116A" w:rsidRPr="00FF5040">
        <w:t xml:space="preserve">n analysed in the discussion section followed by a conclusion. </w:t>
      </w:r>
    </w:p>
    <w:p w:rsidR="00191657" w:rsidRPr="00FF5040" w:rsidRDefault="00191657" w:rsidP="00191657">
      <w:pPr>
        <w:pStyle w:val="SectionHeading"/>
      </w:pPr>
      <w:r w:rsidRPr="00FF5040">
        <w:t>Method</w:t>
      </w:r>
    </w:p>
    <w:p w:rsidR="002C28E3" w:rsidRDefault="004E5F40">
      <w:r w:rsidRPr="00FF5040">
        <w:t xml:space="preserve">The overall research approach is interpretive sociology, drawing on </w:t>
      </w:r>
      <w:r w:rsidR="00B23289" w:rsidRPr="00FF5040">
        <w:t>institutional the</w:t>
      </w:r>
      <w:r w:rsidR="00B23289" w:rsidRPr="00FF5040">
        <w:t>o</w:t>
      </w:r>
      <w:r w:rsidR="00B23289" w:rsidRPr="00FF5040">
        <w:t>ry and method (Suddaby and Greenwood 2009)</w:t>
      </w:r>
      <w:r w:rsidR="0085116A" w:rsidRPr="00FF5040">
        <w:t xml:space="preserve">. </w:t>
      </w:r>
      <w:r w:rsidR="00191657" w:rsidRPr="00FF5040">
        <w:t>The paper built on the report on the project</w:t>
      </w:r>
      <w:r w:rsidR="001B7E54" w:rsidRPr="00FF5040">
        <w:t xml:space="preserve"> </w:t>
      </w:r>
      <w:r w:rsidR="001E5FF2">
        <w:t>'Analyses of the development of new or changed energy education in cooper</w:t>
      </w:r>
      <w:r w:rsidR="001E5FF2">
        <w:t>a</w:t>
      </w:r>
      <w:r w:rsidR="001E5FF2">
        <w:t xml:space="preserve">tion between </w:t>
      </w:r>
      <w:r w:rsidR="001E5FF2" w:rsidRPr="001E5FF2">
        <w:t>construction and installation</w:t>
      </w:r>
      <w:r w:rsidR="001E5FF2">
        <w:t xml:space="preserve"> sector'</w:t>
      </w:r>
      <w:r w:rsidR="001E5FF2" w:rsidRPr="001E5FF2">
        <w:t xml:space="preserve"> </w:t>
      </w:r>
      <w:r w:rsidR="001B7E54" w:rsidRPr="00FF5040">
        <w:t>(Bertelsen et</w:t>
      </w:r>
      <w:r w:rsidRPr="00FF5040">
        <w:t xml:space="preserve"> al 2013)</w:t>
      </w:r>
      <w:r w:rsidR="00B23289" w:rsidRPr="00FF5040">
        <w:t>. The data</w:t>
      </w:r>
      <w:r w:rsidR="0041289D" w:rsidRPr="00FF5040">
        <w:t xml:space="preserve"> </w:t>
      </w:r>
      <w:r w:rsidR="00B23289" w:rsidRPr="00FF5040">
        <w:t>m</w:t>
      </w:r>
      <w:r w:rsidR="00B23289" w:rsidRPr="00FF5040">
        <w:t>a</w:t>
      </w:r>
      <w:r w:rsidR="00B23289" w:rsidRPr="00FF5040">
        <w:t xml:space="preserve">terial and analysis of this project is </w:t>
      </w:r>
      <w:r w:rsidR="001E5FF2" w:rsidRPr="001E5FF2">
        <w:t xml:space="preserve">subsequent </w:t>
      </w:r>
      <w:r w:rsidR="00B23289" w:rsidRPr="00FF5040">
        <w:t>revisited in a sequential manner for r</w:t>
      </w:r>
      <w:r w:rsidR="00B23289" w:rsidRPr="00FF5040">
        <w:t>e</w:t>
      </w:r>
      <w:r w:rsidR="00B23289" w:rsidRPr="00FF5040">
        <w:t>interpretation (Lewis and Grimes 1999)</w:t>
      </w:r>
      <w:r w:rsidR="00FE256F">
        <w:t xml:space="preserve"> as (micro</w:t>
      </w:r>
      <w:proofErr w:type="gramStart"/>
      <w:r w:rsidR="00FE256F">
        <w:t>)processes</w:t>
      </w:r>
      <w:proofErr w:type="gramEnd"/>
      <w:r w:rsidR="00FE256F">
        <w:t xml:space="preserve"> of institutional work (Lawrence et al 2009)</w:t>
      </w:r>
      <w:r w:rsidR="0085116A" w:rsidRPr="00FF5040">
        <w:t xml:space="preserve">. </w:t>
      </w:r>
    </w:p>
    <w:p w:rsidR="002C28E3" w:rsidRDefault="00191657">
      <w:r w:rsidRPr="00FF5040">
        <w:t xml:space="preserve">The </w:t>
      </w:r>
      <w:r w:rsidR="00FE256F">
        <w:t xml:space="preserve">original </w:t>
      </w:r>
      <w:r w:rsidRPr="00FF5040">
        <w:t xml:space="preserve">project was carried out in close dialog with </w:t>
      </w:r>
      <w:r w:rsidR="00C475BB">
        <w:t>the four main</w:t>
      </w:r>
      <w:r w:rsidR="004732EA">
        <w:t xml:space="preserve"> Danish</w:t>
      </w:r>
      <w:r w:rsidR="00C475BB">
        <w:t xml:space="preserve"> </w:t>
      </w:r>
      <w:r w:rsidR="00C475BB" w:rsidRPr="00C475BB">
        <w:t>educ</w:t>
      </w:r>
      <w:r w:rsidR="00C475BB" w:rsidRPr="00C475BB">
        <w:t>a</w:t>
      </w:r>
      <w:r w:rsidR="00C475BB" w:rsidRPr="00C475BB">
        <w:t>tion committees for carpenters, masons, electricians and plumbers</w:t>
      </w:r>
      <w:r w:rsidR="00344465">
        <w:t>. T</w:t>
      </w:r>
      <w:r w:rsidR="004E5F40" w:rsidRPr="00FF5040">
        <w:t xml:space="preserve">here </w:t>
      </w:r>
      <w:r w:rsidR="00344465">
        <w:t xml:space="preserve">was </w:t>
      </w:r>
      <w:r w:rsidR="00065573">
        <w:t>also</w:t>
      </w:r>
      <w:r w:rsidR="00344465">
        <w:t xml:space="preserve"> </w:t>
      </w:r>
      <w:r w:rsidR="004E5F40" w:rsidRPr="00FF5040">
        <w:t xml:space="preserve">an element of action research in </w:t>
      </w:r>
      <w:r w:rsidR="00C475BB">
        <w:t>project</w:t>
      </w:r>
      <w:r w:rsidR="00344465">
        <w:t>, as</w:t>
      </w:r>
      <w:r w:rsidR="00174D4D">
        <w:t xml:space="preserve"> the committees supported by the author were </w:t>
      </w:r>
      <w:r w:rsidR="00C475BB" w:rsidRPr="00C475BB">
        <w:t>trained to perform the</w:t>
      </w:r>
      <w:r w:rsidR="00174D4D">
        <w:t xml:space="preserve"> </w:t>
      </w:r>
      <w:proofErr w:type="spellStart"/>
      <w:r w:rsidR="00174D4D">
        <w:t>analy</w:t>
      </w:r>
      <w:r w:rsidR="00065573">
        <w:t>z</w:t>
      </w:r>
      <w:r w:rsidR="00174D4D">
        <w:t>e</w:t>
      </w:r>
      <w:proofErr w:type="spellEnd"/>
      <w:r w:rsidR="00C475BB" w:rsidRPr="00C475BB">
        <w:t xml:space="preserve"> themselves</w:t>
      </w:r>
      <w:r w:rsidR="00174D4D">
        <w:t xml:space="preserve"> in the following four steps: A desk research on needed competences, interviews o</w:t>
      </w:r>
      <w:r w:rsidR="00344465">
        <w:t>f</w:t>
      </w:r>
      <w:r w:rsidR="00174D4D">
        <w:t xml:space="preserve"> </w:t>
      </w:r>
      <w:r w:rsidR="00344465">
        <w:t xml:space="preserve">seven </w:t>
      </w:r>
      <w:r w:rsidR="00174D4D" w:rsidRPr="00174D4D">
        <w:t xml:space="preserve">growth companies </w:t>
      </w:r>
      <w:r w:rsidR="00344465">
        <w:t xml:space="preserve">on experiences and </w:t>
      </w:r>
      <w:r w:rsidR="00174D4D" w:rsidRPr="00174D4D">
        <w:t>opportunities</w:t>
      </w:r>
      <w:r w:rsidR="00174D4D">
        <w:t xml:space="preserve">, </w:t>
      </w:r>
      <w:r w:rsidR="00344465">
        <w:t>cooperation between the four committees on interdisciplinary comp</w:t>
      </w:r>
      <w:r w:rsidR="00344465">
        <w:t>e</w:t>
      </w:r>
      <w:r w:rsidR="00344465">
        <w:t>ten</w:t>
      </w:r>
      <w:r w:rsidR="00065573">
        <w:softHyphen/>
      </w:r>
      <w:r w:rsidR="00344465">
        <w:t xml:space="preserve">ces and last how to formulate </w:t>
      </w:r>
      <w:r w:rsidR="00344465" w:rsidRPr="00344465">
        <w:t xml:space="preserve">recommendations </w:t>
      </w:r>
      <w:r w:rsidR="00344465">
        <w:t>for future developments</w:t>
      </w:r>
      <w:r w:rsidR="00B92337" w:rsidRPr="00FF5040">
        <w:t>.</w:t>
      </w:r>
      <w:r w:rsidR="004367C1">
        <w:t xml:space="preserve"> </w:t>
      </w:r>
      <w:r w:rsidR="00FE256F">
        <w:t>This can thus be seen as a part of the institutional change</w:t>
      </w:r>
      <w:r w:rsidR="00B92337" w:rsidRPr="00FF5040">
        <w:t xml:space="preserve"> </w:t>
      </w:r>
      <w:r w:rsidR="00FE256F">
        <w:t xml:space="preserve">(Dover and Lawrence 2010) </w:t>
      </w:r>
    </w:p>
    <w:p w:rsidR="00996543" w:rsidRDefault="00B92337">
      <w:r w:rsidRPr="00FF5040">
        <w:t>T</w:t>
      </w:r>
      <w:r w:rsidR="00565310" w:rsidRPr="00FF5040">
        <w:t>o enable and conceptualise the development process a framework of understanding of competences was presented in the beginning</w:t>
      </w:r>
      <w:r w:rsidRPr="00FF5040">
        <w:t>,</w:t>
      </w:r>
      <w:r w:rsidR="00565310" w:rsidRPr="00FF5040">
        <w:t xml:space="preserve"> drawing on </w:t>
      </w:r>
      <w:r w:rsidR="00370A70">
        <w:t xml:space="preserve">the authors </w:t>
      </w:r>
      <w:r w:rsidR="00565310" w:rsidRPr="00FF5040">
        <w:t>previous work</w:t>
      </w:r>
      <w:r w:rsidR="00F46026" w:rsidRPr="00F46026">
        <w:t xml:space="preserve"> </w:t>
      </w:r>
      <w:r w:rsidR="008B6CF6">
        <w:t>on a</w:t>
      </w:r>
      <w:r w:rsidR="00F46026" w:rsidRPr="00F46026">
        <w:t>utonomy and innovation in construction teams in Denmark</w:t>
      </w:r>
      <w:r w:rsidR="00565310" w:rsidRPr="00FF5040">
        <w:t xml:space="preserve"> (Bertelsen 20</w:t>
      </w:r>
      <w:r w:rsidRPr="00FF5040">
        <w:t>0</w:t>
      </w:r>
      <w:r w:rsidR="00F46026">
        <w:t>7</w:t>
      </w:r>
      <w:r w:rsidR="00565310" w:rsidRPr="00FF5040">
        <w:t>)</w:t>
      </w:r>
      <w:r w:rsidR="00B70C9B">
        <w:t xml:space="preserve"> and </w:t>
      </w:r>
      <w:r w:rsidR="00F735FA">
        <w:t xml:space="preserve">on </w:t>
      </w:r>
      <w:r w:rsidR="00C36DCD">
        <w:t xml:space="preserve">development of construction processes in an industrialized perspective (Bertelsen </w:t>
      </w:r>
      <w:r w:rsidR="00370A70">
        <w:t>et al 2014)</w:t>
      </w:r>
      <w:r w:rsidR="002C28E3">
        <w:t>.</w:t>
      </w:r>
      <w:r w:rsidR="00344465">
        <w:t xml:space="preserve"> </w:t>
      </w:r>
      <w:r w:rsidR="00633B3B">
        <w:t>The</w:t>
      </w:r>
      <w:r w:rsidR="00BA19B2">
        <w:t xml:space="preserve"> works </w:t>
      </w:r>
      <w:r w:rsidR="00065573">
        <w:t xml:space="preserve">show needs for </w:t>
      </w:r>
      <w:r w:rsidR="00BA19B2">
        <w:t xml:space="preserve">energy </w:t>
      </w:r>
      <w:r w:rsidR="006A0CAB">
        <w:t>specialization</w:t>
      </w:r>
      <w:r w:rsidR="00065573">
        <w:t xml:space="preserve"> </w:t>
      </w:r>
      <w:r w:rsidR="00BA19B2">
        <w:t xml:space="preserve">and new </w:t>
      </w:r>
      <w:r w:rsidR="000F67F7">
        <w:t xml:space="preserve">interdisciplinary </w:t>
      </w:r>
      <w:r w:rsidR="000F67F7">
        <w:lastRenderedPageBreak/>
        <w:t xml:space="preserve">and innovative </w:t>
      </w:r>
      <w:r w:rsidR="00BA19B2">
        <w:t xml:space="preserve">competences </w:t>
      </w:r>
      <w:r w:rsidR="00065573">
        <w:t>in process industrialization</w:t>
      </w:r>
      <w:r w:rsidR="00BA19B2">
        <w:t xml:space="preserve">, </w:t>
      </w:r>
      <w:r w:rsidR="000F67F7">
        <w:t xml:space="preserve">related to </w:t>
      </w:r>
      <w:r w:rsidR="00633B3B">
        <w:t>prefabrication</w:t>
      </w:r>
      <w:r w:rsidR="004F6972">
        <w:t>.</w:t>
      </w:r>
      <w:r w:rsidR="00633B3B">
        <w:t xml:space="preserve"> </w:t>
      </w:r>
      <w:r w:rsidR="00565310" w:rsidRPr="00FF5040">
        <w:t>I</w:t>
      </w:r>
      <w:r w:rsidR="00565310" w:rsidRPr="00FF5040">
        <w:t>n</w:t>
      </w:r>
      <w:r w:rsidR="00565310" w:rsidRPr="00FF5040">
        <w:t xml:space="preserve">terviews </w:t>
      </w:r>
      <w:r w:rsidR="00FD6A56" w:rsidRPr="00FF5040">
        <w:t xml:space="preserve">were executed </w:t>
      </w:r>
      <w:r w:rsidR="00565310" w:rsidRPr="00FF5040">
        <w:t xml:space="preserve">with seven companies operating in the energy </w:t>
      </w:r>
      <w:r w:rsidR="002A5F78">
        <w:t xml:space="preserve">construction and </w:t>
      </w:r>
      <w:r w:rsidR="00565310" w:rsidRPr="00FF5040">
        <w:t>renovation market.</w:t>
      </w:r>
      <w:r w:rsidR="008B6CF6">
        <w:t xml:space="preserve"> The interviews are executed by the four education committees guided by the author. </w:t>
      </w:r>
      <w:r w:rsidR="00FD6A56" w:rsidRPr="00FF5040">
        <w:t>T</w:t>
      </w:r>
      <w:r w:rsidR="00565310" w:rsidRPr="00FF5040">
        <w:t>he seven companies encompasses  two carpenter's companies with around ten employe</w:t>
      </w:r>
      <w:r w:rsidR="009D2D14" w:rsidRPr="00FF5040">
        <w:t>e</w:t>
      </w:r>
      <w:r w:rsidR="00565310" w:rsidRPr="00FF5040">
        <w:t>s, one masons company with twenty employees, two electr</w:t>
      </w:r>
      <w:r w:rsidR="00565310" w:rsidRPr="00FF5040">
        <w:t>i</w:t>
      </w:r>
      <w:r w:rsidR="00565310" w:rsidRPr="00FF5040">
        <w:t>cians companies with 95 and 65 employees respectively and two plumbers enterprises</w:t>
      </w:r>
      <w:r w:rsidR="00BB1C9D">
        <w:t xml:space="preserve"> with 62 and 85 employees</w:t>
      </w:r>
      <w:r w:rsidRPr="00FF5040">
        <w:t>.</w:t>
      </w:r>
      <w:r w:rsidR="00565310" w:rsidRPr="00FF5040">
        <w:t xml:space="preserve"> </w:t>
      </w:r>
      <w:r w:rsidR="00BE18AF" w:rsidRPr="00FF5040">
        <w:t>Below is selected one compan</w:t>
      </w:r>
      <w:r w:rsidR="00161B37">
        <w:t>y</w:t>
      </w:r>
      <w:r w:rsidR="00BE18AF" w:rsidRPr="00FF5040">
        <w:t xml:space="preserve"> for each category only.</w:t>
      </w:r>
      <w:r w:rsidR="00161B37">
        <w:t xml:space="preserve"> </w:t>
      </w:r>
      <w:r w:rsidR="00DA685F">
        <w:t>Common for the internal discussions between the four committees and the seven i</w:t>
      </w:r>
      <w:r w:rsidR="00DA685F">
        <w:t>n</w:t>
      </w:r>
      <w:r w:rsidR="00996543">
        <w:t xml:space="preserve">terviews of growth companies </w:t>
      </w:r>
      <w:r w:rsidR="002A5F78">
        <w:t xml:space="preserve">were </w:t>
      </w:r>
      <w:r w:rsidR="00161B37">
        <w:t xml:space="preserve">applied an </w:t>
      </w:r>
      <w:r w:rsidR="00996543">
        <w:t>open question</w:t>
      </w:r>
      <w:r w:rsidR="00161B37">
        <w:t>naire</w:t>
      </w:r>
      <w:r w:rsidR="002A5F78">
        <w:t xml:space="preserve"> on</w:t>
      </w:r>
      <w:r w:rsidR="00996543">
        <w:t>:</w:t>
      </w:r>
    </w:p>
    <w:p w:rsidR="00DB6E10" w:rsidRDefault="00DB6E10" w:rsidP="00DB6E10">
      <w:pPr>
        <w:pStyle w:val="BulletList"/>
      </w:pPr>
      <w:r w:rsidRPr="00DB6E10">
        <w:t xml:space="preserve">Professional competence and specialization in energy performance </w:t>
      </w:r>
    </w:p>
    <w:p w:rsidR="00DB6E10" w:rsidRDefault="00DB6E10" w:rsidP="00DB6E10">
      <w:pPr>
        <w:pStyle w:val="BulletList"/>
      </w:pPr>
      <w:r w:rsidRPr="00DB6E10">
        <w:t xml:space="preserve">Interdisciplinary competence in horizontal cooperation and vertical </w:t>
      </w:r>
      <w:r w:rsidR="004F6972">
        <w:t>controlling</w:t>
      </w:r>
      <w:r w:rsidRPr="00DB6E10">
        <w:t xml:space="preserve"> </w:t>
      </w:r>
    </w:p>
    <w:p w:rsidR="00DB6E10" w:rsidRDefault="00DB6E10" w:rsidP="00DB6E10">
      <w:pPr>
        <w:pStyle w:val="BulletList"/>
      </w:pPr>
      <w:r w:rsidRPr="00DB6E10">
        <w:t>Innovation, learning an</w:t>
      </w:r>
      <w:r w:rsidR="004F6972">
        <w:t>d evaluation competences</w:t>
      </w:r>
    </w:p>
    <w:p w:rsidR="00DB6E10" w:rsidRDefault="00DB6E10" w:rsidP="00DB6E10">
      <w:pPr>
        <w:pStyle w:val="BulletList"/>
      </w:pPr>
      <w:r w:rsidRPr="00DB6E10">
        <w:t>Teachers' comp</w:t>
      </w:r>
      <w:r w:rsidRPr="00DB6E10">
        <w:t>e</w:t>
      </w:r>
      <w:r w:rsidRPr="00DB6E10">
        <w:t xml:space="preserve">tences, education materials and the education system as such </w:t>
      </w:r>
    </w:p>
    <w:p w:rsidR="00DB6E10" w:rsidRPr="00DB6E10" w:rsidRDefault="00DB6E10" w:rsidP="00DB6E10">
      <w:pPr>
        <w:pStyle w:val="BulletList"/>
      </w:pPr>
      <w:r w:rsidRPr="00DB6E10">
        <w:t>Development directions on energy and industrialization trends in the market.</w:t>
      </w:r>
    </w:p>
    <w:p w:rsidR="00DB6E10" w:rsidRDefault="00DB6E10"/>
    <w:p w:rsidR="00565310" w:rsidRPr="00FF5040" w:rsidRDefault="00B92337">
      <w:r w:rsidRPr="00FF5040">
        <w:t xml:space="preserve">The limitations of the research </w:t>
      </w:r>
      <w:r w:rsidR="006262E8" w:rsidRPr="00FF5040">
        <w:t>are</w:t>
      </w:r>
      <w:r w:rsidRPr="00FF5040">
        <w:t xml:space="preserve"> related to its c</w:t>
      </w:r>
      <w:r w:rsidR="006262E8" w:rsidRPr="00FF5040">
        <w:t>h</w:t>
      </w:r>
      <w:r w:rsidRPr="00FF5040">
        <w:t>aracter as action research</w:t>
      </w:r>
      <w:r w:rsidR="008B6CF6">
        <w:t>, where the author tr</w:t>
      </w:r>
      <w:r w:rsidR="00016DD0">
        <w:t>ied</w:t>
      </w:r>
      <w:r w:rsidR="008B6CF6">
        <w:t xml:space="preserve"> to bring the four education committees in interdisciplinary interaction</w:t>
      </w:r>
      <w:r w:rsidR="00016DD0" w:rsidRPr="00016DD0">
        <w:t xml:space="preserve"> </w:t>
      </w:r>
      <w:r w:rsidR="00370A70">
        <w:t xml:space="preserve">to inspire </w:t>
      </w:r>
      <w:r w:rsidR="00016DD0" w:rsidRPr="00016DD0">
        <w:t>schools, pupils and enterprises</w:t>
      </w:r>
      <w:r w:rsidR="008B6CF6">
        <w:t xml:space="preserve">. This </w:t>
      </w:r>
      <w:r w:rsidRPr="00FF5040">
        <w:t xml:space="preserve">involving close encounters with labour market organisation representatives, for whom the project </w:t>
      </w:r>
      <w:r w:rsidR="002A5F78">
        <w:t>was</w:t>
      </w:r>
      <w:r w:rsidRPr="00FF5040">
        <w:t xml:space="preserve"> a political instrument.</w:t>
      </w:r>
    </w:p>
    <w:p w:rsidR="004E5F40" w:rsidRPr="00FF5040" w:rsidRDefault="004E5F40" w:rsidP="004E5F40">
      <w:pPr>
        <w:pStyle w:val="SectionHeading"/>
      </w:pPr>
      <w:r w:rsidRPr="00FF5040">
        <w:t>Theoretical framework</w:t>
      </w:r>
    </w:p>
    <w:p w:rsidR="004E5F40" w:rsidRPr="00FF5040" w:rsidRDefault="004E5F40">
      <w:r w:rsidRPr="00FF5040">
        <w:t>Institutional theory</w:t>
      </w:r>
      <w:r w:rsidR="004E7835" w:rsidRPr="00FF5040">
        <w:t xml:space="preserve"> is a contemporary grand theory (Thornton et al 2012, Lawrence et al 2009, </w:t>
      </w:r>
      <w:proofErr w:type="spellStart"/>
      <w:r w:rsidR="004E7835" w:rsidRPr="00FF5040">
        <w:t>Lounsbury</w:t>
      </w:r>
      <w:proofErr w:type="spellEnd"/>
      <w:r w:rsidR="004E7835" w:rsidRPr="00FF5040">
        <w:t xml:space="preserve"> and </w:t>
      </w:r>
      <w:proofErr w:type="spellStart"/>
      <w:r w:rsidR="004E7835" w:rsidRPr="00FF5040">
        <w:t>Boxenbaum</w:t>
      </w:r>
      <w:proofErr w:type="spellEnd"/>
      <w:r w:rsidR="004E7835" w:rsidRPr="00FF5040">
        <w:t xml:space="preserve"> 2013a</w:t>
      </w:r>
      <w:r w:rsidR="00656EFE">
        <w:t xml:space="preserve"> and 2013</w:t>
      </w:r>
      <w:r w:rsidR="004E7835" w:rsidRPr="00FF5040">
        <w:t>b). Thornton et al (2012) is thus outlining how society from micro processes to macro structures can understood through series of interlinked institutions and institutional logics, labelled an institu</w:t>
      </w:r>
      <w:r w:rsidR="00F97879">
        <w:softHyphen/>
      </w:r>
      <w:r w:rsidR="004E7835" w:rsidRPr="00FF5040">
        <w:t>tional system</w:t>
      </w:r>
      <w:r w:rsidR="004709AA" w:rsidRPr="00FF5040">
        <w:t>.</w:t>
      </w:r>
      <w:r w:rsidRPr="00FF5040">
        <w:t xml:space="preserve"> </w:t>
      </w:r>
      <w:r w:rsidR="004E7835" w:rsidRPr="00FF5040">
        <w:t xml:space="preserve">Here we are especially interested in </w:t>
      </w:r>
      <w:r w:rsidRPr="00FF5040">
        <w:t>contributions on labour market -, educational - and professional institutions</w:t>
      </w:r>
      <w:r w:rsidR="004709AA" w:rsidRPr="00FF5040">
        <w:t xml:space="preserve"> (</w:t>
      </w:r>
      <w:proofErr w:type="spellStart"/>
      <w:r w:rsidR="004709AA" w:rsidRPr="00FF5040">
        <w:t>Cort</w:t>
      </w:r>
      <w:proofErr w:type="spellEnd"/>
      <w:r w:rsidR="004709AA" w:rsidRPr="00FF5040">
        <w:t xml:space="preserve"> 2011, </w:t>
      </w:r>
      <w:proofErr w:type="spellStart"/>
      <w:r w:rsidR="004709AA" w:rsidRPr="00FF5040">
        <w:t>Lieshout</w:t>
      </w:r>
      <w:proofErr w:type="spellEnd"/>
      <w:r w:rsidR="004709AA" w:rsidRPr="00FF5040">
        <w:t xml:space="preserve"> 2008, </w:t>
      </w:r>
      <w:proofErr w:type="gramStart"/>
      <w:r w:rsidR="004709AA" w:rsidRPr="00FF5040">
        <w:t>Koch</w:t>
      </w:r>
      <w:proofErr w:type="gramEnd"/>
      <w:r w:rsidR="004709AA" w:rsidRPr="00FF5040">
        <w:t xml:space="preserve"> 2013).</w:t>
      </w:r>
    </w:p>
    <w:p w:rsidR="003A014B" w:rsidRPr="00FF5040" w:rsidRDefault="003A014B" w:rsidP="003A014B">
      <w:r w:rsidRPr="00FF5040">
        <w:t>Institutionalist theory advocates non-rational, cultural socially constructed</w:t>
      </w:r>
      <w:r w:rsidR="004F37C2" w:rsidRPr="00FF5040">
        <w:t xml:space="preserve"> </w:t>
      </w:r>
      <w:r w:rsidRPr="00FF5040">
        <w:t>expla</w:t>
      </w:r>
      <w:r w:rsidR="00B8229C">
        <w:softHyphen/>
      </w:r>
      <w:r w:rsidRPr="00FF5040">
        <w:t>na</w:t>
      </w:r>
      <w:r w:rsidR="00B8229C">
        <w:softHyphen/>
      </w:r>
      <w:r w:rsidRPr="00FF5040">
        <w:t>tions of societal order and change. Scott (2001: 48) defines institutions</w:t>
      </w:r>
      <w:r w:rsidR="004F37C2" w:rsidRPr="00FF5040">
        <w:t xml:space="preserve"> </w:t>
      </w:r>
      <w:r w:rsidRPr="00FF5040">
        <w:t>as: "Social structures that have attained a high degree of resilience… [</w:t>
      </w:r>
      <w:proofErr w:type="gramStart"/>
      <w:r w:rsidRPr="00FF5040">
        <w:t>institutions</w:t>
      </w:r>
      <w:proofErr w:type="gramEnd"/>
      <w:r w:rsidRPr="00FF5040">
        <w:t>] provide stabi</w:t>
      </w:r>
      <w:r w:rsidRPr="00FF5040">
        <w:t>l</w:t>
      </w:r>
      <w:r w:rsidRPr="00FF5040">
        <w:t>ity and meaning to social life… Institutions are transmitted by various types of carr</w:t>
      </w:r>
      <w:r w:rsidRPr="00FF5040">
        <w:t>i</w:t>
      </w:r>
      <w:r w:rsidRPr="00FF5040">
        <w:t>ers, including symbolic systems, relational systems, routines, and artifacts. Institutions operate at different levels of jurisdiction, from the world system to localized interpe</w:t>
      </w:r>
      <w:r w:rsidRPr="00FF5040">
        <w:t>r</w:t>
      </w:r>
      <w:r w:rsidRPr="00FF5040">
        <w:t>sonal relationships. Institutions by definition connote stability but are subject to chan</w:t>
      </w:r>
      <w:r w:rsidR="00B8229C">
        <w:softHyphen/>
      </w:r>
      <w:r w:rsidRPr="00FF5040">
        <w:t xml:space="preserve">ge processes, both incremental and discontinuous…"  Scott (2001) and Thornton et al. </w:t>
      </w:r>
      <w:r w:rsidR="00BB1C9D">
        <w:t>(</w:t>
      </w:r>
      <w:r w:rsidRPr="00FF5040">
        <w:t>2012) conceptualise institutions as consisting of three types of elements: cultural cognitive, normative, and regulative. Recent institutionalist theory departs from e</w:t>
      </w:r>
      <w:r w:rsidRPr="00FF5040">
        <w:t>x</w:t>
      </w:r>
      <w:r w:rsidRPr="00FF5040">
        <w:t>plaining organisational homogeneity and stability (</w:t>
      </w:r>
      <w:proofErr w:type="spellStart"/>
      <w:r w:rsidRPr="00FF5040">
        <w:t>Dimaggio</w:t>
      </w:r>
      <w:proofErr w:type="spellEnd"/>
      <w:r w:rsidRPr="00FF5040">
        <w:t xml:space="preserve"> 1983), and most recent contributions are interested in institutional change, and complexity understood as rel</w:t>
      </w:r>
      <w:r w:rsidRPr="00FF5040">
        <w:t>a</w:t>
      </w:r>
      <w:r w:rsidRPr="00FF5040">
        <w:t>tions between multiple insti</w:t>
      </w:r>
      <w:r w:rsidR="004709AA" w:rsidRPr="00FF5040">
        <w:t>tu</w:t>
      </w:r>
      <w:r w:rsidRPr="00FF5040">
        <w:t>tions. Central concepts are institut</w:t>
      </w:r>
      <w:r w:rsidR="004709AA" w:rsidRPr="00FF5040">
        <w:t>i</w:t>
      </w:r>
      <w:r w:rsidRPr="00FF5040">
        <w:t>onal work</w:t>
      </w:r>
      <w:r w:rsidR="00BB1C9D">
        <w:t xml:space="preserve"> (Lawrence et al 2009</w:t>
      </w:r>
      <w:r w:rsidRPr="00FF5040">
        <w:t xml:space="preserve">, institutional logics </w:t>
      </w:r>
      <w:r w:rsidR="00BB1C9D">
        <w:t xml:space="preserve">(Thornton et al 2012) </w:t>
      </w:r>
      <w:r w:rsidRPr="00FF5040">
        <w:t>and institutional complexity</w:t>
      </w:r>
      <w:r w:rsidR="004709AA" w:rsidRPr="00FF5040">
        <w:t xml:space="preserve"> (Greenwood et al 2011). </w:t>
      </w:r>
    </w:p>
    <w:p w:rsidR="008A6B67" w:rsidRDefault="003A014B">
      <w:r w:rsidRPr="00FF5040">
        <w:t xml:space="preserve">Education of skilled workers can </w:t>
      </w:r>
      <w:r w:rsidR="004709AA" w:rsidRPr="00FF5040">
        <w:t>be understood in several ways reflecting different basic institutions. Education can be viewed as a societal task and part of the basic rights of a citizen (</w:t>
      </w:r>
      <w:proofErr w:type="spellStart"/>
      <w:r w:rsidR="004709AA" w:rsidRPr="00FF5040">
        <w:t>Cort</w:t>
      </w:r>
      <w:proofErr w:type="spellEnd"/>
      <w:r w:rsidR="004709AA" w:rsidRPr="00FF5040">
        <w:t xml:space="preserve"> 2011). And/or it can be seen as</w:t>
      </w:r>
      <w:r w:rsidRPr="00FF5040">
        <w:t xml:space="preserve"> a market demand</w:t>
      </w:r>
      <w:r w:rsidR="004709AA" w:rsidRPr="00FF5040">
        <w:t xml:space="preserve"> for human resources</w:t>
      </w:r>
      <w:r w:rsidR="00056BCA" w:rsidRPr="00FF5040">
        <w:t>. Historically</w:t>
      </w:r>
      <w:r w:rsidR="00BB1C9D">
        <w:t>,</w:t>
      </w:r>
      <w:r w:rsidR="00056BCA" w:rsidRPr="00FF5040">
        <w:t xml:space="preserve"> education and apprenticeship was even part of a social order of the crafts, the guilds. Over the last 150 years the education of skilled workers/crafts</w:t>
      </w:r>
      <w:r w:rsidR="007113AD">
        <w:softHyphen/>
      </w:r>
      <w:r w:rsidR="00056BCA" w:rsidRPr="00FF5040">
        <w:t>men has</w:t>
      </w:r>
      <w:r w:rsidR="004709AA" w:rsidRPr="00FF5040">
        <w:t xml:space="preserve"> </w:t>
      </w:r>
      <w:r w:rsidRPr="00FF5040">
        <w:t>be</w:t>
      </w:r>
      <w:r w:rsidR="00056BCA" w:rsidRPr="00FF5040">
        <w:t>en</w:t>
      </w:r>
      <w:r w:rsidRPr="00FF5040">
        <w:t xml:space="preserve"> institutionalised in multiple way</w:t>
      </w:r>
      <w:r w:rsidR="005A5A6A" w:rsidRPr="00FF5040">
        <w:t>s</w:t>
      </w:r>
      <w:r w:rsidRPr="00FF5040">
        <w:t xml:space="preserve"> (</w:t>
      </w:r>
      <w:proofErr w:type="spellStart"/>
      <w:r w:rsidR="005A5A6A" w:rsidRPr="00FF5040">
        <w:t>Cort</w:t>
      </w:r>
      <w:proofErr w:type="spellEnd"/>
      <w:r w:rsidR="005A5A6A" w:rsidRPr="00FF5040">
        <w:t xml:space="preserve"> 2011, </w:t>
      </w:r>
      <w:proofErr w:type="spellStart"/>
      <w:r w:rsidRPr="00FF5040">
        <w:t>Lieshout</w:t>
      </w:r>
      <w:proofErr w:type="spellEnd"/>
      <w:r w:rsidRPr="00FF5040">
        <w:t xml:space="preserve"> 2008)</w:t>
      </w:r>
      <w:r w:rsidR="001D6A40" w:rsidRPr="00FF5040">
        <w:t xml:space="preserve">. </w:t>
      </w:r>
      <w:proofErr w:type="spellStart"/>
      <w:r w:rsidR="001D6A40" w:rsidRPr="00FF5040">
        <w:t>Lieshout</w:t>
      </w:r>
      <w:proofErr w:type="spellEnd"/>
      <w:r w:rsidR="001D6A40" w:rsidRPr="00FF5040">
        <w:t xml:space="preserve"> </w:t>
      </w:r>
      <w:r w:rsidR="001D6A40" w:rsidRPr="00FF5040">
        <w:lastRenderedPageBreak/>
        <w:t>finds several differen</w:t>
      </w:r>
      <w:r w:rsidR="005A5A6A" w:rsidRPr="00FF5040">
        <w:t>t</w:t>
      </w:r>
      <w:r w:rsidR="001D6A40" w:rsidRPr="00FF5040">
        <w:t xml:space="preserve"> ways in which vocational training can be insti</w:t>
      </w:r>
      <w:r w:rsidR="007113AD">
        <w:t>tu</w:t>
      </w:r>
      <w:r w:rsidR="001D6A40" w:rsidRPr="00FF5040">
        <w:t>tionalised. He points to instances of market driven training, of school driven and of "associational governance" driven pointing to a close alliance between the state</w:t>
      </w:r>
      <w:r w:rsidR="00056BCA" w:rsidRPr="00FF5040">
        <w:t>,</w:t>
      </w:r>
      <w:r w:rsidR="001D6A40" w:rsidRPr="00FF5040">
        <w:t xml:space="preserve"> the unions</w:t>
      </w:r>
      <w:r w:rsidR="00056BCA" w:rsidRPr="00FF5040">
        <w:t>,</w:t>
      </w:r>
      <w:r w:rsidR="001D6A40" w:rsidRPr="00FF5040">
        <w:t xml:space="preserve"> and the companies. As a particular case in point of associational governance </w:t>
      </w:r>
      <w:r w:rsidR="00111481" w:rsidRPr="00FF5040">
        <w:t>the S</w:t>
      </w:r>
      <w:r w:rsidR="00993A2C" w:rsidRPr="00FF5040">
        <w:t xml:space="preserve">candinavian setting </w:t>
      </w:r>
      <w:r w:rsidR="001D6A40" w:rsidRPr="00FF5040">
        <w:t xml:space="preserve">sees </w:t>
      </w:r>
      <w:r w:rsidR="00993A2C" w:rsidRPr="00FF5040">
        <w:t xml:space="preserve">the institutionalist set up evolved into a </w:t>
      </w:r>
      <w:r w:rsidR="00536443">
        <w:t xml:space="preserve">mature field with </w:t>
      </w:r>
      <w:r w:rsidR="00993A2C" w:rsidRPr="00FF5040">
        <w:t>very close and tight collaboration between the state and the labour market parties,</w:t>
      </w:r>
      <w:r w:rsidR="00111481" w:rsidRPr="00FF5040">
        <w:t xml:space="preserve"> known as corpora</w:t>
      </w:r>
      <w:r w:rsidR="00111481" w:rsidRPr="00FF5040">
        <w:t>t</w:t>
      </w:r>
      <w:r w:rsidR="00111481" w:rsidRPr="00FF5040">
        <w:t>ism (</w:t>
      </w:r>
      <w:proofErr w:type="spellStart"/>
      <w:r w:rsidR="005A5A6A" w:rsidRPr="00FF5040">
        <w:t>Cort</w:t>
      </w:r>
      <w:proofErr w:type="spellEnd"/>
      <w:r w:rsidR="005A5A6A" w:rsidRPr="00FF5040">
        <w:t xml:space="preserve"> 2011, </w:t>
      </w:r>
      <w:r w:rsidR="00111481" w:rsidRPr="00FF5040">
        <w:t>Koch 2013</w:t>
      </w:r>
      <w:r w:rsidR="00993A2C" w:rsidRPr="00FF5040">
        <w:t>)</w:t>
      </w:r>
      <w:r w:rsidR="00CA30C0" w:rsidRPr="00FF5040">
        <w:t>.</w:t>
      </w:r>
      <w:r w:rsidR="00056BCA" w:rsidRPr="00FF5040">
        <w:t xml:space="preserve"> </w:t>
      </w:r>
      <w:r w:rsidR="00BB1C9D">
        <w:t>In th</w:t>
      </w:r>
      <w:r w:rsidR="004367C1">
        <w:t>ese</w:t>
      </w:r>
      <w:r w:rsidR="00BB1C9D">
        <w:t xml:space="preserve"> context institutions of knowing involves educ</w:t>
      </w:r>
      <w:r w:rsidR="00BB1C9D">
        <w:t>a</w:t>
      </w:r>
      <w:r w:rsidR="00BB1C9D">
        <w:t>tion system</w:t>
      </w:r>
      <w:r w:rsidR="00536443">
        <w:t xml:space="preserve"> actors, craftsmen, apprentices, crafts companies and more. Institutions of knowing involve formal and informal forms of knowledge and competences within and across crafts. </w:t>
      </w:r>
      <w:r w:rsidR="00056BCA" w:rsidRPr="00FF5040">
        <w:t>Koch (2013) suggests that these labour market institutions in Sca</w:t>
      </w:r>
      <w:r w:rsidR="00056BCA" w:rsidRPr="00FF5040">
        <w:t>n</w:t>
      </w:r>
      <w:r w:rsidR="00056BCA" w:rsidRPr="00FF5040">
        <w:t>dinavia have been remarkably resilient to continual undermining by US and global management and production concepts</w:t>
      </w:r>
      <w:r w:rsidR="00536443">
        <w:t xml:space="preserve"> tainted by liberal and individual institutions of production and knowledge</w:t>
      </w:r>
      <w:r w:rsidR="00056BCA" w:rsidRPr="00FF5040">
        <w:t xml:space="preserve">. </w:t>
      </w:r>
    </w:p>
    <w:p w:rsidR="001D6A40" w:rsidRPr="00FF5040" w:rsidRDefault="00056BCA">
      <w:r w:rsidRPr="00FF5040">
        <w:t>The vocational education and training institutions (VET) have not only survived but maintained their position seen over long time spans even if operating in a complex and multiple institutional context</w:t>
      </w:r>
      <w:r w:rsidR="006475C2" w:rsidRPr="00FF5040">
        <w:t>s</w:t>
      </w:r>
      <w:r w:rsidRPr="00FF5040">
        <w:t xml:space="preserve">. </w:t>
      </w:r>
      <w:proofErr w:type="spellStart"/>
      <w:r w:rsidR="00CA30C0" w:rsidRPr="00FF5040">
        <w:t>Lieshout</w:t>
      </w:r>
      <w:proofErr w:type="spellEnd"/>
      <w:r w:rsidR="00CA30C0" w:rsidRPr="00FF5040">
        <w:t xml:space="preserve"> (2008)</w:t>
      </w:r>
      <w:r w:rsidRPr="00FF5040">
        <w:t xml:space="preserve"> on the ot</w:t>
      </w:r>
      <w:r w:rsidRPr="00FF5040">
        <w:t>h</w:t>
      </w:r>
      <w:r w:rsidRPr="00FF5040">
        <w:t>er hand</w:t>
      </w:r>
      <w:r w:rsidR="001D6A40" w:rsidRPr="00FF5040">
        <w:t xml:space="preserve"> suggests that these labo</w:t>
      </w:r>
      <w:r w:rsidR="006475C2" w:rsidRPr="00FF5040">
        <w:t>u</w:t>
      </w:r>
      <w:r w:rsidR="001D6A40" w:rsidRPr="00FF5040">
        <w:t>r market institutions risk stagnation if not continually renewed in a manner r</w:t>
      </w:r>
      <w:r w:rsidR="001D6A40" w:rsidRPr="00FF5040">
        <w:t>e</w:t>
      </w:r>
      <w:r w:rsidR="001D6A40" w:rsidRPr="00FF5040">
        <w:t xml:space="preserve">sponding to the contradictory demands of state (EU), building industry, citizens, youngsters and other interests. </w:t>
      </w:r>
      <w:r w:rsidRPr="00FF5040">
        <w:t>Koch (2013) posits that part of the institutions resil</w:t>
      </w:r>
      <w:r w:rsidRPr="00FF5040">
        <w:t>i</w:t>
      </w:r>
      <w:r w:rsidRPr="00FF5040">
        <w:t xml:space="preserve">ence lies with their ability to span from micro to macro in the labour market set up. </w:t>
      </w:r>
      <w:proofErr w:type="spellStart"/>
      <w:r w:rsidRPr="00FF5040">
        <w:t>Lieshout</w:t>
      </w:r>
      <w:proofErr w:type="spellEnd"/>
      <w:r w:rsidRPr="00FF5040">
        <w:t xml:space="preserve"> (2008) similarly explains the German and Dutch system like that, yet point out at the state of Wisconsin is an exception as a vocational education system has been maintained and developed over long time without the macro governance frame pr</w:t>
      </w:r>
      <w:r w:rsidRPr="00FF5040">
        <w:t>o</w:t>
      </w:r>
      <w:r w:rsidRPr="00FF5040">
        <w:t xml:space="preserve">vided in Scandinavia, Germany and Holland. </w:t>
      </w:r>
    </w:p>
    <w:p w:rsidR="004E5F40" w:rsidRPr="00FF5040" w:rsidRDefault="00113596">
      <w:r w:rsidRPr="00FF5040">
        <w:t>There is therefore a resonance between the challenges of the institutional set up of VET and the development of institutional theory</w:t>
      </w:r>
      <w:r w:rsidR="006475C2" w:rsidRPr="00FF5040">
        <w:t xml:space="preserve"> and the change in activities and pe</w:t>
      </w:r>
      <w:r w:rsidR="006475C2" w:rsidRPr="00FF5040">
        <w:t>r</w:t>
      </w:r>
      <w:r w:rsidR="006475C2" w:rsidRPr="00FF5040">
        <w:t>formance in the construction industry</w:t>
      </w:r>
      <w:r w:rsidRPr="00FF5040">
        <w:t>. Here we are in particular interested in the inte</w:t>
      </w:r>
      <w:r w:rsidRPr="00FF5040">
        <w:t>r</w:t>
      </w:r>
      <w:r w:rsidRPr="00FF5040">
        <w:t>play between bottom up and top down dynamics</w:t>
      </w:r>
      <w:r w:rsidR="00536443">
        <w:t>, which usually keeps the institutions of knowing together and also put them under pressure</w:t>
      </w:r>
      <w:r w:rsidRPr="00FF5040">
        <w:t>. More specifically t</w:t>
      </w:r>
      <w:r w:rsidR="001B7E54" w:rsidRPr="00FF5040">
        <w:t xml:space="preserve">he </w:t>
      </w:r>
      <w:r w:rsidR="004E5F40" w:rsidRPr="00FF5040">
        <w:t>instit</w:t>
      </w:r>
      <w:r w:rsidR="004E5F40" w:rsidRPr="00FF5040">
        <w:t>u</w:t>
      </w:r>
      <w:r w:rsidR="004E5F40" w:rsidRPr="00FF5040">
        <w:t xml:space="preserve">tional work </w:t>
      </w:r>
      <w:r w:rsidR="001B7E54" w:rsidRPr="00FF5040">
        <w:t>approach (Lawrence et al 2009) have proposed to appreciate the micro</w:t>
      </w:r>
      <w:r w:rsidR="007113AD">
        <w:t xml:space="preserve"> </w:t>
      </w:r>
      <w:r w:rsidR="001B7E54" w:rsidRPr="00FF5040">
        <w:t>processes of maintaining, destabilising, developing new institutions</w:t>
      </w:r>
      <w:r w:rsidRPr="00FF5040">
        <w:t>, which here lead to looking at how small enterprise development might contribute to the development of VET</w:t>
      </w:r>
      <w:r w:rsidR="006475C2" w:rsidRPr="00FF5040">
        <w:t xml:space="preserve"> or differs from larger enterprises in development strategy</w:t>
      </w:r>
      <w:r w:rsidRPr="00FF5040">
        <w:t>.</w:t>
      </w:r>
    </w:p>
    <w:p w:rsidR="004237F6" w:rsidRPr="00FF5040" w:rsidRDefault="004237F6" w:rsidP="003812F3">
      <w:pPr>
        <w:pStyle w:val="SectionHeading"/>
      </w:pPr>
      <w:r w:rsidRPr="00FF5040">
        <w:t>Institutional work in vocational training</w:t>
      </w:r>
      <w:r w:rsidR="00993A2C" w:rsidRPr="00FF5040">
        <w:t xml:space="preserve"> </w:t>
      </w:r>
    </w:p>
    <w:p w:rsidR="00E52E23" w:rsidRDefault="00690436" w:rsidP="00E52E23">
      <w:r w:rsidRPr="00FF5040">
        <w:t xml:space="preserve">The vocational education system in Denmark is </w:t>
      </w:r>
      <w:r w:rsidR="00536443">
        <w:t xml:space="preserve">as mentioned a mature field, </w:t>
      </w:r>
      <w:r w:rsidRPr="00FF5040">
        <w:t>strongly institutionalised with unions, employer’s associations and the schools in central roles</w:t>
      </w:r>
      <w:r w:rsidR="00E52E23" w:rsidRPr="00FF5040">
        <w:t xml:space="preserve"> (Koch 2013). The Danish continuing vocational education (C-VET) (in Danish </w:t>
      </w:r>
      <w:r w:rsidR="00536443">
        <w:t>"</w:t>
      </w:r>
      <w:r w:rsidR="00E52E23" w:rsidRPr="00FF5040">
        <w:t>AMU</w:t>
      </w:r>
      <w:r w:rsidR="00536443">
        <w:t>"</w:t>
      </w:r>
      <w:r w:rsidR="007113AD">
        <w:t>)</w:t>
      </w:r>
      <w:r w:rsidR="00E52E23" w:rsidRPr="00FF5040">
        <w:t xml:space="preserve"> are well-functioning systems serving a triple purpose according to the Mini</w:t>
      </w:r>
      <w:r w:rsidR="00E52E23" w:rsidRPr="00FF5040">
        <w:t>s</w:t>
      </w:r>
      <w:r w:rsidR="00E52E23" w:rsidRPr="00FF5040">
        <w:t xml:space="preserve">try of Education: </w:t>
      </w:r>
    </w:p>
    <w:p w:rsidR="00DB6E10" w:rsidRPr="00DB6E10" w:rsidRDefault="00DB6E10" w:rsidP="00DB6E10">
      <w:pPr>
        <w:pStyle w:val="BulletList"/>
      </w:pPr>
      <w:r w:rsidRPr="00DB6E10">
        <w:t>To improve competence according with</w:t>
      </w:r>
      <w:r>
        <w:t xml:space="preserve"> the needs of the labour market</w:t>
      </w:r>
    </w:p>
    <w:p w:rsidR="00DB6E10" w:rsidRPr="00DB6E10" w:rsidRDefault="00DB6E10" w:rsidP="00DB6E10">
      <w:pPr>
        <w:pStyle w:val="BulletList"/>
      </w:pPr>
      <w:r w:rsidRPr="00DB6E10">
        <w:t xml:space="preserve">To contribute to solving market restructuring problems in short- and long-term </w:t>
      </w:r>
    </w:p>
    <w:p w:rsidR="00DB6E10" w:rsidRDefault="00DB6E10" w:rsidP="00DB6E10">
      <w:pPr>
        <w:pStyle w:val="BulletList"/>
      </w:pPr>
      <w:r w:rsidRPr="00DB6E10">
        <w:t>To give adults the possibility to upgrade com</w:t>
      </w:r>
      <w:r>
        <w:t>petences for the labour market.</w:t>
      </w:r>
    </w:p>
    <w:p w:rsidR="00DB6E10" w:rsidRPr="00FF5040" w:rsidRDefault="00DB6E10" w:rsidP="0038362A">
      <w:pPr>
        <w:pStyle w:val="BulletList"/>
        <w:numPr>
          <w:ilvl w:val="0"/>
          <w:numId w:val="0"/>
        </w:numPr>
        <w:ind w:left="357"/>
      </w:pPr>
    </w:p>
    <w:p w:rsidR="00E52E23" w:rsidRDefault="00E52E23" w:rsidP="00E52E23">
      <w:r w:rsidRPr="00FF5040">
        <w:t xml:space="preserve">The C-VET programme in Denmark is funded almost entirely by the state. </w:t>
      </w:r>
      <w:r w:rsidR="00113596" w:rsidRPr="00FF5040">
        <w:t>As indic</w:t>
      </w:r>
      <w:r w:rsidR="00113596" w:rsidRPr="00FF5040">
        <w:t>a</w:t>
      </w:r>
      <w:r w:rsidR="00113596" w:rsidRPr="00FF5040">
        <w:t>tion a</w:t>
      </w:r>
      <w:r w:rsidRPr="00FF5040">
        <w:t>t present th</w:t>
      </w:r>
      <w:r w:rsidR="00113596" w:rsidRPr="00FF5040">
        <w:t>e Danish building sector employ</w:t>
      </w:r>
      <w:r w:rsidRPr="00FF5040">
        <w:t>s some 92</w:t>
      </w:r>
      <w:r w:rsidR="0000579A">
        <w:t>,</w:t>
      </w:r>
      <w:r w:rsidRPr="00FF5040">
        <w:t>000 skilled workers ed</w:t>
      </w:r>
      <w:r w:rsidRPr="00FF5040">
        <w:t>u</w:t>
      </w:r>
      <w:r w:rsidRPr="00FF5040">
        <w:t>cated in the C-VET system and 41</w:t>
      </w:r>
      <w:r w:rsidR="0000579A">
        <w:t>,</w:t>
      </w:r>
      <w:r w:rsidRPr="00FF5040">
        <w:t>000 unskilled workers compared to the total e</w:t>
      </w:r>
      <w:r w:rsidRPr="00FF5040">
        <w:t>m</w:t>
      </w:r>
      <w:r w:rsidRPr="00FF5040">
        <w:t>ployment at 157</w:t>
      </w:r>
      <w:r w:rsidR="0000579A">
        <w:t>,</w:t>
      </w:r>
      <w:r w:rsidRPr="00FF5040">
        <w:t>000 (</w:t>
      </w:r>
      <w:proofErr w:type="spellStart"/>
      <w:r w:rsidRPr="00FF5040">
        <w:t>Forsingdal</w:t>
      </w:r>
      <w:proofErr w:type="spellEnd"/>
      <w:r w:rsidRPr="00FF5040">
        <w:t xml:space="preserve"> et al 2012).</w:t>
      </w:r>
      <w:r w:rsidR="005A5A6A" w:rsidRPr="00FF5040">
        <w:t xml:space="preserve"> </w:t>
      </w:r>
      <w:r w:rsidR="00A9356F" w:rsidRPr="00FF5040">
        <w:t>There are at present 11 educations</w:t>
      </w:r>
      <w:r w:rsidR="00113596" w:rsidRPr="00FF5040">
        <w:t xml:space="preserve"> within building and constructi</w:t>
      </w:r>
      <w:r w:rsidR="00A9356F" w:rsidRPr="00FF5040">
        <w:t xml:space="preserve">on, encompassing plumbing, masonry, carpenters, electricians </w:t>
      </w:r>
      <w:r w:rsidR="00A9356F" w:rsidRPr="00FF5040">
        <w:lastRenderedPageBreak/>
        <w:t xml:space="preserve">and more. </w:t>
      </w:r>
      <w:r w:rsidR="005A5A6A" w:rsidRPr="00FF5040">
        <w:t>In-company training in Denmark takes up 60-75</w:t>
      </w:r>
      <w:r w:rsidR="006475C2" w:rsidRPr="00FF5040">
        <w:t xml:space="preserve"> </w:t>
      </w:r>
      <w:r w:rsidR="005A5A6A" w:rsidRPr="00FF5040">
        <w:t>percent of the training p</w:t>
      </w:r>
      <w:r w:rsidR="005A5A6A" w:rsidRPr="00FF5040">
        <w:t>e</w:t>
      </w:r>
      <w:r w:rsidR="005A5A6A" w:rsidRPr="00FF5040">
        <w:t>riod, compared with only 15 percent in Sweden (</w:t>
      </w:r>
      <w:proofErr w:type="spellStart"/>
      <w:r w:rsidR="005A5A6A" w:rsidRPr="00FF5040">
        <w:t>Cort</w:t>
      </w:r>
      <w:proofErr w:type="spellEnd"/>
      <w:r w:rsidR="005A5A6A" w:rsidRPr="00FF5040">
        <w:t xml:space="preserve"> 2011).</w:t>
      </w:r>
      <w:r w:rsidR="00A9356F" w:rsidRPr="00FF5040">
        <w:t xml:space="preserve"> </w:t>
      </w:r>
      <w:r w:rsidRPr="00FF5040">
        <w:t xml:space="preserve"> Moreover when it comes to vocational training for employees, the enterprises get a wage refund </w:t>
      </w:r>
      <w:r w:rsidR="00A9356F" w:rsidRPr="00FF5040">
        <w:t>as a</w:t>
      </w:r>
      <w:r w:rsidRPr="00FF5040">
        <w:t xml:space="preserve"> particip</w:t>
      </w:r>
      <w:r w:rsidRPr="00FF5040">
        <w:t>a</w:t>
      </w:r>
      <w:r w:rsidRPr="00FF5040">
        <w:t xml:space="preserve">tion incentive from both state funds and competence funds financed from the labour market agreements. Hence there should be the best circumstances for C-VET in the building industry. Despite this - the building industry does not use the system </w:t>
      </w:r>
      <w:r w:rsidR="00664189">
        <w:t>suff</w:t>
      </w:r>
      <w:r w:rsidR="00664189">
        <w:t>i</w:t>
      </w:r>
      <w:r w:rsidR="00664189">
        <w:t>ciently</w:t>
      </w:r>
      <w:r w:rsidRPr="00FF5040">
        <w:t xml:space="preserve"> </w:t>
      </w:r>
      <w:r w:rsidR="00664189">
        <w:t xml:space="preserve">bearing in mind </w:t>
      </w:r>
      <w:r w:rsidRPr="00FF5040">
        <w:t>the needed energy skills</w:t>
      </w:r>
      <w:r w:rsidR="00047388" w:rsidRPr="00FF5040">
        <w:t xml:space="preserve"> </w:t>
      </w:r>
      <w:r w:rsidR="00664189">
        <w:t>and</w:t>
      </w:r>
      <w:r w:rsidR="00047388" w:rsidRPr="00FF5040">
        <w:t xml:space="preserve"> future market demands</w:t>
      </w:r>
      <w:r w:rsidRPr="00FF5040">
        <w:t>. Especia</w:t>
      </w:r>
      <w:r w:rsidRPr="00FF5040">
        <w:t>l</w:t>
      </w:r>
      <w:r w:rsidRPr="00FF5040">
        <w:t xml:space="preserve">ly the industries occupied with insulation and building envelope lack participation whereas plumbers and electricians have </w:t>
      </w:r>
      <w:r w:rsidR="00664189">
        <w:t>more</w:t>
      </w:r>
      <w:r w:rsidRPr="00FF5040">
        <w:t xml:space="preserve"> </w:t>
      </w:r>
      <w:r w:rsidR="00536443">
        <w:t>enrolment</w:t>
      </w:r>
      <w:r w:rsidRPr="00FF5040">
        <w:t xml:space="preserve"> in C-VET due to certification requirements. Furthermore it is a basic assumption in the recent ‘Status Quo 2012’ (</w:t>
      </w:r>
      <w:proofErr w:type="spellStart"/>
      <w:r w:rsidRPr="00FF5040">
        <w:t>Forsingdal</w:t>
      </w:r>
      <w:proofErr w:type="spellEnd"/>
      <w:r w:rsidRPr="00FF5040">
        <w:t xml:space="preserve"> et al 2012) that the Danish C-VET needs modernization, if competencies in the building sector are to fill the necessary role with regard to the individual sp</w:t>
      </w:r>
      <w:r w:rsidRPr="00FF5040">
        <w:t>e</w:t>
      </w:r>
      <w:r w:rsidRPr="00FF5040">
        <w:t xml:space="preserve">cialist workers and craftsman and the performance of the system itself. </w:t>
      </w:r>
      <w:r w:rsidR="00047388" w:rsidRPr="00FF5040">
        <w:t xml:space="preserve">In relation to the growing </w:t>
      </w:r>
      <w:r w:rsidR="006A0CAB">
        <w:t>specialization</w:t>
      </w:r>
      <w:r w:rsidR="00047388" w:rsidRPr="00FF5040">
        <w:t xml:space="preserve"> of the workforce and the quantity of prefabricated building parts the need of interdisciplinary competence is growing. </w:t>
      </w:r>
      <w:r w:rsidRPr="00FF5040">
        <w:t>If this</w:t>
      </w:r>
      <w:r w:rsidR="00047388" w:rsidRPr="00FF5040">
        <w:t xml:space="preserve"> modernization</w:t>
      </w:r>
      <w:r w:rsidRPr="00FF5040">
        <w:t xml:space="preserve"> fails it will constitute a fatal barrier to fulfilment of the Danish 2020 climate plan. </w:t>
      </w:r>
      <w:proofErr w:type="spellStart"/>
      <w:r w:rsidR="00B87006" w:rsidRPr="00FF5040">
        <w:t>Forsingda</w:t>
      </w:r>
      <w:r w:rsidRPr="00FF5040">
        <w:t>l</w:t>
      </w:r>
      <w:proofErr w:type="spellEnd"/>
      <w:r w:rsidRPr="00FF5040">
        <w:t xml:space="preserve"> et al (2012) highlights central points of weakness: </w:t>
      </w:r>
    </w:p>
    <w:p w:rsidR="00DB6E10" w:rsidRPr="00DB6E10" w:rsidRDefault="00DB6E10" w:rsidP="00DB6E10">
      <w:pPr>
        <w:pStyle w:val="BulletList"/>
      </w:pPr>
      <w:r w:rsidRPr="00DB6E10">
        <w:t>There is a lack of cross sectorial understanding between the different specialist areas</w:t>
      </w:r>
    </w:p>
    <w:p w:rsidR="00DB6E10" w:rsidRPr="00DB6E10" w:rsidRDefault="00DB6E10" w:rsidP="00DB6E10">
      <w:pPr>
        <w:pStyle w:val="BulletList"/>
      </w:pPr>
      <w:r w:rsidRPr="00DB6E10">
        <w:t>The contractors have a tendency to approach building projects in a fragmented way and not in a holistic way as clients and users ty</w:t>
      </w:r>
      <w:r w:rsidRPr="00DB6E10">
        <w:t>p</w:t>
      </w:r>
      <w:r w:rsidRPr="00DB6E10">
        <w:t>ically do</w:t>
      </w:r>
    </w:p>
    <w:p w:rsidR="00DB6E10" w:rsidRPr="00DB6E10" w:rsidRDefault="00DB6E10" w:rsidP="00DB6E10">
      <w:pPr>
        <w:pStyle w:val="BulletList"/>
      </w:pPr>
      <w:r w:rsidRPr="00DB6E10">
        <w:t>There is often a lack of understanding between architects, engineering consul</w:t>
      </w:r>
      <w:r w:rsidRPr="00DB6E10">
        <w:t>t</w:t>
      </w:r>
      <w:r w:rsidRPr="00DB6E10">
        <w:t>ants and contractors, and this compromise the expected energy sa</w:t>
      </w:r>
      <w:r w:rsidRPr="00DB6E10">
        <w:t>v</w:t>
      </w:r>
      <w:r w:rsidRPr="00DB6E10">
        <w:t>ings.</w:t>
      </w:r>
    </w:p>
    <w:p w:rsidR="00E52E23" w:rsidRPr="00FF5040" w:rsidRDefault="00E52E23" w:rsidP="00E52E23"/>
    <w:p w:rsidR="004237F6" w:rsidRPr="00FF5040" w:rsidRDefault="004237F6" w:rsidP="004237F6">
      <w:pPr>
        <w:pStyle w:val="SectionSub-heading"/>
      </w:pPr>
      <w:r w:rsidRPr="00FF5040">
        <w:t>Education institutions and labour market parties</w:t>
      </w:r>
    </w:p>
    <w:p w:rsidR="002E23EE" w:rsidRPr="00FF5040" w:rsidRDefault="007F3B06" w:rsidP="004237F6">
      <w:r w:rsidRPr="00FF5040">
        <w:t xml:space="preserve">Despite </w:t>
      </w:r>
      <w:proofErr w:type="spellStart"/>
      <w:r w:rsidRPr="00FF5040">
        <w:t>Forsingdal</w:t>
      </w:r>
      <w:proofErr w:type="spellEnd"/>
      <w:r w:rsidRPr="00FF5040">
        <w:t xml:space="preserve"> et al (2012)'s well</w:t>
      </w:r>
      <w:r w:rsidR="004367C1">
        <w:t>-</w:t>
      </w:r>
      <w:r w:rsidRPr="00FF5040">
        <w:t xml:space="preserve">placed </w:t>
      </w:r>
      <w:proofErr w:type="spellStart"/>
      <w:r w:rsidRPr="00FF5040">
        <w:t>problemati</w:t>
      </w:r>
      <w:r w:rsidR="008342A6">
        <w:t>z</w:t>
      </w:r>
      <w:r w:rsidRPr="00FF5040">
        <w:t>ation</w:t>
      </w:r>
      <w:proofErr w:type="spellEnd"/>
      <w:r w:rsidRPr="00FF5040">
        <w:t xml:space="preserve"> of the VET system, their result also shows that t</w:t>
      </w:r>
      <w:r w:rsidR="00993A2C" w:rsidRPr="00FF5040">
        <w:t xml:space="preserve">here is more focus on </w:t>
      </w:r>
      <w:r w:rsidRPr="00FF5040">
        <w:t>energy efficiency</w:t>
      </w:r>
      <w:r w:rsidR="00993A2C" w:rsidRPr="00FF5040">
        <w:t xml:space="preserve"> in the courses of the vocational training institutions than previously</w:t>
      </w:r>
      <w:r w:rsidRPr="00FF5040">
        <w:t>,</w:t>
      </w:r>
      <w:r w:rsidR="00993A2C" w:rsidRPr="00FF5040">
        <w:t xml:space="preserve"> reflecting a gradual reform from within the system</w:t>
      </w:r>
      <w:r w:rsidRPr="00FF5040">
        <w:t xml:space="preserve"> (Bertelsen et al 2013)</w:t>
      </w:r>
      <w:r w:rsidR="00993A2C" w:rsidRPr="00FF5040">
        <w:t>. Also training of craftsmen in occupation has evolved in this direction.</w:t>
      </w:r>
      <w:r w:rsidR="00A8582F">
        <w:t xml:space="preserve"> </w:t>
      </w:r>
      <w:r w:rsidR="00565310" w:rsidRPr="00FF5040">
        <w:t xml:space="preserve"> </w:t>
      </w:r>
      <w:r w:rsidR="00F85505">
        <w:t xml:space="preserve">The competence </w:t>
      </w:r>
      <w:r w:rsidR="00565310" w:rsidRPr="00FF5040">
        <w:t xml:space="preserve">framework </w:t>
      </w:r>
      <w:r w:rsidR="00993A2C" w:rsidRPr="00FF5040">
        <w:t xml:space="preserve">of understanding </w:t>
      </w:r>
      <w:r w:rsidR="00664189">
        <w:t xml:space="preserve">by </w:t>
      </w:r>
      <w:r w:rsidR="00664189" w:rsidRPr="00FF5040">
        <w:t>Bertelsen et al (2013)</w:t>
      </w:r>
      <w:r w:rsidR="00993A2C" w:rsidRPr="00FF5040">
        <w:t xml:space="preserve"> </w:t>
      </w:r>
      <w:r w:rsidR="00565310" w:rsidRPr="00FF5040">
        <w:t xml:space="preserve">encompasses </w:t>
      </w:r>
      <w:r w:rsidR="00993A2C" w:rsidRPr="00FF5040">
        <w:t>professional competences</w:t>
      </w:r>
      <w:r w:rsidR="003A0F82">
        <w:t xml:space="preserve"> (growing </w:t>
      </w:r>
      <w:r w:rsidR="006A0CAB">
        <w:t>specialization</w:t>
      </w:r>
      <w:r w:rsidR="003A0F82">
        <w:t>)</w:t>
      </w:r>
      <w:r w:rsidR="00993A2C" w:rsidRPr="00FF5040">
        <w:t xml:space="preserve">, </w:t>
      </w:r>
      <w:r w:rsidR="00CE0481" w:rsidRPr="00FF5040">
        <w:t>inter</w:t>
      </w:r>
      <w:r w:rsidR="00993A2C" w:rsidRPr="00FF5040">
        <w:t>di</w:t>
      </w:r>
      <w:r w:rsidR="00993A2C" w:rsidRPr="00FF5040">
        <w:t>s</w:t>
      </w:r>
      <w:r w:rsidR="00993A2C" w:rsidRPr="00FF5040">
        <w:t>ciplinary</w:t>
      </w:r>
      <w:r w:rsidR="003A0F82">
        <w:t xml:space="preserve"> </w:t>
      </w:r>
      <w:r w:rsidR="00F85505">
        <w:t>-</w:t>
      </w:r>
      <w:r w:rsidR="003A0F82">
        <w:t xml:space="preserve">horizontal </w:t>
      </w:r>
      <w:r w:rsidR="00F85505">
        <w:t>and</w:t>
      </w:r>
      <w:r w:rsidR="003A0F82">
        <w:t xml:space="preserve"> vertical</w:t>
      </w:r>
      <w:r w:rsidR="00F85505">
        <w:t>-</w:t>
      </w:r>
      <w:r w:rsidR="00993A2C" w:rsidRPr="00FF5040">
        <w:t xml:space="preserve"> competences, innovation competences</w:t>
      </w:r>
      <w:r w:rsidR="001B7E54" w:rsidRPr="00FF5040">
        <w:t>, teachers</w:t>
      </w:r>
      <w:r w:rsidR="004D0737" w:rsidRPr="00FF5040">
        <w:t>'</w:t>
      </w:r>
      <w:r w:rsidR="001B7E54" w:rsidRPr="00FF5040">
        <w:t xml:space="preserve"> competences and understanding of building cultures</w:t>
      </w:r>
      <w:r w:rsidR="00113596" w:rsidRPr="00FF5040">
        <w:t>, sustainability and industrial building</w:t>
      </w:r>
      <w:r w:rsidR="009A2C28" w:rsidRPr="00FF5040">
        <w:t>.</w:t>
      </w:r>
      <w:r w:rsidR="00113596" w:rsidRPr="00FF5040">
        <w:t xml:space="preserve"> The analysis i</w:t>
      </w:r>
      <w:r w:rsidR="00CE0481" w:rsidRPr="00FF5040">
        <w:t>n</w:t>
      </w:r>
      <w:r w:rsidR="00113596" w:rsidRPr="00FF5040">
        <w:t>volved co-contributions and d</w:t>
      </w:r>
      <w:r w:rsidR="00993A2C" w:rsidRPr="00FF5040">
        <w:t>ialogues with representative</w:t>
      </w:r>
      <w:r w:rsidR="002E23EE" w:rsidRPr="00FF5040">
        <w:t>s</w:t>
      </w:r>
      <w:r w:rsidR="00113596" w:rsidRPr="00FF5040">
        <w:t xml:space="preserve"> from the </w:t>
      </w:r>
      <w:r w:rsidR="006A0CAB">
        <w:t>education</w:t>
      </w:r>
      <w:r w:rsidR="00113596" w:rsidRPr="00FF5040">
        <w:t xml:space="preserve"> committees set up nationally to enable the associative governance (</w:t>
      </w:r>
      <w:proofErr w:type="spellStart"/>
      <w:r w:rsidR="00113596" w:rsidRPr="00FF5040">
        <w:t>Lieshout</w:t>
      </w:r>
      <w:proofErr w:type="spellEnd"/>
      <w:r w:rsidR="00113596" w:rsidRPr="00FF5040">
        <w:t xml:space="preserve"> 2008). Below the position taken by each committee is summarized follo</w:t>
      </w:r>
      <w:r w:rsidR="00113596" w:rsidRPr="00FF5040">
        <w:t>w</w:t>
      </w:r>
      <w:r w:rsidR="00113596" w:rsidRPr="00FF5040">
        <w:t>ing the competence typology</w:t>
      </w:r>
      <w:r w:rsidR="008E7639" w:rsidRPr="00FF5040">
        <w:t>.</w:t>
      </w:r>
    </w:p>
    <w:p w:rsidR="001B7E54" w:rsidRPr="00FF5040" w:rsidRDefault="001B7E54" w:rsidP="001B7E54">
      <w:pPr>
        <w:pStyle w:val="MinorHeading"/>
      </w:pPr>
      <w:r w:rsidRPr="00FF5040">
        <w:t>C</w:t>
      </w:r>
      <w:r w:rsidR="00433D4A" w:rsidRPr="00FF5040">
        <w:t>arpenters committee</w:t>
      </w:r>
    </w:p>
    <w:p w:rsidR="0069415F" w:rsidRPr="00FF5040" w:rsidRDefault="0021476C" w:rsidP="0069415F">
      <w:r w:rsidRPr="00FF5040">
        <w:t xml:space="preserve">Carpenters' </w:t>
      </w:r>
      <w:r w:rsidR="0069415F" w:rsidRPr="00FF5040">
        <w:t>professional competences</w:t>
      </w:r>
      <w:r w:rsidRPr="00FF5040">
        <w:t xml:space="preserve"> will in the future </w:t>
      </w:r>
      <w:r w:rsidR="00F85505">
        <w:t xml:space="preserve">probably </w:t>
      </w:r>
      <w:r w:rsidRPr="00FF5040">
        <w:t>need to have more focus on building physics and knowledge on materials and their interplay. It is likely that the craftsmen need</w:t>
      </w:r>
      <w:r w:rsidR="0069415F" w:rsidRPr="00FF5040">
        <w:t xml:space="preserve"> </w:t>
      </w:r>
      <w:r w:rsidR="008E7639" w:rsidRPr="00FF5040">
        <w:t>inter</w:t>
      </w:r>
      <w:r w:rsidR="0069415F" w:rsidRPr="00FF5040">
        <w:t>disciplinary competences</w:t>
      </w:r>
      <w:r w:rsidRPr="00FF5040">
        <w:t xml:space="preserve"> but increased cooperation could also be realised thro</w:t>
      </w:r>
      <w:r w:rsidR="008E7639" w:rsidRPr="00FF5040">
        <w:t>u</w:t>
      </w:r>
      <w:r w:rsidRPr="00FF5040">
        <w:t>gh management. Leading carpenter enterprises are today able to buil</w:t>
      </w:r>
      <w:r w:rsidR="004367C1">
        <w:t>d</w:t>
      </w:r>
      <w:r w:rsidRPr="00FF5040">
        <w:t xml:space="preserve"> according to the energy demands for 2020 and handle the changed processes that it involves. I</w:t>
      </w:r>
      <w:r w:rsidR="0069415F" w:rsidRPr="00FF5040">
        <w:t>nnovation competences</w:t>
      </w:r>
      <w:r w:rsidRPr="00FF5040">
        <w:t xml:space="preserve"> should therefore support that. The vocational school should prepare for new types of cooperation and processes and the</w:t>
      </w:r>
      <w:r w:rsidR="0069415F" w:rsidRPr="00FF5040">
        <w:t xml:space="preserve"> teachers</w:t>
      </w:r>
      <w:r w:rsidR="00161B37">
        <w:t>'</w:t>
      </w:r>
      <w:r w:rsidR="0069415F" w:rsidRPr="00FF5040">
        <w:t xml:space="preserve"> competences </w:t>
      </w:r>
      <w:r w:rsidRPr="00FF5040">
        <w:t xml:space="preserve">need continual development. </w:t>
      </w:r>
    </w:p>
    <w:p w:rsidR="001B7E54" w:rsidRPr="00FF5040" w:rsidRDefault="001B7E54" w:rsidP="001B7E54">
      <w:pPr>
        <w:pStyle w:val="MinorHeading"/>
      </w:pPr>
      <w:r w:rsidRPr="00FF5040">
        <w:lastRenderedPageBreak/>
        <w:t xml:space="preserve">Masons </w:t>
      </w:r>
      <w:r w:rsidR="00710103" w:rsidRPr="00FF5040">
        <w:t>committee</w:t>
      </w:r>
    </w:p>
    <w:p w:rsidR="001B7E54" w:rsidRPr="00FF5040" w:rsidRDefault="001B7E54" w:rsidP="001B7E54">
      <w:r w:rsidRPr="00FF5040">
        <w:t>The masons</w:t>
      </w:r>
      <w:r w:rsidR="008E7639" w:rsidRPr="00FF5040">
        <w:t>'</w:t>
      </w:r>
      <w:r w:rsidRPr="00FF5040">
        <w:t xml:space="preserve"> education committee found that the masonry craft already possessed the </w:t>
      </w:r>
      <w:r w:rsidR="0069415F" w:rsidRPr="00FF5040">
        <w:t xml:space="preserve">professional competences. Moreover the committee found that </w:t>
      </w:r>
      <w:r w:rsidR="008E7639" w:rsidRPr="00FF5040">
        <w:t>inter</w:t>
      </w:r>
      <w:r w:rsidR="0069415F" w:rsidRPr="00FF5040">
        <w:t>disciplinary co</w:t>
      </w:r>
      <w:r w:rsidR="0069415F" w:rsidRPr="00FF5040">
        <w:t>m</w:t>
      </w:r>
      <w:r w:rsidR="0069415F" w:rsidRPr="00FF5040">
        <w:t>petences would be very dependent of other crafts conservatism. The</w:t>
      </w:r>
      <w:r w:rsidRPr="00FF5040">
        <w:t xml:space="preserve"> innovation co</w:t>
      </w:r>
      <w:r w:rsidRPr="00FF5040">
        <w:t>m</w:t>
      </w:r>
      <w:r w:rsidRPr="00FF5040">
        <w:t>petences</w:t>
      </w:r>
      <w:r w:rsidR="0069415F" w:rsidRPr="00FF5040">
        <w:t xml:space="preserve"> w</w:t>
      </w:r>
      <w:r w:rsidR="008E7639" w:rsidRPr="00FF5040">
        <w:t>ere</w:t>
      </w:r>
      <w:r w:rsidR="0069415F" w:rsidRPr="00FF5040">
        <w:t xml:space="preserve"> understood as more of a need for the common institutions put in place such as information councils</w:t>
      </w:r>
      <w:r w:rsidRPr="00FF5040">
        <w:t>,</w:t>
      </w:r>
      <w:r w:rsidR="0069415F" w:rsidRPr="00FF5040">
        <w:t xml:space="preserve"> to be better at communicating. T</w:t>
      </w:r>
      <w:r w:rsidRPr="00FF5040">
        <w:t>eachers</w:t>
      </w:r>
      <w:r w:rsidR="008E7639" w:rsidRPr="00FF5040">
        <w:t>'</w:t>
      </w:r>
      <w:r w:rsidRPr="00FF5040">
        <w:t xml:space="preserve"> competences</w:t>
      </w:r>
      <w:r w:rsidR="0069415F" w:rsidRPr="00FF5040">
        <w:t xml:space="preserve"> would need the schools management to act in a sanctioning manner, as teaching mat</w:t>
      </w:r>
      <w:r w:rsidR="0069415F" w:rsidRPr="00FF5040">
        <w:t>e</w:t>
      </w:r>
      <w:r w:rsidR="0069415F" w:rsidRPr="00FF5040">
        <w:t>rial on energy ren</w:t>
      </w:r>
      <w:r w:rsidR="00710103" w:rsidRPr="00FF5040">
        <w:t>ovation within masonry is alread</w:t>
      </w:r>
      <w:r w:rsidR="0069415F" w:rsidRPr="00FF5040">
        <w:t xml:space="preserve">y in place. The </w:t>
      </w:r>
      <w:r w:rsidRPr="00FF5040">
        <w:t>understanding of building cultures</w:t>
      </w:r>
      <w:r w:rsidR="0069415F" w:rsidRPr="00FF5040">
        <w:t xml:space="preserve"> tend to be a nostalgic notion on the previously more important role of brick</w:t>
      </w:r>
      <w:r w:rsidR="008E7639" w:rsidRPr="00FF5040">
        <w:t xml:space="preserve"> </w:t>
      </w:r>
      <w:r w:rsidR="0069415F" w:rsidRPr="00FF5040">
        <w:t>wall, yet new regulation actually enables a new way of making brick</w:t>
      </w:r>
      <w:r w:rsidR="008E7639" w:rsidRPr="00FF5040">
        <w:t xml:space="preserve"> </w:t>
      </w:r>
      <w:r w:rsidR="0069415F" w:rsidRPr="00FF5040">
        <w:t>walls.</w:t>
      </w:r>
    </w:p>
    <w:p w:rsidR="002E23EE" w:rsidRPr="00FF5040" w:rsidRDefault="0069415F" w:rsidP="0069415F">
      <w:pPr>
        <w:pStyle w:val="MinorHeading"/>
      </w:pPr>
      <w:r w:rsidRPr="00FF5040">
        <w:t>E</w:t>
      </w:r>
      <w:r w:rsidR="002E23EE" w:rsidRPr="00FF5040">
        <w:t xml:space="preserve">lectricians </w:t>
      </w:r>
      <w:r w:rsidR="00710103" w:rsidRPr="00FF5040">
        <w:t>committee</w:t>
      </w:r>
    </w:p>
    <w:p w:rsidR="0069415F" w:rsidRPr="00FF5040" w:rsidRDefault="00B23289" w:rsidP="0069415F">
      <w:r w:rsidRPr="00FF5040">
        <w:t>Electricians</w:t>
      </w:r>
      <w:r w:rsidR="00C5370E" w:rsidRPr="00FF5040">
        <w:t>'</w:t>
      </w:r>
      <w:r w:rsidRPr="00FF5040">
        <w:t xml:space="preserve"> </w:t>
      </w:r>
      <w:r w:rsidR="0069415F" w:rsidRPr="00FF5040">
        <w:t>professional competences</w:t>
      </w:r>
      <w:r w:rsidRPr="00FF5040">
        <w:t xml:space="preserve"> are today specialised over a wide set of topics</w:t>
      </w:r>
      <w:r w:rsidR="0069415F" w:rsidRPr="00FF5040">
        <w:t>,</w:t>
      </w:r>
      <w:r w:rsidRPr="00FF5040">
        <w:t xml:space="preserve"> while at a time there is a new tendency to group contracts on related areas into bulk contracts. This might lead to new demands for</w:t>
      </w:r>
      <w:r w:rsidR="0069415F" w:rsidRPr="00FF5040">
        <w:t xml:space="preserve"> </w:t>
      </w:r>
      <w:r w:rsidR="00C5370E" w:rsidRPr="00FF5040">
        <w:t>inter</w:t>
      </w:r>
      <w:r w:rsidR="0069415F" w:rsidRPr="00FF5040">
        <w:t>disciplinary competences</w:t>
      </w:r>
      <w:r w:rsidRPr="00FF5040">
        <w:t>. The electricians</w:t>
      </w:r>
      <w:r w:rsidR="00C5370E" w:rsidRPr="00FF5040">
        <w:t>'</w:t>
      </w:r>
      <w:r w:rsidRPr="00FF5040">
        <w:t xml:space="preserve"> education committee found</w:t>
      </w:r>
      <w:r w:rsidR="0069415F" w:rsidRPr="00FF5040">
        <w:t xml:space="preserve"> </w:t>
      </w:r>
      <w:r w:rsidRPr="00FF5040">
        <w:t xml:space="preserve">that </w:t>
      </w:r>
      <w:r w:rsidR="0069415F" w:rsidRPr="00FF5040">
        <w:t>innovation competences</w:t>
      </w:r>
      <w:r w:rsidRPr="00FF5040">
        <w:t xml:space="preserve"> should be built at the vocational schools</w:t>
      </w:r>
      <w:r w:rsidR="0069415F" w:rsidRPr="00FF5040">
        <w:t>,</w:t>
      </w:r>
      <w:r w:rsidRPr="00FF5040">
        <w:t xml:space="preserve"> and that teachers competences should be</w:t>
      </w:r>
      <w:r w:rsidR="00847B70" w:rsidRPr="00FF5040">
        <w:t xml:space="preserve"> develop to support that. I</w:t>
      </w:r>
      <w:r w:rsidRPr="00FF5040">
        <w:t xml:space="preserve">ndirectly </w:t>
      </w:r>
      <w:r w:rsidR="00847B70" w:rsidRPr="00FF5040">
        <w:t xml:space="preserve">that approach </w:t>
      </w:r>
      <w:r w:rsidRPr="00FF5040">
        <w:t>disregards the innovation challenges electricity contrac</w:t>
      </w:r>
      <w:r w:rsidRPr="00FF5040">
        <w:t>t</w:t>
      </w:r>
      <w:r w:rsidRPr="00FF5040">
        <w:t>ing enterprises face</w:t>
      </w:r>
      <w:r w:rsidR="00847B70" w:rsidRPr="00FF5040">
        <w:t xml:space="preserve"> also related to issues of sustainability and new </w:t>
      </w:r>
      <w:r w:rsidR="006A0CAB">
        <w:t>industrialization</w:t>
      </w:r>
      <w:r w:rsidR="00C5370E" w:rsidRPr="00FF5040">
        <w:t>.</w:t>
      </w:r>
    </w:p>
    <w:p w:rsidR="0069415F" w:rsidRPr="00FF5040" w:rsidRDefault="0069415F" w:rsidP="0069415F">
      <w:pPr>
        <w:pStyle w:val="MinorHeading"/>
      </w:pPr>
      <w:r w:rsidRPr="00FF5040">
        <w:t xml:space="preserve">Plumbers </w:t>
      </w:r>
      <w:r w:rsidR="00710103" w:rsidRPr="00FF5040">
        <w:t>committee</w:t>
      </w:r>
    </w:p>
    <w:p w:rsidR="0069415F" w:rsidRPr="00FF5040" w:rsidRDefault="00AC447B" w:rsidP="0069415F">
      <w:r w:rsidRPr="00FF5040">
        <w:t>Like the electricians</w:t>
      </w:r>
      <w:r w:rsidR="00C5370E" w:rsidRPr="00FF5040">
        <w:t>'</w:t>
      </w:r>
      <w:r w:rsidRPr="00FF5040">
        <w:t xml:space="preserve"> the plumber</w:t>
      </w:r>
      <w:r w:rsidR="00C5370E" w:rsidRPr="00FF5040">
        <w:t>s'</w:t>
      </w:r>
      <w:r w:rsidRPr="00FF5040">
        <w:t xml:space="preserve"> education is today split in a larger number of </w:t>
      </w:r>
      <w:r w:rsidR="006A0CAB">
        <w:t>sp</w:t>
      </w:r>
      <w:r w:rsidR="006A0CAB">
        <w:t>e</w:t>
      </w:r>
      <w:r w:rsidR="006A0CAB">
        <w:t>cialization</w:t>
      </w:r>
      <w:r w:rsidRPr="00FF5040">
        <w:t xml:space="preserve">s also in the plumbers areas one can witness large HVAC companies doing broader contracts leading to new kinds of coordination. This could lead to demands for new </w:t>
      </w:r>
      <w:r w:rsidR="00C5370E" w:rsidRPr="00FF5040">
        <w:t>inter</w:t>
      </w:r>
      <w:r w:rsidR="0069415F" w:rsidRPr="00FF5040">
        <w:t>disciplinary competences</w:t>
      </w:r>
      <w:r w:rsidRPr="00FF5040">
        <w:t>. The plumbers committee is in line with the electricians in their view on</w:t>
      </w:r>
      <w:r w:rsidR="0069415F" w:rsidRPr="00FF5040">
        <w:t xml:space="preserve"> innovation</w:t>
      </w:r>
      <w:r w:rsidRPr="00FF5040">
        <w:t xml:space="preserve"> and</w:t>
      </w:r>
      <w:r w:rsidR="0069415F" w:rsidRPr="00FF5040">
        <w:t xml:space="preserve"> teachers competences</w:t>
      </w:r>
      <w:r w:rsidRPr="00FF5040">
        <w:t xml:space="preserve"> etc. </w:t>
      </w:r>
    </w:p>
    <w:p w:rsidR="004237F6" w:rsidRPr="00FF5040" w:rsidRDefault="004237F6" w:rsidP="004237F6">
      <w:pPr>
        <w:pStyle w:val="SectionSub-heading"/>
      </w:pPr>
      <w:r w:rsidRPr="00FF5040">
        <w:t>Energy renovation growth enterprises</w:t>
      </w:r>
    </w:p>
    <w:p w:rsidR="00993A42" w:rsidRPr="00FF5040" w:rsidRDefault="000E252B" w:rsidP="004237F6">
      <w:r w:rsidRPr="00FF5040">
        <w:t>The other central institutional dynamic is the market development of new energy re</w:t>
      </w:r>
      <w:r w:rsidRPr="00FF5040">
        <w:t>n</w:t>
      </w:r>
      <w:r w:rsidRPr="00FF5040">
        <w:t>ovation solutions and services. These generate demands for new competences which in a Danish context should be articulated as demands for education and training in the VET run by the state</w:t>
      </w:r>
      <w:r w:rsidR="00C5370E" w:rsidRPr="00FF5040">
        <w:t xml:space="preserve"> and</w:t>
      </w:r>
      <w:r w:rsidRPr="00FF5040">
        <w:t xml:space="preserve"> given the institutional logic that education is a right for the citizen. Small and medium</w:t>
      </w:r>
      <w:r w:rsidR="00C5370E" w:rsidRPr="00FF5040">
        <w:t xml:space="preserve"> </w:t>
      </w:r>
      <w:r w:rsidRPr="00FF5040">
        <w:t xml:space="preserve">sized companies are very important parts of the Danish building sector, which is much </w:t>
      </w:r>
      <w:proofErr w:type="gramStart"/>
      <w:r w:rsidRPr="00FF5040">
        <w:t>more</w:t>
      </w:r>
      <w:proofErr w:type="gramEnd"/>
      <w:r w:rsidRPr="00FF5040">
        <w:t xml:space="preserve"> fragmented than for example the Swedish. </w:t>
      </w:r>
      <w:r w:rsidR="006F1427" w:rsidRPr="00FF5040">
        <w:t>Below is given illustrative examples from the interviews of the seven companies</w:t>
      </w:r>
      <w:r w:rsidR="00993A42" w:rsidRPr="00FF5040">
        <w:t>. We do not cover all dimension</w:t>
      </w:r>
      <w:r w:rsidR="002C28E3">
        <w:t>s</w:t>
      </w:r>
      <w:r w:rsidR="00993A42" w:rsidRPr="00FF5040">
        <w:t xml:space="preserve"> of competences i</w:t>
      </w:r>
      <w:r w:rsidR="002C28E3">
        <w:t>.</w:t>
      </w:r>
      <w:r w:rsidR="00993A42" w:rsidRPr="00FF5040">
        <w:t xml:space="preserve">e. professional competences, </w:t>
      </w:r>
      <w:r w:rsidR="00C5370E" w:rsidRPr="00FF5040">
        <w:t>inter</w:t>
      </w:r>
      <w:r w:rsidR="00993A42" w:rsidRPr="00FF5040">
        <w:t>disciplinary competences, innovation competences, teachers</w:t>
      </w:r>
      <w:r w:rsidR="002C28E3">
        <w:t>'</w:t>
      </w:r>
      <w:r w:rsidR="00993A42" w:rsidRPr="00FF5040">
        <w:t xml:space="preserve"> competences and understanding of building cultures</w:t>
      </w:r>
      <w:r w:rsidR="00B83CB6" w:rsidRPr="00FF5040">
        <w:t>, sustaina</w:t>
      </w:r>
      <w:r w:rsidRPr="00FF5040">
        <w:t>bility and industrial building.</w:t>
      </w:r>
    </w:p>
    <w:p w:rsidR="001B7E54" w:rsidRPr="00FF5040" w:rsidRDefault="0069415F" w:rsidP="001B7E54">
      <w:pPr>
        <w:pStyle w:val="MinorHeading"/>
      </w:pPr>
      <w:r w:rsidRPr="00FF5040">
        <w:t>Carpenters</w:t>
      </w:r>
    </w:p>
    <w:p w:rsidR="00EE3894" w:rsidRDefault="006F1427" w:rsidP="006F1427">
      <w:r w:rsidRPr="00FF5040">
        <w:t>Enterprise no 1 ha</w:t>
      </w:r>
      <w:r w:rsidR="00A50BFC" w:rsidRPr="00FF5040">
        <w:t>s</w:t>
      </w:r>
      <w:r w:rsidRPr="00FF5040">
        <w:t xml:space="preserve"> recently shifte</w:t>
      </w:r>
      <w:r w:rsidR="00C5370E" w:rsidRPr="00FF5040">
        <w:t>d</w:t>
      </w:r>
      <w:r w:rsidRPr="00FF5040">
        <w:t xml:space="preserve"> main emphasis from new built to renovation, which in 2013 was roughly 70</w:t>
      </w:r>
      <w:r w:rsidR="00C5370E" w:rsidRPr="00FF5040">
        <w:t xml:space="preserve"> </w:t>
      </w:r>
      <w:r w:rsidRPr="00FF5040">
        <w:t>% of their turnover. They sense ambivalence among the customer and act accordingly</w:t>
      </w:r>
      <w:r w:rsidR="00EE3894">
        <w:t xml:space="preserve">. </w:t>
      </w:r>
    </w:p>
    <w:p w:rsidR="001B7E54" w:rsidRPr="00FF5040" w:rsidRDefault="006F1427" w:rsidP="006F1427">
      <w:r w:rsidRPr="00FF5040">
        <w:t>"</w:t>
      </w:r>
      <w:r w:rsidR="00F57E7A" w:rsidRPr="00FF5040">
        <w:t>We typically built according to the</w:t>
      </w:r>
      <w:r w:rsidRPr="00FF5040">
        <w:t xml:space="preserve"> 2015</w:t>
      </w:r>
      <w:r w:rsidR="00F57E7A" w:rsidRPr="00FF5040">
        <w:t xml:space="preserve"> </w:t>
      </w:r>
      <w:r w:rsidR="006D2EAE" w:rsidRPr="00FF5040">
        <w:t xml:space="preserve">regulatory </w:t>
      </w:r>
      <w:r w:rsidR="00F57E7A" w:rsidRPr="00FF5040">
        <w:t>demands</w:t>
      </w:r>
      <w:r w:rsidR="006D2EAE" w:rsidRPr="00FF5040">
        <w:t xml:space="preserve"> </w:t>
      </w:r>
      <w:r w:rsidR="00F57E7A" w:rsidRPr="00FF5040">
        <w:t>but off course we have begun looking forward towards</w:t>
      </w:r>
      <w:r w:rsidRPr="00FF5040">
        <w:t xml:space="preserve"> 2020. </w:t>
      </w:r>
      <w:r w:rsidR="00F57E7A" w:rsidRPr="00FF5040">
        <w:t xml:space="preserve">But this is not part of running operations. We know </w:t>
      </w:r>
      <w:r w:rsidRPr="00FF5040">
        <w:t xml:space="preserve">2020 </w:t>
      </w:r>
      <w:r w:rsidR="00F57E7A" w:rsidRPr="00FF5040">
        <w:t>is comi</w:t>
      </w:r>
      <w:r w:rsidR="006D2EAE" w:rsidRPr="00FF5040">
        <w:t>n</w:t>
      </w:r>
      <w:r w:rsidR="00F57E7A" w:rsidRPr="00FF5040">
        <w:t xml:space="preserve">g and that one should be ready. </w:t>
      </w:r>
      <w:r w:rsidR="004268FD" w:rsidRPr="00FF5040">
        <w:t>But it is at present not</w:t>
      </w:r>
      <w:r w:rsidR="00F57E7A" w:rsidRPr="00FF5040">
        <w:t xml:space="preserve"> what we strive at with regards to generating turnover</w:t>
      </w:r>
      <w:r w:rsidR="0064204F" w:rsidRPr="00FF5040">
        <w:t>.</w:t>
      </w:r>
      <w:r w:rsidR="004268FD" w:rsidRPr="00FF5040">
        <w:t xml:space="preserve"> This </w:t>
      </w:r>
      <w:r w:rsidR="00C5370E" w:rsidRPr="00FF5040">
        <w:t xml:space="preserve">is </w:t>
      </w:r>
      <w:r w:rsidR="004268FD" w:rsidRPr="00FF5040">
        <w:t>also based on our experiences with what the customers will pay for at present</w:t>
      </w:r>
      <w:r w:rsidRPr="00FF5040">
        <w:t xml:space="preserve">. </w:t>
      </w:r>
      <w:r w:rsidR="004268FD" w:rsidRPr="00FF5040">
        <w:t>Our experience is that the customers</w:t>
      </w:r>
      <w:r w:rsidR="00C5370E" w:rsidRPr="00FF5040">
        <w:t>'</w:t>
      </w:r>
      <w:r w:rsidRPr="00FF5040">
        <w:t xml:space="preserve"> intention</w:t>
      </w:r>
      <w:r w:rsidR="004268FD" w:rsidRPr="00FF5040">
        <w:t>s</w:t>
      </w:r>
      <w:r w:rsidRPr="00FF5040">
        <w:t xml:space="preserve"> </w:t>
      </w:r>
      <w:r w:rsidR="004268FD" w:rsidRPr="00FF5040">
        <w:t>a</w:t>
      </w:r>
      <w:r w:rsidRPr="00FF5040">
        <w:t>r</w:t>
      </w:r>
      <w:r w:rsidR="004268FD" w:rsidRPr="00FF5040">
        <w:t>e</w:t>
      </w:r>
      <w:r w:rsidRPr="00FF5040">
        <w:t xml:space="preserve"> </w:t>
      </w:r>
      <w:r w:rsidR="004268FD" w:rsidRPr="00FF5040">
        <w:t>really, really good and everybody asks in detail about it</w:t>
      </w:r>
      <w:r w:rsidRPr="00FF5040">
        <w:t xml:space="preserve">. </w:t>
      </w:r>
      <w:r w:rsidR="004268FD" w:rsidRPr="00FF5040">
        <w:t>Two years ago we did not hear the word energy in the same way, as we do now. When the customers</w:t>
      </w:r>
      <w:r w:rsidR="0064204F" w:rsidRPr="00FF5040">
        <w:t>'</w:t>
      </w:r>
      <w:r w:rsidR="004268FD" w:rsidRPr="00FF5040">
        <w:t xml:space="preserve"> comes to us today, then we hear the word</w:t>
      </w:r>
      <w:r w:rsidRPr="00FF5040">
        <w:t xml:space="preserve"> energ</w:t>
      </w:r>
      <w:r w:rsidR="004268FD" w:rsidRPr="00FF5040">
        <w:t>y every other time</w:t>
      </w:r>
      <w:r w:rsidRPr="00FF5040">
        <w:t xml:space="preserve">. </w:t>
      </w:r>
      <w:r w:rsidR="00A96B11" w:rsidRPr="00F4302A">
        <w:t xml:space="preserve">But when the offer comes…. </w:t>
      </w:r>
      <w:r w:rsidR="004268FD" w:rsidRPr="0000579A">
        <w:t xml:space="preserve">Then there is a tendency that people decline… they have to invest a lot </w:t>
      </w:r>
      <w:r w:rsidR="00A96B11">
        <w:t xml:space="preserve">of </w:t>
      </w:r>
      <w:r w:rsidR="00A96B11">
        <w:lastRenderedPageBreak/>
        <w:t>money now. In some areas it is not only 7</w:t>
      </w:r>
      <w:r w:rsidR="00161B37">
        <w:t>-</w:t>
      </w:r>
      <w:r w:rsidR="00A96B11">
        <w:t>10 years of pay back but considerably lon</w:t>
      </w:r>
      <w:r w:rsidR="00A96B11">
        <w:t>g</w:t>
      </w:r>
      <w:r w:rsidR="00A96B11">
        <w:t>er. So it is an act of balance." (Bertelsen et al 2013)</w:t>
      </w:r>
    </w:p>
    <w:p w:rsidR="006F1427" w:rsidRPr="00FF5040" w:rsidRDefault="00A96B11" w:rsidP="006F1427">
      <w:r>
        <w:t>In terms of innovation they see themselves as "not inventing the wheel." Again a mi</w:t>
      </w:r>
      <w:r>
        <w:t>d</w:t>
      </w:r>
      <w:r>
        <w:t>dle of the road positioning, with not too radical insulations demands</w:t>
      </w:r>
      <w:r w:rsidR="00EE3894">
        <w:t xml:space="preserve">, </w:t>
      </w:r>
      <w:r>
        <w:t>education and training of employees are an internal process</w:t>
      </w:r>
      <w:r w:rsidR="00161B37">
        <w:t>,</w:t>
      </w:r>
      <w:r>
        <w:t xml:space="preserve"> and they do not draw on the C-VET sy</w:t>
      </w:r>
      <w:r>
        <w:t>s</w:t>
      </w:r>
      <w:r>
        <w:t>tem. As the interviewee comments: "I wouldn't even call it courses." (Bertelsen et al 2013)</w:t>
      </w:r>
    </w:p>
    <w:p w:rsidR="0069415F" w:rsidRPr="00FF5040" w:rsidRDefault="00A96B11" w:rsidP="0069415F">
      <w:pPr>
        <w:pStyle w:val="MinorHeading"/>
      </w:pPr>
      <w:r>
        <w:t>Masons</w:t>
      </w:r>
    </w:p>
    <w:p w:rsidR="00A50BFC" w:rsidRPr="00FF5040" w:rsidRDefault="00A96B11" w:rsidP="0069415F">
      <w:r>
        <w:t>Enterprise no 3 a masonry company interviewed are repudiated as being innovative and growing. At present they have sixteen employees. They cannot at present compete with prefabricated detached houses, which are considered lower prices (and can be low energy consumption compliant). On the local energy renovation market of d</w:t>
      </w:r>
      <w:r>
        <w:t>e</w:t>
      </w:r>
      <w:r>
        <w:t>tached houses the company has been able to sell a series of outer add on insulation with cladding. The company is participating in several projects on energy renovation, but is not using the VET system for competence development.</w:t>
      </w:r>
    </w:p>
    <w:p w:rsidR="0069415F" w:rsidRPr="00FF5040" w:rsidRDefault="00A96B11" w:rsidP="0069415F">
      <w:pPr>
        <w:pStyle w:val="MinorHeading"/>
      </w:pPr>
      <w:r>
        <w:t>Plumbers</w:t>
      </w:r>
    </w:p>
    <w:p w:rsidR="00DA1A2E" w:rsidRPr="00FF5040" w:rsidRDefault="00A96B11" w:rsidP="00DA1A2E">
      <w:pPr>
        <w:rPr>
          <w:lang w:eastAsia="en-US"/>
        </w:rPr>
      </w:pPr>
      <w:r>
        <w:t>Enterprise no 4 put emphasis on a joint identity. To develop that they use a particular organisation of groups "around" a first line manager. Internal training is used to su</w:t>
      </w:r>
      <w:r>
        <w:t>p</w:t>
      </w:r>
      <w:r>
        <w:t>port the development of common identity. Energy renovation and other innovation do not play a large role in this company. When competence needs emerge, they would usually turn to the supplier, for example in the case of heat pumps. Moreover C-VET courses are used to a limited extent.</w:t>
      </w:r>
    </w:p>
    <w:p w:rsidR="00710103" w:rsidRPr="00FF5040" w:rsidRDefault="00A96B11" w:rsidP="00710103">
      <w:pPr>
        <w:pStyle w:val="MinorHeading"/>
      </w:pPr>
      <w:r>
        <w:t>Electricians</w:t>
      </w:r>
    </w:p>
    <w:p w:rsidR="00710103" w:rsidRPr="00FF5040" w:rsidRDefault="00A96B11" w:rsidP="00710103">
      <w:r>
        <w:t>Enterprise no 7 has been able recently to sell systems for monitoring of energy to their regular customers, on which their business is completely based. Enterprise no 7 views themselves as relatively connected to tradition, yet also have expertise in KNX, IHC and LON</w:t>
      </w:r>
      <w:r w:rsidR="00F85505">
        <w:t xml:space="preserve"> (standards for communication)</w:t>
      </w:r>
      <w:r>
        <w:t>. They also emphasise interdisciplinary skills. Use of C-VET does not get mentioned at the interview.</w:t>
      </w:r>
    </w:p>
    <w:p w:rsidR="00191657" w:rsidRPr="00FF5040" w:rsidRDefault="00A96B11" w:rsidP="00191657">
      <w:pPr>
        <w:pStyle w:val="SectionHeading"/>
      </w:pPr>
      <w:r>
        <w:t>Discussion</w:t>
      </w:r>
    </w:p>
    <w:p w:rsidR="00DF4AC2" w:rsidRDefault="00A96B11" w:rsidP="00DF4AC2">
      <w:r>
        <w:t xml:space="preserve">The process </w:t>
      </w:r>
      <w:r w:rsidR="00F85505">
        <w:t xml:space="preserve">of setting the institutions of knowing in motion is complex and </w:t>
      </w:r>
      <w:r>
        <w:t>feature i</w:t>
      </w:r>
      <w:r>
        <w:t>n</w:t>
      </w:r>
      <w:r>
        <w:t>stitutional work in a kind of top down - bottom up fashion</w:t>
      </w:r>
      <w:r w:rsidR="00F85505">
        <w:t xml:space="preserve"> as one main axis</w:t>
      </w:r>
      <w:r>
        <w:t>. The top down institutional process involves inside and across schools and representatives of craft disciplines whereas the bottom up derives from energy oriented craft based SMEs involved in new buil</w:t>
      </w:r>
      <w:r w:rsidR="00F8592B">
        <w:t>ding</w:t>
      </w:r>
      <w:r>
        <w:t xml:space="preserve"> and renovation with an energy aspect.</w:t>
      </w:r>
      <w:r w:rsidR="00A8582F">
        <w:t xml:space="preserve"> </w:t>
      </w:r>
      <w:r>
        <w:t xml:space="preserve">The top down element </w:t>
      </w:r>
      <w:r w:rsidR="006D1752">
        <w:t xml:space="preserve">occurred </w:t>
      </w:r>
      <w:r>
        <w:t xml:space="preserve">through the </w:t>
      </w:r>
      <w:r w:rsidR="006A0CAB">
        <w:t>education</w:t>
      </w:r>
      <w:r>
        <w:t xml:space="preserve"> committees' position in the issues of energy competences. It is interesting to note that even within the committees put in place to enable a continual reform of the vocational training, there is clear examples of co</w:t>
      </w:r>
      <w:r>
        <w:t>n</w:t>
      </w:r>
      <w:r>
        <w:t xml:space="preserve">servatism. In this case it is played out especially with the </w:t>
      </w:r>
      <w:r w:rsidR="00F8592B" w:rsidRPr="00F8592B">
        <w:t xml:space="preserve">electricians and plumbers </w:t>
      </w:r>
      <w:r>
        <w:t>committee, but the other committees' also encompasses elements of preservative for</w:t>
      </w:r>
      <w:r>
        <w:t>c</w:t>
      </w:r>
      <w:r>
        <w:t>es</w:t>
      </w:r>
      <w:r w:rsidR="006D1752">
        <w:t xml:space="preserve"> contributing to maintaining the existing institution</w:t>
      </w:r>
      <w:r>
        <w:t>. Moreover the proposals appear routine like and does not reflect much incorporation of contemporary trends in the building sector. The interviews with the SME companies show that they operate pragmatically within and outside the energy renovation market. The anticipation of f</w:t>
      </w:r>
      <w:r>
        <w:t>u</w:t>
      </w:r>
      <w:r>
        <w:t>ture regulation of 2015</w:t>
      </w:r>
      <w:r w:rsidR="00F9370B">
        <w:t>,</w:t>
      </w:r>
      <w:r>
        <w:t xml:space="preserve"> 2020 creates an institutional pressure </w:t>
      </w:r>
      <w:r w:rsidR="006D1752">
        <w:t xml:space="preserve">(and legitimation) </w:t>
      </w:r>
      <w:r>
        <w:t>in e</w:t>
      </w:r>
      <w:r>
        <w:t>d</w:t>
      </w:r>
      <w:r>
        <w:t>ucation for change on the company which they clearly sense. This includes handling differentiated demands of customers, not always just following regulation but occ</w:t>
      </w:r>
      <w:r>
        <w:t>a</w:t>
      </w:r>
      <w:r>
        <w:t xml:space="preserve">sionally ahead of it. At a time this needs to be balanced with customer needs </w:t>
      </w:r>
      <w:r w:rsidR="006D1752">
        <w:t>of</w:t>
      </w:r>
      <w:r>
        <w:t xml:space="preserve"> co</w:t>
      </w:r>
      <w:r>
        <w:t>m</w:t>
      </w:r>
      <w:r>
        <w:lastRenderedPageBreak/>
        <w:t>fort</w:t>
      </w:r>
      <w:r w:rsidR="006D1752">
        <w:t>,</w:t>
      </w:r>
      <w:r>
        <w:t xml:space="preserve"> convenience cost</w:t>
      </w:r>
      <w:r w:rsidR="006D1752">
        <w:t xml:space="preserve"> control</w:t>
      </w:r>
      <w:r>
        <w:t xml:space="preserve"> and financing. Moreover technical </w:t>
      </w:r>
      <w:r w:rsidR="00DF4AC2" w:rsidRPr="00147B2A">
        <w:t>aspects such as ai</w:t>
      </w:r>
      <w:r w:rsidR="00DF4AC2" w:rsidRPr="00147B2A">
        <w:t>r</w:t>
      </w:r>
      <w:r w:rsidR="00DF4AC2" w:rsidRPr="00147B2A">
        <w:t>tightness are also proliferated, pointing at orchestrated competences rather than mer</w:t>
      </w:r>
      <w:r w:rsidR="00DF4AC2" w:rsidRPr="00147B2A">
        <w:t>e</w:t>
      </w:r>
      <w:r w:rsidR="00DF4AC2" w:rsidRPr="00147B2A">
        <w:t xml:space="preserve">ly isolated innovation, commercial or technical competences. </w:t>
      </w:r>
      <w:r w:rsidR="006D1752">
        <w:t>The direction of this i</w:t>
      </w:r>
      <w:r w:rsidR="006D1752">
        <w:t>n</w:t>
      </w:r>
      <w:r w:rsidR="006D1752">
        <w:t xml:space="preserve">stitutional work is therefore </w:t>
      </w:r>
      <w:r w:rsidR="00A8582F">
        <w:t>ambiguous</w:t>
      </w:r>
      <w:r w:rsidR="006D1752">
        <w:t xml:space="preserve"> and used in a political manner both for adv</w:t>
      </w:r>
      <w:r w:rsidR="006D1752">
        <w:t>o</w:t>
      </w:r>
      <w:r w:rsidR="006D1752">
        <w:t xml:space="preserve">cating change/disruptions of the institutions of knowing and for maintaining them. </w:t>
      </w:r>
    </w:p>
    <w:p w:rsidR="00BE18AF" w:rsidRDefault="00A96B11" w:rsidP="00BE18AF">
      <w:r>
        <w:t xml:space="preserve">Table 1: The </w:t>
      </w:r>
      <w:r w:rsidR="002A5F78">
        <w:t xml:space="preserve">education </w:t>
      </w:r>
      <w:r>
        <w:t>committees</w:t>
      </w:r>
      <w:r w:rsidR="002A5F78">
        <w:t>'</w:t>
      </w:r>
      <w:r>
        <w:t xml:space="preserve"> evaluation of needed </w:t>
      </w:r>
      <w:r w:rsidR="001108E9">
        <w:t>competences</w:t>
      </w:r>
    </w:p>
    <w:tbl>
      <w:tblPr>
        <w:tblW w:w="0" w:type="auto"/>
        <w:tblInd w:w="-34" w:type="dxa"/>
        <w:tblLayout w:type="fixed"/>
        <w:tblLook w:val="04A0" w:firstRow="1" w:lastRow="0" w:firstColumn="1" w:lastColumn="0" w:noHBand="0" w:noVBand="1"/>
      </w:tblPr>
      <w:tblGrid>
        <w:gridCol w:w="6805"/>
        <w:gridCol w:w="425"/>
        <w:gridCol w:w="425"/>
        <w:gridCol w:w="425"/>
        <w:gridCol w:w="426"/>
        <w:tblGridChange w:id="2">
          <w:tblGrid>
            <w:gridCol w:w="6805"/>
            <w:gridCol w:w="425"/>
            <w:gridCol w:w="425"/>
            <w:gridCol w:w="425"/>
            <w:gridCol w:w="426"/>
          </w:tblGrid>
        </w:tblGridChange>
      </w:tblGrid>
      <w:tr w:rsidR="00CE597B" w:rsidTr="0038362A">
        <w:trPr>
          <w:cantSplit/>
          <w:trHeight w:val="1135"/>
        </w:trPr>
        <w:tc>
          <w:tcPr>
            <w:tcW w:w="6805" w:type="dxa"/>
          </w:tcPr>
          <w:p w:rsidR="00CE597B" w:rsidRPr="00CE597B" w:rsidRDefault="00CE597B" w:rsidP="00CE597B">
            <w:r>
              <w:t>Competences:</w:t>
            </w:r>
            <w:r w:rsidR="00EE54BB">
              <w:t xml:space="preserve">                                                                  Commi</w:t>
            </w:r>
            <w:r w:rsidR="00EE54BB">
              <w:t>t</w:t>
            </w:r>
            <w:r w:rsidR="00EE54BB">
              <w:t>tees:</w:t>
            </w:r>
          </w:p>
        </w:tc>
        <w:tc>
          <w:tcPr>
            <w:tcW w:w="425" w:type="dxa"/>
            <w:textDirection w:val="btLr"/>
          </w:tcPr>
          <w:p w:rsidR="00CE597B" w:rsidRPr="00CE597B" w:rsidRDefault="00CE597B" w:rsidP="00CE597B">
            <w:r>
              <w:t>Carpe</w:t>
            </w:r>
            <w:r>
              <w:t>n</w:t>
            </w:r>
            <w:r>
              <w:t>ter</w:t>
            </w:r>
          </w:p>
        </w:tc>
        <w:tc>
          <w:tcPr>
            <w:tcW w:w="425" w:type="dxa"/>
            <w:textDirection w:val="btLr"/>
          </w:tcPr>
          <w:p w:rsidR="00CE597B" w:rsidRPr="00CE597B" w:rsidRDefault="004367C1" w:rsidP="0038362A">
            <w:r>
              <w:t>Mason</w:t>
            </w:r>
          </w:p>
        </w:tc>
        <w:tc>
          <w:tcPr>
            <w:tcW w:w="425" w:type="dxa"/>
            <w:textDirection w:val="btLr"/>
          </w:tcPr>
          <w:p w:rsidR="00CE597B" w:rsidRPr="00CE597B" w:rsidRDefault="00CE597B" w:rsidP="0038362A">
            <w:r>
              <w:t>Plumbers</w:t>
            </w:r>
          </w:p>
        </w:tc>
        <w:tc>
          <w:tcPr>
            <w:tcW w:w="426" w:type="dxa"/>
            <w:textDirection w:val="btLr"/>
          </w:tcPr>
          <w:p w:rsidR="00CE597B" w:rsidRPr="00CE597B" w:rsidRDefault="00CE597B" w:rsidP="0038362A">
            <w:r>
              <w:t>Electricity</w:t>
            </w:r>
          </w:p>
        </w:tc>
      </w:tr>
      <w:tr w:rsidR="00CE597B" w:rsidTr="0038362A">
        <w:trPr>
          <w:cantSplit/>
          <w:trHeight w:val="273"/>
        </w:trPr>
        <w:tc>
          <w:tcPr>
            <w:tcW w:w="6805" w:type="dxa"/>
          </w:tcPr>
          <w:p w:rsidR="00EE54BB" w:rsidRPr="00CE597B" w:rsidRDefault="00EE54BB" w:rsidP="0038362A">
            <w:r>
              <w:t>Professional competences:</w:t>
            </w:r>
          </w:p>
        </w:tc>
        <w:tc>
          <w:tcPr>
            <w:tcW w:w="425" w:type="dxa"/>
            <w:textDirection w:val="btLr"/>
          </w:tcPr>
          <w:p w:rsidR="00CE597B" w:rsidRPr="00CE597B" w:rsidRDefault="00CE597B" w:rsidP="00CE597B"/>
        </w:tc>
        <w:tc>
          <w:tcPr>
            <w:tcW w:w="425" w:type="dxa"/>
            <w:textDirection w:val="btLr"/>
          </w:tcPr>
          <w:p w:rsidR="00CE597B" w:rsidRPr="00CE597B" w:rsidRDefault="00CE597B" w:rsidP="00CE597B"/>
        </w:tc>
        <w:tc>
          <w:tcPr>
            <w:tcW w:w="425" w:type="dxa"/>
            <w:textDirection w:val="btLr"/>
          </w:tcPr>
          <w:p w:rsidR="00CE597B" w:rsidRPr="00CE597B" w:rsidRDefault="00CE597B" w:rsidP="00CE597B"/>
        </w:tc>
        <w:tc>
          <w:tcPr>
            <w:tcW w:w="426" w:type="dxa"/>
            <w:textDirection w:val="btLr"/>
          </w:tcPr>
          <w:p w:rsidR="00CE597B" w:rsidRPr="00CE597B" w:rsidRDefault="00CE597B" w:rsidP="00CE597B"/>
        </w:tc>
      </w:tr>
      <w:tr w:rsidR="00A57B8C" w:rsidTr="00D16D31">
        <w:trPr>
          <w:cantSplit/>
          <w:trHeight w:val="255"/>
        </w:trPr>
        <w:tc>
          <w:tcPr>
            <w:tcW w:w="6805" w:type="dxa"/>
          </w:tcPr>
          <w:p w:rsidR="00A57B8C" w:rsidRPr="00CE597B" w:rsidRDefault="00A57B8C" w:rsidP="00CE597B">
            <w:r>
              <w:t>1. Knowledge of building physics, materials and the interaction</w:t>
            </w:r>
          </w:p>
        </w:tc>
        <w:tc>
          <w:tcPr>
            <w:tcW w:w="425" w:type="dxa"/>
          </w:tcPr>
          <w:p w:rsidR="00A57B8C" w:rsidRPr="00FF5040" w:rsidDel="005D2215" w:rsidRDefault="00A57B8C" w:rsidP="00F37159">
            <w:r>
              <w:t>+</w:t>
            </w:r>
          </w:p>
        </w:tc>
        <w:tc>
          <w:tcPr>
            <w:tcW w:w="425" w:type="dxa"/>
          </w:tcPr>
          <w:p w:rsidR="00A57B8C" w:rsidRPr="00FF5040" w:rsidDel="005D2215" w:rsidRDefault="00A57B8C" w:rsidP="00F37159"/>
        </w:tc>
        <w:tc>
          <w:tcPr>
            <w:tcW w:w="425" w:type="dxa"/>
          </w:tcPr>
          <w:p w:rsidR="00A57B8C" w:rsidRPr="00FF5040" w:rsidDel="005D2215" w:rsidRDefault="00A57B8C" w:rsidP="00F37159"/>
        </w:tc>
        <w:tc>
          <w:tcPr>
            <w:tcW w:w="426" w:type="dxa"/>
          </w:tcPr>
          <w:p w:rsidR="00A57B8C" w:rsidRPr="00FF5040" w:rsidDel="005D2215" w:rsidRDefault="00A57B8C" w:rsidP="00F37159"/>
        </w:tc>
      </w:tr>
      <w:tr w:rsidR="00A57B8C" w:rsidTr="00977341">
        <w:trPr>
          <w:cantSplit/>
          <w:trHeight w:val="341"/>
        </w:trPr>
        <w:tc>
          <w:tcPr>
            <w:tcW w:w="6805" w:type="dxa"/>
          </w:tcPr>
          <w:p w:rsidR="00A57B8C" w:rsidRPr="00CE597B" w:rsidRDefault="00A57B8C" w:rsidP="00CE597B">
            <w:r w:rsidRPr="00EE54BB">
              <w:t>2. Sustainable construction, energy efficiency and renewable energy</w:t>
            </w:r>
          </w:p>
        </w:tc>
        <w:tc>
          <w:tcPr>
            <w:tcW w:w="425" w:type="dxa"/>
          </w:tcPr>
          <w:p w:rsidR="00A57B8C" w:rsidRPr="00FF5040" w:rsidDel="005D2215" w:rsidRDefault="00A57B8C" w:rsidP="00F37159"/>
        </w:tc>
        <w:tc>
          <w:tcPr>
            <w:tcW w:w="425" w:type="dxa"/>
          </w:tcPr>
          <w:p w:rsidR="00A57B8C" w:rsidRPr="00FF5040" w:rsidDel="005D2215" w:rsidRDefault="00A57B8C" w:rsidP="00F37159"/>
        </w:tc>
        <w:tc>
          <w:tcPr>
            <w:tcW w:w="425" w:type="dxa"/>
          </w:tcPr>
          <w:p w:rsidR="00A57B8C" w:rsidRPr="00FF5040" w:rsidDel="005D2215" w:rsidRDefault="00A57B8C" w:rsidP="00F37159">
            <w:r>
              <w:t>+</w:t>
            </w:r>
          </w:p>
        </w:tc>
        <w:tc>
          <w:tcPr>
            <w:tcW w:w="426" w:type="dxa"/>
          </w:tcPr>
          <w:p w:rsidR="00A57B8C" w:rsidRPr="00FF5040" w:rsidDel="005D2215" w:rsidRDefault="00A57B8C" w:rsidP="00F37159">
            <w:r>
              <w:t>+</w:t>
            </w:r>
          </w:p>
        </w:tc>
      </w:tr>
      <w:tr w:rsidR="00A57B8C" w:rsidTr="00E7189F">
        <w:trPr>
          <w:cantSplit/>
          <w:trHeight w:val="361"/>
        </w:trPr>
        <w:tc>
          <w:tcPr>
            <w:tcW w:w="6805" w:type="dxa"/>
          </w:tcPr>
          <w:p w:rsidR="00A57B8C" w:rsidRPr="00CE597B" w:rsidRDefault="00A57B8C" w:rsidP="0038362A">
            <w:r w:rsidRPr="00EE54BB">
              <w:t xml:space="preserve">3. Competitive construction methods and new energy solutions </w:t>
            </w:r>
          </w:p>
        </w:tc>
        <w:tc>
          <w:tcPr>
            <w:tcW w:w="425" w:type="dxa"/>
          </w:tcPr>
          <w:p w:rsidR="00A57B8C" w:rsidRPr="00FF5040" w:rsidDel="005D2215" w:rsidRDefault="00A57B8C" w:rsidP="00F37159">
            <w:r>
              <w:t>+</w:t>
            </w:r>
          </w:p>
        </w:tc>
        <w:tc>
          <w:tcPr>
            <w:tcW w:w="425" w:type="dxa"/>
          </w:tcPr>
          <w:p w:rsidR="00A57B8C" w:rsidRPr="00FF5040" w:rsidDel="005D2215" w:rsidRDefault="00A57B8C" w:rsidP="00F37159">
            <w:r>
              <w:t>+</w:t>
            </w:r>
          </w:p>
        </w:tc>
        <w:tc>
          <w:tcPr>
            <w:tcW w:w="425" w:type="dxa"/>
          </w:tcPr>
          <w:p w:rsidR="00A57B8C" w:rsidRPr="00FF5040" w:rsidDel="005D2215" w:rsidRDefault="00A57B8C" w:rsidP="00F37159">
            <w:r>
              <w:t>+</w:t>
            </w:r>
          </w:p>
        </w:tc>
        <w:tc>
          <w:tcPr>
            <w:tcW w:w="426" w:type="dxa"/>
          </w:tcPr>
          <w:p w:rsidR="00A57B8C" w:rsidRPr="00FF5040" w:rsidDel="005D2215" w:rsidRDefault="00A57B8C" w:rsidP="00F37159"/>
        </w:tc>
      </w:tr>
      <w:tr w:rsidR="00A57B8C" w:rsidTr="003A7697">
        <w:trPr>
          <w:cantSplit/>
          <w:trHeight w:val="395"/>
        </w:trPr>
        <w:tc>
          <w:tcPr>
            <w:tcW w:w="6805" w:type="dxa"/>
          </w:tcPr>
          <w:p w:rsidR="00A57B8C" w:rsidRPr="00CE597B" w:rsidRDefault="00A57B8C" w:rsidP="00CE597B">
            <w:r w:rsidRPr="00EE54BB">
              <w:t>4. Competence in integrated and total construction solutions</w:t>
            </w:r>
          </w:p>
        </w:tc>
        <w:tc>
          <w:tcPr>
            <w:tcW w:w="425" w:type="dxa"/>
          </w:tcPr>
          <w:p w:rsidR="00A57B8C" w:rsidRPr="00FF5040" w:rsidDel="005D2215" w:rsidRDefault="00A57B8C" w:rsidP="00F37159"/>
        </w:tc>
        <w:tc>
          <w:tcPr>
            <w:tcW w:w="425" w:type="dxa"/>
          </w:tcPr>
          <w:p w:rsidR="00A57B8C" w:rsidRPr="00FF5040" w:rsidDel="005D2215" w:rsidRDefault="00A57B8C" w:rsidP="00F37159"/>
        </w:tc>
        <w:tc>
          <w:tcPr>
            <w:tcW w:w="425" w:type="dxa"/>
          </w:tcPr>
          <w:p w:rsidR="00A57B8C" w:rsidRPr="00FF5040" w:rsidDel="005D2215" w:rsidRDefault="00A57B8C" w:rsidP="00F37159">
            <w:r>
              <w:t>+</w:t>
            </w:r>
          </w:p>
        </w:tc>
        <w:tc>
          <w:tcPr>
            <w:tcW w:w="426" w:type="dxa"/>
          </w:tcPr>
          <w:p w:rsidR="00A57B8C" w:rsidRPr="00FF5040" w:rsidDel="005D2215" w:rsidRDefault="00A57B8C" w:rsidP="00F37159">
            <w:r>
              <w:t>+</w:t>
            </w:r>
          </w:p>
        </w:tc>
      </w:tr>
      <w:tr w:rsidR="00EE54BB" w:rsidTr="0038362A">
        <w:trPr>
          <w:cantSplit/>
          <w:trHeight w:val="415"/>
        </w:trPr>
        <w:tc>
          <w:tcPr>
            <w:tcW w:w="6805" w:type="dxa"/>
          </w:tcPr>
          <w:p w:rsidR="00EE54BB" w:rsidRPr="00CE597B" w:rsidRDefault="005D2215" w:rsidP="0038362A">
            <w:r w:rsidRPr="005D2215">
              <w:t>Interdisciplinary competences:</w:t>
            </w:r>
          </w:p>
        </w:tc>
        <w:tc>
          <w:tcPr>
            <w:tcW w:w="425" w:type="dxa"/>
            <w:textDirection w:val="btLr"/>
          </w:tcPr>
          <w:p w:rsidR="00EE54BB" w:rsidRPr="00CE597B" w:rsidRDefault="00EE54BB" w:rsidP="00CE597B"/>
        </w:tc>
        <w:tc>
          <w:tcPr>
            <w:tcW w:w="425" w:type="dxa"/>
            <w:textDirection w:val="btLr"/>
          </w:tcPr>
          <w:p w:rsidR="00EE54BB" w:rsidRPr="00CE597B" w:rsidRDefault="00EE54BB" w:rsidP="00CE597B"/>
        </w:tc>
        <w:tc>
          <w:tcPr>
            <w:tcW w:w="425" w:type="dxa"/>
            <w:textDirection w:val="btLr"/>
          </w:tcPr>
          <w:p w:rsidR="00EE54BB" w:rsidRPr="00CE597B" w:rsidRDefault="00EE54BB" w:rsidP="00CE597B"/>
        </w:tc>
        <w:tc>
          <w:tcPr>
            <w:tcW w:w="426" w:type="dxa"/>
            <w:textDirection w:val="btLr"/>
          </w:tcPr>
          <w:p w:rsidR="00EE54BB" w:rsidRPr="00CE597B" w:rsidRDefault="00EE54BB" w:rsidP="00CE597B"/>
        </w:tc>
      </w:tr>
      <w:tr w:rsidR="00A57B8C" w:rsidTr="00876ED7">
        <w:trPr>
          <w:cantSplit/>
          <w:trHeight w:val="434"/>
        </w:trPr>
        <w:tc>
          <w:tcPr>
            <w:tcW w:w="6805" w:type="dxa"/>
          </w:tcPr>
          <w:p w:rsidR="00A57B8C" w:rsidRPr="00CE597B" w:rsidRDefault="00A57B8C" w:rsidP="0038362A">
            <w:r w:rsidRPr="005D2215">
              <w:t>5. Horizontal cooperation and responsibility for the final building</w:t>
            </w:r>
          </w:p>
        </w:tc>
        <w:tc>
          <w:tcPr>
            <w:tcW w:w="425" w:type="dxa"/>
          </w:tcPr>
          <w:p w:rsidR="00A57B8C" w:rsidRPr="00FF5040" w:rsidDel="005D2215" w:rsidRDefault="00A57B8C" w:rsidP="00F37159">
            <w:r>
              <w:t>+</w:t>
            </w:r>
          </w:p>
        </w:tc>
        <w:tc>
          <w:tcPr>
            <w:tcW w:w="425" w:type="dxa"/>
          </w:tcPr>
          <w:p w:rsidR="00A57B8C" w:rsidRPr="00FF5040" w:rsidDel="005D2215" w:rsidRDefault="00A57B8C" w:rsidP="00F37159">
            <w:r>
              <w:t>+</w:t>
            </w:r>
          </w:p>
        </w:tc>
        <w:tc>
          <w:tcPr>
            <w:tcW w:w="425" w:type="dxa"/>
          </w:tcPr>
          <w:p w:rsidR="00A57B8C" w:rsidRPr="00FF5040" w:rsidDel="005D2215" w:rsidRDefault="00A57B8C" w:rsidP="00F37159"/>
        </w:tc>
        <w:tc>
          <w:tcPr>
            <w:tcW w:w="426" w:type="dxa"/>
          </w:tcPr>
          <w:p w:rsidR="00A57B8C" w:rsidRPr="00FF5040" w:rsidDel="005D2215" w:rsidRDefault="00A57B8C" w:rsidP="00F37159"/>
        </w:tc>
      </w:tr>
      <w:tr w:rsidR="00A57B8C" w:rsidTr="00490825">
        <w:trPr>
          <w:cantSplit/>
          <w:trHeight w:val="285"/>
        </w:trPr>
        <w:tc>
          <w:tcPr>
            <w:tcW w:w="6805" w:type="dxa"/>
          </w:tcPr>
          <w:p w:rsidR="00A57B8C" w:rsidRPr="00CE597B" w:rsidRDefault="00A57B8C" w:rsidP="00CE597B">
            <w:r w:rsidRPr="005D2215">
              <w:t xml:space="preserve">6. Energy solutions guided by customer needs and open boundaries  </w:t>
            </w:r>
          </w:p>
        </w:tc>
        <w:tc>
          <w:tcPr>
            <w:tcW w:w="425" w:type="dxa"/>
          </w:tcPr>
          <w:p w:rsidR="00A57B8C" w:rsidRPr="00FF5040" w:rsidDel="005D2215" w:rsidRDefault="00A57B8C" w:rsidP="00F37159"/>
        </w:tc>
        <w:tc>
          <w:tcPr>
            <w:tcW w:w="425" w:type="dxa"/>
          </w:tcPr>
          <w:p w:rsidR="00A57B8C" w:rsidRPr="00FF5040" w:rsidDel="005D2215" w:rsidRDefault="00A57B8C" w:rsidP="00F37159"/>
        </w:tc>
        <w:tc>
          <w:tcPr>
            <w:tcW w:w="425" w:type="dxa"/>
          </w:tcPr>
          <w:p w:rsidR="00A57B8C" w:rsidRPr="00FF5040" w:rsidDel="005D2215" w:rsidRDefault="00A57B8C" w:rsidP="00F37159">
            <w:r>
              <w:t>+</w:t>
            </w:r>
          </w:p>
        </w:tc>
        <w:tc>
          <w:tcPr>
            <w:tcW w:w="426" w:type="dxa"/>
          </w:tcPr>
          <w:p w:rsidR="00A57B8C" w:rsidRPr="00FF5040" w:rsidDel="005D2215" w:rsidRDefault="00A57B8C" w:rsidP="00F37159">
            <w:r>
              <w:t>+</w:t>
            </w:r>
          </w:p>
        </w:tc>
      </w:tr>
      <w:tr w:rsidR="005D2215" w:rsidTr="0038362A">
        <w:trPr>
          <w:cantSplit/>
          <w:trHeight w:val="305"/>
        </w:trPr>
        <w:tc>
          <w:tcPr>
            <w:tcW w:w="6805" w:type="dxa"/>
          </w:tcPr>
          <w:p w:rsidR="005D2215" w:rsidRPr="00CE597B" w:rsidRDefault="005D2215" w:rsidP="0038362A">
            <w:r w:rsidRPr="005D2215">
              <w:t>Innovation competences:</w:t>
            </w:r>
          </w:p>
        </w:tc>
        <w:tc>
          <w:tcPr>
            <w:tcW w:w="425" w:type="dxa"/>
            <w:textDirection w:val="btLr"/>
          </w:tcPr>
          <w:p w:rsidR="005D2215" w:rsidRPr="00CE597B" w:rsidRDefault="005D2215" w:rsidP="00CE597B"/>
        </w:tc>
        <w:tc>
          <w:tcPr>
            <w:tcW w:w="425" w:type="dxa"/>
            <w:textDirection w:val="btLr"/>
          </w:tcPr>
          <w:p w:rsidR="005D2215" w:rsidRPr="00CE597B" w:rsidRDefault="005D2215" w:rsidP="00CE597B"/>
        </w:tc>
        <w:tc>
          <w:tcPr>
            <w:tcW w:w="425" w:type="dxa"/>
            <w:textDirection w:val="btLr"/>
          </w:tcPr>
          <w:p w:rsidR="005D2215" w:rsidRPr="00CE597B" w:rsidRDefault="005D2215" w:rsidP="00CE597B"/>
        </w:tc>
        <w:tc>
          <w:tcPr>
            <w:tcW w:w="426" w:type="dxa"/>
            <w:textDirection w:val="btLr"/>
          </w:tcPr>
          <w:p w:rsidR="005D2215" w:rsidRPr="00CE597B" w:rsidRDefault="005D2215" w:rsidP="00CE597B"/>
        </w:tc>
      </w:tr>
      <w:tr w:rsidR="00A57B8C" w:rsidTr="00CE737B">
        <w:trPr>
          <w:cantSplit/>
          <w:trHeight w:val="339"/>
        </w:trPr>
        <w:tc>
          <w:tcPr>
            <w:tcW w:w="6805" w:type="dxa"/>
          </w:tcPr>
          <w:p w:rsidR="00A57B8C" w:rsidRPr="00CE597B" w:rsidRDefault="00A57B8C" w:rsidP="0038362A">
            <w:r w:rsidRPr="005D2215">
              <w:t xml:space="preserve">7. Information on innovative and use of digital teaching materials </w:t>
            </w:r>
          </w:p>
        </w:tc>
        <w:tc>
          <w:tcPr>
            <w:tcW w:w="425" w:type="dxa"/>
          </w:tcPr>
          <w:p w:rsidR="00A57B8C" w:rsidRPr="00FF5040" w:rsidDel="005D2215" w:rsidRDefault="00A57B8C" w:rsidP="00F37159"/>
        </w:tc>
        <w:tc>
          <w:tcPr>
            <w:tcW w:w="425" w:type="dxa"/>
          </w:tcPr>
          <w:p w:rsidR="00A57B8C" w:rsidRPr="00FF5040" w:rsidDel="005D2215" w:rsidRDefault="00A57B8C" w:rsidP="00F37159">
            <w:r>
              <w:t>+</w:t>
            </w:r>
          </w:p>
        </w:tc>
        <w:tc>
          <w:tcPr>
            <w:tcW w:w="425" w:type="dxa"/>
          </w:tcPr>
          <w:p w:rsidR="00A57B8C" w:rsidRPr="00FF5040" w:rsidDel="005D2215" w:rsidRDefault="00A57B8C" w:rsidP="00F37159"/>
        </w:tc>
        <w:tc>
          <w:tcPr>
            <w:tcW w:w="426" w:type="dxa"/>
          </w:tcPr>
          <w:p w:rsidR="00A57B8C" w:rsidRPr="00FF5040" w:rsidDel="005D2215" w:rsidRDefault="00A57B8C" w:rsidP="00F37159"/>
        </w:tc>
      </w:tr>
      <w:tr w:rsidR="00A57B8C" w:rsidTr="004971FC">
        <w:trPr>
          <w:cantSplit/>
          <w:trHeight w:val="231"/>
        </w:trPr>
        <w:tc>
          <w:tcPr>
            <w:tcW w:w="6805" w:type="dxa"/>
          </w:tcPr>
          <w:p w:rsidR="00A57B8C" w:rsidRPr="00CE597B" w:rsidRDefault="00A57B8C" w:rsidP="0038362A">
            <w:r w:rsidRPr="005D2215">
              <w:t>8. Develop new and more effective processes and constructions</w:t>
            </w:r>
          </w:p>
        </w:tc>
        <w:tc>
          <w:tcPr>
            <w:tcW w:w="425" w:type="dxa"/>
          </w:tcPr>
          <w:p w:rsidR="00A57B8C" w:rsidRPr="00FF5040" w:rsidDel="005D2215" w:rsidRDefault="00A57B8C" w:rsidP="00F37159">
            <w:r>
              <w:t>+</w:t>
            </w:r>
          </w:p>
        </w:tc>
        <w:tc>
          <w:tcPr>
            <w:tcW w:w="425" w:type="dxa"/>
          </w:tcPr>
          <w:p w:rsidR="00A57B8C" w:rsidRPr="00FF5040" w:rsidDel="005D2215" w:rsidRDefault="00A57B8C" w:rsidP="00F37159"/>
        </w:tc>
        <w:tc>
          <w:tcPr>
            <w:tcW w:w="425" w:type="dxa"/>
          </w:tcPr>
          <w:p w:rsidR="00A57B8C" w:rsidRPr="00FF5040" w:rsidDel="005D2215" w:rsidRDefault="00A57B8C" w:rsidP="00F37159"/>
        </w:tc>
        <w:tc>
          <w:tcPr>
            <w:tcW w:w="426" w:type="dxa"/>
          </w:tcPr>
          <w:p w:rsidR="00A57B8C" w:rsidRPr="00FF5040" w:rsidDel="005D2215" w:rsidRDefault="00A57B8C" w:rsidP="00F37159"/>
        </w:tc>
      </w:tr>
      <w:tr w:rsidR="00A57B8C" w:rsidTr="00A706CD">
        <w:trPr>
          <w:cantSplit/>
          <w:trHeight w:val="265"/>
        </w:trPr>
        <w:tc>
          <w:tcPr>
            <w:tcW w:w="6805" w:type="dxa"/>
          </w:tcPr>
          <w:p w:rsidR="00A57B8C" w:rsidRPr="00CE597B" w:rsidRDefault="00A57B8C" w:rsidP="0038362A">
            <w:r w:rsidRPr="005D2215">
              <w:t>9. Innovation a central part of the pedagogical model and education</w:t>
            </w:r>
          </w:p>
        </w:tc>
        <w:tc>
          <w:tcPr>
            <w:tcW w:w="425" w:type="dxa"/>
          </w:tcPr>
          <w:p w:rsidR="00A57B8C" w:rsidRPr="00FF5040" w:rsidDel="005D2215" w:rsidRDefault="00A57B8C" w:rsidP="00F37159"/>
        </w:tc>
        <w:tc>
          <w:tcPr>
            <w:tcW w:w="425" w:type="dxa"/>
          </w:tcPr>
          <w:p w:rsidR="00A57B8C" w:rsidRPr="00FF5040" w:rsidDel="005D2215" w:rsidRDefault="00A57B8C" w:rsidP="00F37159"/>
        </w:tc>
        <w:tc>
          <w:tcPr>
            <w:tcW w:w="425" w:type="dxa"/>
          </w:tcPr>
          <w:p w:rsidR="00A57B8C" w:rsidRPr="00FF5040" w:rsidDel="005D2215" w:rsidRDefault="00A57B8C" w:rsidP="00F37159">
            <w:r>
              <w:t>+</w:t>
            </w:r>
          </w:p>
        </w:tc>
        <w:tc>
          <w:tcPr>
            <w:tcW w:w="426" w:type="dxa"/>
          </w:tcPr>
          <w:p w:rsidR="00A57B8C" w:rsidRPr="00FF5040" w:rsidDel="005D2215" w:rsidRDefault="00A57B8C" w:rsidP="00F37159">
            <w:r>
              <w:t>+</w:t>
            </w:r>
          </w:p>
        </w:tc>
      </w:tr>
      <w:tr w:rsidR="00A57B8C" w:rsidTr="004F72A1">
        <w:trPr>
          <w:cantSplit/>
          <w:trHeight w:val="285"/>
        </w:trPr>
        <w:tc>
          <w:tcPr>
            <w:tcW w:w="6805" w:type="dxa"/>
          </w:tcPr>
          <w:p w:rsidR="00A57B8C" w:rsidRPr="00CE597B" w:rsidRDefault="00A57B8C" w:rsidP="00CE597B">
            <w:bookmarkStart w:id="3" w:name="_GoBack" w:colFirst="1" w:colLast="4"/>
            <w:r w:rsidRPr="005D2215">
              <w:t>10. Competence in optimization, resource reduction and efficiencies</w:t>
            </w:r>
          </w:p>
        </w:tc>
        <w:tc>
          <w:tcPr>
            <w:tcW w:w="425" w:type="dxa"/>
          </w:tcPr>
          <w:p w:rsidR="00A57B8C" w:rsidRPr="00FF5040" w:rsidDel="005D2215" w:rsidRDefault="00A57B8C" w:rsidP="00F37159"/>
        </w:tc>
        <w:tc>
          <w:tcPr>
            <w:tcW w:w="425" w:type="dxa"/>
          </w:tcPr>
          <w:p w:rsidR="00A57B8C" w:rsidRPr="00FF5040" w:rsidDel="005D2215" w:rsidRDefault="00A57B8C" w:rsidP="00F37159"/>
        </w:tc>
        <w:tc>
          <w:tcPr>
            <w:tcW w:w="425" w:type="dxa"/>
          </w:tcPr>
          <w:p w:rsidR="00A57B8C" w:rsidRPr="00FF5040" w:rsidDel="005D2215" w:rsidRDefault="00A57B8C" w:rsidP="00F37159">
            <w:r>
              <w:t>+</w:t>
            </w:r>
          </w:p>
        </w:tc>
        <w:tc>
          <w:tcPr>
            <w:tcW w:w="426" w:type="dxa"/>
          </w:tcPr>
          <w:p w:rsidR="00A57B8C" w:rsidRPr="00FF5040" w:rsidDel="005D2215" w:rsidRDefault="00A57B8C" w:rsidP="00F37159">
            <w:r>
              <w:t>+</w:t>
            </w:r>
          </w:p>
        </w:tc>
      </w:tr>
      <w:bookmarkEnd w:id="3"/>
      <w:tr w:rsidR="00BE18AF" w:rsidRPr="00FF5040" w:rsidTr="0038362A">
        <w:tc>
          <w:tcPr>
            <w:tcW w:w="6805" w:type="dxa"/>
          </w:tcPr>
          <w:p w:rsidR="00174D4D" w:rsidRDefault="005D2215">
            <w:r w:rsidRPr="005D2215">
              <w:t>Teachers competence and teaching materials:</w:t>
            </w:r>
          </w:p>
        </w:tc>
        <w:tc>
          <w:tcPr>
            <w:tcW w:w="425" w:type="dxa"/>
          </w:tcPr>
          <w:p w:rsidR="00BE18AF" w:rsidRPr="00FF5040" w:rsidRDefault="00BE18AF" w:rsidP="00BE18AF"/>
        </w:tc>
        <w:tc>
          <w:tcPr>
            <w:tcW w:w="425" w:type="dxa"/>
          </w:tcPr>
          <w:p w:rsidR="00BE18AF" w:rsidRPr="00FF5040" w:rsidRDefault="00BE18AF" w:rsidP="00BE18AF"/>
        </w:tc>
        <w:tc>
          <w:tcPr>
            <w:tcW w:w="425" w:type="dxa"/>
          </w:tcPr>
          <w:p w:rsidR="00BE18AF" w:rsidRPr="00FF5040" w:rsidRDefault="00BE18AF" w:rsidP="00BE18AF"/>
        </w:tc>
        <w:tc>
          <w:tcPr>
            <w:tcW w:w="426" w:type="dxa"/>
          </w:tcPr>
          <w:p w:rsidR="00BE18AF" w:rsidRPr="00FF5040" w:rsidRDefault="00BE18AF" w:rsidP="00BE18AF"/>
        </w:tc>
      </w:tr>
      <w:tr w:rsidR="005D2215" w:rsidRPr="00FF5040" w:rsidTr="00EE54BB">
        <w:tc>
          <w:tcPr>
            <w:tcW w:w="6805" w:type="dxa"/>
          </w:tcPr>
          <w:p w:rsidR="005D2215" w:rsidDel="005D2215" w:rsidRDefault="005D2215" w:rsidP="0038362A">
            <w:r w:rsidRPr="005D2215">
              <w:t>11. Teaching in interdisciplinary competences and development</w:t>
            </w:r>
          </w:p>
        </w:tc>
        <w:tc>
          <w:tcPr>
            <w:tcW w:w="425" w:type="dxa"/>
          </w:tcPr>
          <w:p w:rsidR="005D2215" w:rsidRPr="00FF5040" w:rsidDel="005D2215" w:rsidRDefault="005D2215" w:rsidP="00BE18AF">
            <w:r>
              <w:t>+</w:t>
            </w:r>
          </w:p>
        </w:tc>
        <w:tc>
          <w:tcPr>
            <w:tcW w:w="425" w:type="dxa"/>
          </w:tcPr>
          <w:p w:rsidR="005D2215" w:rsidRPr="00FF5040" w:rsidDel="005D2215" w:rsidRDefault="005D2215" w:rsidP="00BE18AF"/>
        </w:tc>
        <w:tc>
          <w:tcPr>
            <w:tcW w:w="425" w:type="dxa"/>
          </w:tcPr>
          <w:p w:rsidR="005D2215" w:rsidRPr="00FF5040" w:rsidDel="005D2215" w:rsidRDefault="005D2215" w:rsidP="00BE18AF"/>
        </w:tc>
        <w:tc>
          <w:tcPr>
            <w:tcW w:w="426" w:type="dxa"/>
          </w:tcPr>
          <w:p w:rsidR="005D2215" w:rsidRPr="00FF5040" w:rsidDel="005D2215" w:rsidRDefault="005D2215" w:rsidP="00BE18AF"/>
        </w:tc>
      </w:tr>
      <w:tr w:rsidR="005D2215" w:rsidRPr="00FF5040" w:rsidTr="00EE54BB">
        <w:tc>
          <w:tcPr>
            <w:tcW w:w="6805" w:type="dxa"/>
          </w:tcPr>
          <w:p w:rsidR="005D2215" w:rsidDel="005D2215" w:rsidRDefault="005D2215" w:rsidP="0038362A">
            <w:r w:rsidRPr="005D2215">
              <w:t>12. Teaching in new energy competence in progress but too slow</w:t>
            </w:r>
          </w:p>
        </w:tc>
        <w:tc>
          <w:tcPr>
            <w:tcW w:w="425" w:type="dxa"/>
          </w:tcPr>
          <w:p w:rsidR="005D2215" w:rsidRPr="00FF5040" w:rsidDel="005D2215" w:rsidRDefault="005D2215" w:rsidP="00BE18AF"/>
        </w:tc>
        <w:tc>
          <w:tcPr>
            <w:tcW w:w="425" w:type="dxa"/>
          </w:tcPr>
          <w:p w:rsidR="005D2215" w:rsidRPr="00FF5040" w:rsidDel="005D2215" w:rsidRDefault="005D2215" w:rsidP="00BE18AF">
            <w:r>
              <w:t>+</w:t>
            </w:r>
          </w:p>
        </w:tc>
        <w:tc>
          <w:tcPr>
            <w:tcW w:w="425" w:type="dxa"/>
          </w:tcPr>
          <w:p w:rsidR="005D2215" w:rsidRPr="00FF5040" w:rsidDel="005D2215" w:rsidRDefault="005D2215" w:rsidP="00BE18AF"/>
        </w:tc>
        <w:tc>
          <w:tcPr>
            <w:tcW w:w="426" w:type="dxa"/>
          </w:tcPr>
          <w:p w:rsidR="005D2215" w:rsidRPr="00FF5040" w:rsidDel="005D2215" w:rsidRDefault="005D2215" w:rsidP="00BE18AF"/>
        </w:tc>
      </w:tr>
      <w:tr w:rsidR="005D2215" w:rsidRPr="00FF5040" w:rsidTr="00EE54BB">
        <w:tc>
          <w:tcPr>
            <w:tcW w:w="6805" w:type="dxa"/>
          </w:tcPr>
          <w:p w:rsidR="005D2215" w:rsidDel="005D2215" w:rsidRDefault="005D2215">
            <w:r w:rsidRPr="005D2215">
              <w:t>13. Problem-based learning and complex innovative solutions</w:t>
            </w:r>
          </w:p>
        </w:tc>
        <w:tc>
          <w:tcPr>
            <w:tcW w:w="425" w:type="dxa"/>
          </w:tcPr>
          <w:p w:rsidR="005D2215" w:rsidRPr="00FF5040" w:rsidDel="005D2215" w:rsidRDefault="005D2215" w:rsidP="00BE18AF"/>
        </w:tc>
        <w:tc>
          <w:tcPr>
            <w:tcW w:w="425" w:type="dxa"/>
          </w:tcPr>
          <w:p w:rsidR="005D2215" w:rsidRPr="00FF5040" w:rsidDel="005D2215" w:rsidRDefault="005D2215" w:rsidP="00BE18AF"/>
        </w:tc>
        <w:tc>
          <w:tcPr>
            <w:tcW w:w="425" w:type="dxa"/>
          </w:tcPr>
          <w:p w:rsidR="005D2215" w:rsidRPr="00FF5040" w:rsidDel="005D2215" w:rsidRDefault="005D2215" w:rsidP="00BE18AF">
            <w:r>
              <w:t>+</w:t>
            </w:r>
          </w:p>
        </w:tc>
        <w:tc>
          <w:tcPr>
            <w:tcW w:w="426" w:type="dxa"/>
          </w:tcPr>
          <w:p w:rsidR="005D2215" w:rsidRPr="00FF5040" w:rsidDel="005D2215" w:rsidRDefault="005D2215" w:rsidP="00BE18AF">
            <w:r>
              <w:t>+</w:t>
            </w:r>
          </w:p>
        </w:tc>
      </w:tr>
      <w:tr w:rsidR="005D2215" w:rsidRPr="00FF5040" w:rsidTr="00EE54BB">
        <w:tc>
          <w:tcPr>
            <w:tcW w:w="6805" w:type="dxa"/>
          </w:tcPr>
          <w:p w:rsidR="005D2215" w:rsidDel="005D2215" w:rsidRDefault="005D2215" w:rsidP="0038362A">
            <w:r w:rsidRPr="005D2215">
              <w:t>Competences in new process industrialization:</w:t>
            </w:r>
          </w:p>
        </w:tc>
        <w:tc>
          <w:tcPr>
            <w:tcW w:w="425" w:type="dxa"/>
          </w:tcPr>
          <w:p w:rsidR="005D2215" w:rsidRPr="00FF5040" w:rsidDel="005D2215" w:rsidRDefault="005D2215" w:rsidP="00BE18AF"/>
        </w:tc>
        <w:tc>
          <w:tcPr>
            <w:tcW w:w="425" w:type="dxa"/>
          </w:tcPr>
          <w:p w:rsidR="005D2215" w:rsidRPr="00FF5040" w:rsidDel="005D2215" w:rsidRDefault="005D2215" w:rsidP="00BE18AF"/>
        </w:tc>
        <w:tc>
          <w:tcPr>
            <w:tcW w:w="425" w:type="dxa"/>
          </w:tcPr>
          <w:p w:rsidR="005D2215" w:rsidRPr="00FF5040" w:rsidDel="005D2215" w:rsidRDefault="005D2215" w:rsidP="00BE18AF"/>
        </w:tc>
        <w:tc>
          <w:tcPr>
            <w:tcW w:w="426" w:type="dxa"/>
          </w:tcPr>
          <w:p w:rsidR="005D2215" w:rsidRPr="00FF5040" w:rsidDel="005D2215" w:rsidRDefault="005D2215" w:rsidP="00BE18AF"/>
        </w:tc>
      </w:tr>
      <w:tr w:rsidR="005D2215" w:rsidRPr="00FF5040" w:rsidTr="00EE54BB">
        <w:tc>
          <w:tcPr>
            <w:tcW w:w="6805" w:type="dxa"/>
          </w:tcPr>
          <w:p w:rsidR="005D2215" w:rsidDel="005D2215" w:rsidRDefault="005D2215" w:rsidP="0038362A">
            <w:r w:rsidRPr="005D2215">
              <w:t>14. Sustainable building requires reinvented skills and educations</w:t>
            </w:r>
          </w:p>
        </w:tc>
        <w:tc>
          <w:tcPr>
            <w:tcW w:w="425" w:type="dxa"/>
          </w:tcPr>
          <w:p w:rsidR="005D2215" w:rsidRPr="00FF5040" w:rsidDel="005D2215" w:rsidRDefault="005D2215" w:rsidP="00BE18AF">
            <w:r>
              <w:t>+</w:t>
            </w:r>
          </w:p>
        </w:tc>
        <w:tc>
          <w:tcPr>
            <w:tcW w:w="425" w:type="dxa"/>
          </w:tcPr>
          <w:p w:rsidR="005D2215" w:rsidRPr="00FF5040" w:rsidDel="005D2215" w:rsidRDefault="005D2215" w:rsidP="00BE18AF"/>
        </w:tc>
        <w:tc>
          <w:tcPr>
            <w:tcW w:w="425" w:type="dxa"/>
          </w:tcPr>
          <w:p w:rsidR="005D2215" w:rsidRPr="00FF5040" w:rsidDel="005D2215" w:rsidRDefault="005D2215" w:rsidP="00BE18AF"/>
        </w:tc>
        <w:tc>
          <w:tcPr>
            <w:tcW w:w="426" w:type="dxa"/>
          </w:tcPr>
          <w:p w:rsidR="005D2215" w:rsidRPr="00FF5040" w:rsidDel="005D2215" w:rsidRDefault="005D2215" w:rsidP="00BE18AF"/>
        </w:tc>
      </w:tr>
      <w:tr w:rsidR="005D2215" w:rsidRPr="00FF5040" w:rsidTr="00EE54BB">
        <w:tc>
          <w:tcPr>
            <w:tcW w:w="6805" w:type="dxa"/>
          </w:tcPr>
          <w:p w:rsidR="005D2215" w:rsidDel="005D2215" w:rsidRDefault="005D2215" w:rsidP="0038362A">
            <w:r w:rsidRPr="005D2215">
              <w:t xml:space="preserve">15. Total energy reduction, architecture and producer cooperation </w:t>
            </w:r>
          </w:p>
        </w:tc>
        <w:tc>
          <w:tcPr>
            <w:tcW w:w="425" w:type="dxa"/>
          </w:tcPr>
          <w:p w:rsidR="005D2215" w:rsidRPr="00FF5040" w:rsidDel="005D2215" w:rsidRDefault="005D2215" w:rsidP="00BE18AF"/>
        </w:tc>
        <w:tc>
          <w:tcPr>
            <w:tcW w:w="425" w:type="dxa"/>
          </w:tcPr>
          <w:p w:rsidR="005D2215" w:rsidRPr="00FF5040" w:rsidDel="005D2215" w:rsidRDefault="005D2215" w:rsidP="00BE18AF">
            <w:r>
              <w:t>+</w:t>
            </w:r>
          </w:p>
        </w:tc>
        <w:tc>
          <w:tcPr>
            <w:tcW w:w="425" w:type="dxa"/>
          </w:tcPr>
          <w:p w:rsidR="005D2215" w:rsidRPr="00FF5040" w:rsidDel="005D2215" w:rsidRDefault="005D2215" w:rsidP="00BE18AF"/>
        </w:tc>
        <w:tc>
          <w:tcPr>
            <w:tcW w:w="426" w:type="dxa"/>
          </w:tcPr>
          <w:p w:rsidR="005D2215" w:rsidRPr="00FF5040" w:rsidDel="005D2215" w:rsidRDefault="005D2215" w:rsidP="00BE18AF"/>
        </w:tc>
      </w:tr>
      <w:tr w:rsidR="005D2215" w:rsidRPr="00FF5040" w:rsidTr="00EE54BB">
        <w:tc>
          <w:tcPr>
            <w:tcW w:w="6805" w:type="dxa"/>
          </w:tcPr>
          <w:p w:rsidR="005D2215" w:rsidDel="005D2215" w:rsidRDefault="005D2215">
            <w:r w:rsidRPr="005D2215">
              <w:t>16. More fitting, smart houses and consumer linked via Smart Grid</w:t>
            </w:r>
          </w:p>
        </w:tc>
        <w:tc>
          <w:tcPr>
            <w:tcW w:w="425" w:type="dxa"/>
          </w:tcPr>
          <w:p w:rsidR="005D2215" w:rsidRPr="00FF5040" w:rsidDel="005D2215" w:rsidRDefault="005D2215" w:rsidP="00BE18AF"/>
        </w:tc>
        <w:tc>
          <w:tcPr>
            <w:tcW w:w="425" w:type="dxa"/>
          </w:tcPr>
          <w:p w:rsidR="005D2215" w:rsidRPr="00FF5040" w:rsidDel="005D2215" w:rsidRDefault="005D2215" w:rsidP="00BE18AF"/>
        </w:tc>
        <w:tc>
          <w:tcPr>
            <w:tcW w:w="425" w:type="dxa"/>
          </w:tcPr>
          <w:p w:rsidR="005D2215" w:rsidRPr="00FF5040" w:rsidDel="005D2215" w:rsidRDefault="005D2215" w:rsidP="00BE18AF">
            <w:r>
              <w:t>+</w:t>
            </w:r>
          </w:p>
        </w:tc>
        <w:tc>
          <w:tcPr>
            <w:tcW w:w="426" w:type="dxa"/>
          </w:tcPr>
          <w:p w:rsidR="005D2215" w:rsidRPr="00FF5040" w:rsidDel="005D2215" w:rsidRDefault="005D2215" w:rsidP="00BE18AF">
            <w:r>
              <w:t>+</w:t>
            </w:r>
          </w:p>
        </w:tc>
      </w:tr>
    </w:tbl>
    <w:p w:rsidR="00DF4AC2" w:rsidRDefault="00DF4AC2"/>
    <w:p w:rsidR="0073055A" w:rsidRDefault="00A96B11">
      <w:r>
        <w:t xml:space="preserve">The findings thus come to focus on competences of cross disciplinary collaboration </w:t>
      </w:r>
      <w:r w:rsidR="006D1752">
        <w:t>(point 5,</w:t>
      </w:r>
      <w:r w:rsidR="00DB6E10">
        <w:t xml:space="preserve"> </w:t>
      </w:r>
      <w:r w:rsidR="006D1752">
        <w:t xml:space="preserve">11) </w:t>
      </w:r>
      <w:r>
        <w:t>and of doing sustainable innovation</w:t>
      </w:r>
      <w:r w:rsidR="006D1752">
        <w:t xml:space="preserve"> (point 2, 3, 6, 10, 14)</w:t>
      </w:r>
      <w:r>
        <w:t>. Even if co</w:t>
      </w:r>
      <w:r>
        <w:t>n</w:t>
      </w:r>
      <w:r>
        <w:t>sidered as growth companies the interviewed SMEs also run into barriers. Renovation tasks by customers might be "convenience renovation", meaning punctual renovation, only initiat</w:t>
      </w:r>
      <w:r w:rsidR="00D62D52">
        <w:t>ed</w:t>
      </w:r>
      <w:r>
        <w:t xml:space="preserve"> by the owner or real estate administrator where absolutely needed (Koch et al 2014). Moreover many craft enterprises appear to prefer status quo in their way of operating, which is surfacing in other investigations (Koch and Buser 2009).</w:t>
      </w:r>
      <w:r w:rsidR="00A8582F">
        <w:t xml:space="preserve"> </w:t>
      </w:r>
      <w:r>
        <w:t>It a</w:t>
      </w:r>
      <w:r>
        <w:t>p</w:t>
      </w:r>
      <w:r>
        <w:lastRenderedPageBreak/>
        <w:t>pears that both the vocational training system and the enterprises are exercising a type of combined ambivalent supplication (Parkin 2010). Parkin (2010) in her conceptual</w:t>
      </w:r>
      <w:r>
        <w:t>i</w:t>
      </w:r>
      <w:r>
        <w:t>sation of business and organisational sustainable leadership describes a point of depa</w:t>
      </w:r>
      <w:r>
        <w:t>r</w:t>
      </w:r>
      <w:r>
        <w:t>ture for companies from traditional ways of doing business, which continues obser</w:t>
      </w:r>
      <w:r>
        <w:t>v</w:t>
      </w:r>
      <w:r>
        <w:t>ing sustainability in a very reactive manner, exercising “ambivalent supplication” where sustainability is still an external factor that has to be justified and different from core business strategy (Parkin 2010). Here neither the enterprises nor the vocational training system are entering revolutionary change. Rather the two processes of instit</w:t>
      </w:r>
      <w:r>
        <w:t>u</w:t>
      </w:r>
      <w:r>
        <w:t>tional work largely resonate with each other in a slow precarious reform</w:t>
      </w:r>
      <w:r w:rsidR="006D1752">
        <w:t xml:space="preserve"> moving the institutions of knowing into sharing the supplication</w:t>
      </w:r>
      <w:r>
        <w:t xml:space="preserve">. </w:t>
      </w:r>
    </w:p>
    <w:p w:rsidR="00CA1C21" w:rsidRDefault="00A96B11">
      <w:r>
        <w:t>This leads to the observation that there is a risk of vocational education institutions stagnation if they are not able to respond appropriate</w:t>
      </w:r>
      <w:r w:rsidR="006D1752">
        <w:t>ly</w:t>
      </w:r>
      <w:r>
        <w:t xml:space="preserve"> to the new competence d</w:t>
      </w:r>
      <w:r>
        <w:t>e</w:t>
      </w:r>
      <w:r>
        <w:t>mands of the energy renovation transformation and new industrialization of constru</w:t>
      </w:r>
      <w:r>
        <w:t>c</w:t>
      </w:r>
      <w:r>
        <w:t>tion processes. As the multinational companies such as Schneider Electric by now o</w:t>
      </w:r>
      <w:r>
        <w:t>p</w:t>
      </w:r>
      <w:r>
        <w:t>erate business models on energy re</w:t>
      </w:r>
      <w:r>
        <w:t>n</w:t>
      </w:r>
      <w:r>
        <w:t>ovation making alliances and networks with SME electricians that encompass energy training and competence development it is not u</w:t>
      </w:r>
      <w:r>
        <w:t>n</w:t>
      </w:r>
      <w:r>
        <w:t xml:space="preserve">likely to envisage a fundamental jolt of the corporative vocational training system. It is a composite set of institutional logics that is in play impacting on the development of the vocational training, encompassing the state (EU), building industry, citizens, youngsters and other interests. </w:t>
      </w:r>
      <w:proofErr w:type="spellStart"/>
      <w:r>
        <w:t>Daudigeos</w:t>
      </w:r>
      <w:proofErr w:type="spellEnd"/>
      <w:r>
        <w:t xml:space="preserve"> et al (2013) finds an equal composite pi</w:t>
      </w:r>
      <w:r>
        <w:t>c</w:t>
      </w:r>
      <w:r>
        <w:t>ture of institutional logics at health and safety in construction</w:t>
      </w:r>
      <w:r w:rsidR="00A8582F">
        <w:t>, also leading to a near deadlock</w:t>
      </w:r>
      <w:r>
        <w:t>.</w:t>
      </w:r>
    </w:p>
    <w:p w:rsidR="004924DD" w:rsidRPr="00FF5040" w:rsidRDefault="00A96B11">
      <w:pPr>
        <w:pStyle w:val="SectionHeading"/>
      </w:pPr>
      <w:r>
        <w:t>Conclusions</w:t>
      </w:r>
    </w:p>
    <w:p w:rsidR="004924DD" w:rsidRPr="00FF5040" w:rsidRDefault="00A96B11">
      <w:r>
        <w:t>This paper set out to discuss enablers and barriers for an institutional development of the vocational training system in Denmark responding to the need for competences in energy renovation of the existing building stock. Even if renewal of courses and ed</w:t>
      </w:r>
      <w:r>
        <w:t>u</w:t>
      </w:r>
      <w:r>
        <w:t>cations do occur from inside the vocational education and training system, an instit</w:t>
      </w:r>
      <w:r>
        <w:t>u</w:t>
      </w:r>
      <w:r>
        <w:t xml:space="preserve">tional maintenance seems to be the main agenda for the </w:t>
      </w:r>
      <w:r w:rsidR="006A0CAB">
        <w:t>education</w:t>
      </w:r>
      <w:r>
        <w:t xml:space="preserve"> committees. They are reluctant in their engagement with the energy question. Similarly the enterprises operating in energy renovation do this in a pragmatic and relatively slow fashion. T</w:t>
      </w:r>
      <w:r>
        <w:t>o</w:t>
      </w:r>
      <w:r>
        <w:t xml:space="preserve">gether </w:t>
      </w:r>
      <w:r w:rsidR="006D1752">
        <w:t xml:space="preserve">these top down and bottom up institutional work processes that </w:t>
      </w:r>
      <w:r>
        <w:t xml:space="preserve">the </w:t>
      </w:r>
      <w:r w:rsidR="006A0CAB">
        <w:t>education</w:t>
      </w:r>
      <w:r>
        <w:t xml:space="preserve"> committee</w:t>
      </w:r>
      <w:r w:rsidR="006D1752">
        <w:t>, the crafts</w:t>
      </w:r>
      <w:r>
        <w:t xml:space="preserve"> and the enterprises </w:t>
      </w:r>
      <w:r w:rsidR="006D1752">
        <w:t xml:space="preserve">engage in </w:t>
      </w:r>
      <w:r>
        <w:t>appear to practice ambivalent su</w:t>
      </w:r>
      <w:r>
        <w:t>p</w:t>
      </w:r>
      <w:r>
        <w:t>plication to the future zero energy regimes</w:t>
      </w:r>
      <w:r w:rsidR="006D1752">
        <w:t>, thus largely maintaining the institutions of knowing</w:t>
      </w:r>
      <w:r>
        <w:t>. We interpreted this status as risky and possibly leading to stagnation of the vocational education and training system.</w:t>
      </w:r>
      <w:r w:rsidR="006D1752">
        <w:t xml:space="preserve"> A series of initiatives within the institutions in the future might mitigate this risk.</w:t>
      </w:r>
    </w:p>
    <w:p w:rsidR="004924DD" w:rsidRPr="00F4302A" w:rsidRDefault="00A96B11">
      <w:pPr>
        <w:pStyle w:val="SectionHeading"/>
      </w:pPr>
      <w:r w:rsidRPr="00F4302A">
        <w:t>References</w:t>
      </w:r>
    </w:p>
    <w:p w:rsidR="00F46026" w:rsidRPr="0000579A" w:rsidRDefault="00F46026" w:rsidP="00B92337">
      <w:pPr>
        <w:pStyle w:val="References"/>
      </w:pPr>
      <w:r w:rsidRPr="00F46026">
        <w:t xml:space="preserve">Bertelsen, N. B. (2007). </w:t>
      </w:r>
      <w:proofErr w:type="gramStart"/>
      <w:r w:rsidRPr="00F46026">
        <w:t>Autonomy and innovation in construction teams in Denmark.</w:t>
      </w:r>
      <w:proofErr w:type="gramEnd"/>
      <w:r w:rsidRPr="00F46026">
        <w:t xml:space="preserve"> </w:t>
      </w:r>
      <w:proofErr w:type="gramStart"/>
      <w:r w:rsidRPr="00F46026">
        <w:t xml:space="preserve">4th Nordic Conference in Construction Economics and Organisation, </w:t>
      </w:r>
      <w:proofErr w:type="spellStart"/>
      <w:r w:rsidRPr="00F46026">
        <w:t>Luleå</w:t>
      </w:r>
      <w:proofErr w:type="spellEnd"/>
      <w:r w:rsidRPr="00F46026">
        <w:t>, Sweden.</w:t>
      </w:r>
      <w:proofErr w:type="gramEnd"/>
    </w:p>
    <w:p w:rsidR="00191657" w:rsidRPr="00F4302A" w:rsidRDefault="00A96B11" w:rsidP="002472C8">
      <w:pPr>
        <w:pStyle w:val="References"/>
        <w:rPr>
          <w:lang w:val="da-DK"/>
        </w:rPr>
      </w:pPr>
      <w:r w:rsidRPr="00B70C9B">
        <w:rPr>
          <w:lang w:val="da-DK"/>
        </w:rPr>
        <w:t>Bertelsen N.</w:t>
      </w:r>
      <w:r w:rsidR="00F735FA" w:rsidRPr="00F4302A">
        <w:rPr>
          <w:lang w:val="da-DK"/>
        </w:rPr>
        <w:t xml:space="preserve"> </w:t>
      </w:r>
      <w:r w:rsidRPr="00B70C9B">
        <w:rPr>
          <w:lang w:val="da-DK"/>
        </w:rPr>
        <w:t>H., Thrane L., Bertelsen H., Vad J.,</w:t>
      </w:r>
      <w:r w:rsidR="00F735FA" w:rsidRPr="00F4302A">
        <w:rPr>
          <w:lang w:val="da-DK"/>
        </w:rPr>
        <w:t xml:space="preserve"> </w:t>
      </w:r>
      <w:r w:rsidRPr="00B70C9B">
        <w:rPr>
          <w:lang w:val="da-DK"/>
        </w:rPr>
        <w:t>Svendsen K.</w:t>
      </w:r>
      <w:r w:rsidR="00F735FA" w:rsidRPr="00F4302A">
        <w:rPr>
          <w:lang w:val="da-DK"/>
        </w:rPr>
        <w:t xml:space="preserve"> </w:t>
      </w:r>
      <w:r w:rsidRPr="00B70C9B">
        <w:rPr>
          <w:lang w:val="da-DK"/>
        </w:rPr>
        <w:t>H., Larsen E. F., Jørgensen T. (2013)</w:t>
      </w:r>
      <w:r w:rsidR="00226E26" w:rsidRPr="00F4302A">
        <w:rPr>
          <w:lang w:val="da-DK"/>
        </w:rPr>
        <w:t>.</w:t>
      </w:r>
      <w:r w:rsidRPr="00B70C9B">
        <w:rPr>
          <w:lang w:val="da-DK"/>
        </w:rPr>
        <w:t xml:space="preserve"> Energikompetencer i byggesektorens erhvervsuddannelser - EUD. Analys</w:t>
      </w:r>
      <w:r w:rsidRPr="00B70C9B">
        <w:rPr>
          <w:lang w:val="da-DK"/>
        </w:rPr>
        <w:t>e</w:t>
      </w:r>
      <w:r w:rsidRPr="00B70C9B">
        <w:rPr>
          <w:lang w:val="da-DK"/>
        </w:rPr>
        <w:t>rapport om udvikling af nye og reviderede energiuddannelser i samarbejde mellem</w:t>
      </w:r>
      <w:r w:rsidR="009D062D">
        <w:rPr>
          <w:lang w:val="da-DK"/>
        </w:rPr>
        <w:t xml:space="preserve"> bygge- og installationsfagene.</w:t>
      </w:r>
      <w:r w:rsidR="009D062D">
        <w:t xml:space="preserve"> </w:t>
      </w:r>
      <w:r w:rsidR="00191657" w:rsidRPr="00F4302A">
        <w:rPr>
          <w:lang w:val="da-DK"/>
        </w:rPr>
        <w:t>SB</w:t>
      </w:r>
      <w:r w:rsidR="00226E26" w:rsidRPr="00F4302A">
        <w:rPr>
          <w:lang w:val="da-DK"/>
        </w:rPr>
        <w:t>i,</w:t>
      </w:r>
      <w:r w:rsidR="00191657" w:rsidRPr="00F4302A">
        <w:rPr>
          <w:lang w:val="da-DK"/>
        </w:rPr>
        <w:t xml:space="preserve"> Aalborg </w:t>
      </w:r>
      <w:proofErr w:type="spellStart"/>
      <w:r w:rsidR="00191657" w:rsidRPr="00F4302A">
        <w:rPr>
          <w:lang w:val="da-DK"/>
        </w:rPr>
        <w:t>Universit</w:t>
      </w:r>
      <w:r w:rsidR="00664A30" w:rsidRPr="00F4302A">
        <w:rPr>
          <w:lang w:val="da-DK"/>
        </w:rPr>
        <w:t>y</w:t>
      </w:r>
      <w:proofErr w:type="spellEnd"/>
      <w:r w:rsidR="00226E26" w:rsidRPr="00F4302A">
        <w:rPr>
          <w:lang w:val="da-DK"/>
        </w:rPr>
        <w:t>,</w:t>
      </w:r>
      <w:r w:rsidR="00191657" w:rsidRPr="00F4302A">
        <w:rPr>
          <w:lang w:val="da-DK"/>
        </w:rPr>
        <w:t xml:space="preserve"> </w:t>
      </w:r>
      <w:r w:rsidRPr="00F4302A">
        <w:rPr>
          <w:lang w:val="da-DK"/>
        </w:rPr>
        <w:t>Copenhagen.</w:t>
      </w:r>
    </w:p>
    <w:p w:rsidR="00F735FA" w:rsidRPr="00664A30" w:rsidRDefault="00F735FA" w:rsidP="002472C8">
      <w:pPr>
        <w:pStyle w:val="References"/>
      </w:pPr>
      <w:r w:rsidRPr="00F4302A">
        <w:rPr>
          <w:lang w:val="da-DK"/>
        </w:rPr>
        <w:t>Bertelsen N. H., Landin A., Orlander S., Sørensen N. L., Widén K., Gottlieb S. C., Aulin R., Øien T.</w:t>
      </w:r>
      <w:r>
        <w:rPr>
          <w:lang w:val="da-DK"/>
        </w:rPr>
        <w:t xml:space="preserve"> B., Ågren R.,</w:t>
      </w:r>
      <w:r w:rsidRPr="00F4302A">
        <w:rPr>
          <w:lang w:val="da-DK"/>
        </w:rPr>
        <w:t xml:space="preserve"> and Vogelius P. (2014 in progress). </w:t>
      </w:r>
      <w:r w:rsidR="00664A30">
        <w:t>Development of c</w:t>
      </w:r>
      <w:r>
        <w:t>onstru</w:t>
      </w:r>
      <w:r>
        <w:t>c</w:t>
      </w:r>
      <w:r>
        <w:t>tion processes in the Oresund</w:t>
      </w:r>
      <w:r w:rsidR="00664A30">
        <w:t xml:space="preserve"> </w:t>
      </w:r>
      <w:r>
        <w:t>region</w:t>
      </w:r>
      <w:r w:rsidR="00664A30">
        <w:t xml:space="preserve"> - C</w:t>
      </w:r>
      <w:r w:rsidR="00664A30" w:rsidRPr="00664A30">
        <w:rPr>
          <w:lang w:eastAsia="en-GB"/>
        </w:rPr>
        <w:t xml:space="preserve">oordination of </w:t>
      </w:r>
      <w:r w:rsidR="00664A30">
        <w:t>i</w:t>
      </w:r>
      <w:r w:rsidR="00664A30">
        <w:rPr>
          <w:lang w:eastAsia="en-GB"/>
        </w:rPr>
        <w:t xml:space="preserve">nformation </w:t>
      </w:r>
      <w:r w:rsidR="00664A30">
        <w:t>t</w:t>
      </w:r>
      <w:r w:rsidR="00664A30" w:rsidRPr="00664A30">
        <w:rPr>
          <w:lang w:eastAsia="en-GB"/>
        </w:rPr>
        <w:t xml:space="preserve">echnology, </w:t>
      </w:r>
      <w:r w:rsidR="00664A30">
        <w:t>p</w:t>
      </w:r>
      <w:r w:rsidR="00664A30">
        <w:rPr>
          <w:lang w:eastAsia="en-GB"/>
        </w:rPr>
        <w:t xml:space="preserve">roductivity, </w:t>
      </w:r>
      <w:r w:rsidR="00664A30">
        <w:t>q</w:t>
      </w:r>
      <w:r w:rsidR="00664A30" w:rsidRPr="00664A30">
        <w:rPr>
          <w:lang w:eastAsia="en-GB"/>
        </w:rPr>
        <w:t xml:space="preserve">uality and </w:t>
      </w:r>
      <w:r w:rsidR="00664A30">
        <w:t>s</w:t>
      </w:r>
      <w:r w:rsidR="00664A30">
        <w:rPr>
          <w:lang w:eastAsia="en-GB"/>
        </w:rPr>
        <w:t xml:space="preserve">ustainable </w:t>
      </w:r>
      <w:r w:rsidR="00664A30">
        <w:t>b</w:t>
      </w:r>
      <w:r w:rsidR="00664A30" w:rsidRPr="00664A30">
        <w:rPr>
          <w:lang w:eastAsia="en-GB"/>
        </w:rPr>
        <w:t xml:space="preserve">uilding </w:t>
      </w:r>
      <w:r w:rsidR="00664A30">
        <w:rPr>
          <w:lang w:eastAsia="en-GB"/>
        </w:rPr>
        <w:t xml:space="preserve">in an </w:t>
      </w:r>
      <w:r w:rsidR="00664A30">
        <w:t>i</w:t>
      </w:r>
      <w:r w:rsidR="00664A30" w:rsidRPr="00664A30">
        <w:rPr>
          <w:lang w:eastAsia="en-GB"/>
        </w:rPr>
        <w:t>ndustrial</w:t>
      </w:r>
      <w:r w:rsidR="00664A30">
        <w:t>ized</w:t>
      </w:r>
      <w:r w:rsidR="00664A30" w:rsidRPr="00664A30">
        <w:rPr>
          <w:lang w:eastAsia="en-GB"/>
        </w:rPr>
        <w:t xml:space="preserve"> </w:t>
      </w:r>
      <w:r w:rsidR="00664A30">
        <w:t>p</w:t>
      </w:r>
      <w:r w:rsidR="00664A30" w:rsidRPr="00664A30">
        <w:rPr>
          <w:lang w:eastAsia="en-GB"/>
        </w:rPr>
        <w:t>erspective</w:t>
      </w:r>
      <w:r w:rsidR="00664A30">
        <w:t xml:space="preserve"> (in Da</w:t>
      </w:r>
      <w:r w:rsidR="00664A30">
        <w:t>n</w:t>
      </w:r>
      <w:r w:rsidR="009D062D">
        <w:t xml:space="preserve">ish). </w:t>
      </w:r>
      <w:r w:rsidR="001C51BD">
        <w:t>SBi</w:t>
      </w:r>
      <w:r w:rsidR="00664A30">
        <w:t>, Aalborg University Copenhagen.</w:t>
      </w:r>
    </w:p>
    <w:p w:rsidR="005A5A6A" w:rsidRPr="00FF5040" w:rsidRDefault="00A96B11" w:rsidP="002472C8">
      <w:pPr>
        <w:pStyle w:val="References"/>
      </w:pPr>
      <w:proofErr w:type="spellStart"/>
      <w:r>
        <w:t>Cort</w:t>
      </w:r>
      <w:proofErr w:type="spellEnd"/>
      <w:r>
        <w:t xml:space="preserve"> P. (2011)</w:t>
      </w:r>
      <w:r w:rsidR="00226E26">
        <w:t xml:space="preserve">. </w:t>
      </w:r>
      <w:proofErr w:type="gramStart"/>
      <w:r>
        <w:t>Taking the Copenhagen process apart.</w:t>
      </w:r>
      <w:proofErr w:type="gramEnd"/>
      <w:r>
        <w:t xml:space="preserve"> </w:t>
      </w:r>
      <w:proofErr w:type="gramStart"/>
      <w:r>
        <w:t>Aarhus University, Copenhagen.</w:t>
      </w:r>
      <w:proofErr w:type="gramEnd"/>
    </w:p>
    <w:p w:rsidR="00CA1C21" w:rsidRDefault="00A96B11" w:rsidP="002472C8">
      <w:pPr>
        <w:pStyle w:val="References"/>
      </w:pPr>
      <w:proofErr w:type="spellStart"/>
      <w:r>
        <w:rPr>
          <w:lang w:eastAsia="en-GB"/>
        </w:rPr>
        <w:lastRenderedPageBreak/>
        <w:t>Daudigeos</w:t>
      </w:r>
      <w:proofErr w:type="spellEnd"/>
      <w:r>
        <w:t xml:space="preserve"> T.</w:t>
      </w:r>
      <w:r>
        <w:rPr>
          <w:lang w:eastAsia="en-GB"/>
        </w:rPr>
        <w:t>,</w:t>
      </w:r>
      <w:r>
        <w:t xml:space="preserve"> </w:t>
      </w:r>
      <w:proofErr w:type="spellStart"/>
      <w:r>
        <w:rPr>
          <w:lang w:eastAsia="en-GB"/>
        </w:rPr>
        <w:t>Boutinot</w:t>
      </w:r>
      <w:proofErr w:type="spellEnd"/>
      <w:r>
        <w:t xml:space="preserve"> A.</w:t>
      </w:r>
      <w:proofErr w:type="gramStart"/>
      <w:r>
        <w:rPr>
          <w:lang w:eastAsia="en-GB"/>
        </w:rPr>
        <w:t xml:space="preserve">,  </w:t>
      </w:r>
      <w:proofErr w:type="spellStart"/>
      <w:r>
        <w:rPr>
          <w:lang w:eastAsia="en-GB"/>
        </w:rPr>
        <w:t>Jaumier</w:t>
      </w:r>
      <w:proofErr w:type="spellEnd"/>
      <w:proofErr w:type="gramEnd"/>
      <w:r>
        <w:t xml:space="preserve"> S.</w:t>
      </w:r>
      <w:r>
        <w:rPr>
          <w:lang w:eastAsia="en-GB"/>
        </w:rPr>
        <w:t xml:space="preserve"> (2013)</w:t>
      </w:r>
      <w:r w:rsidR="00226E26">
        <w:t>.</w:t>
      </w:r>
      <w:r>
        <w:rPr>
          <w:lang w:eastAsia="en-GB"/>
        </w:rPr>
        <w:t xml:space="preserve"> Taking Stock of Institutional Complexity: A</w:t>
      </w:r>
      <w:r>
        <w:rPr>
          <w:lang w:eastAsia="en-GB"/>
        </w:rPr>
        <w:t>n</w:t>
      </w:r>
      <w:r>
        <w:rPr>
          <w:lang w:eastAsia="en-GB"/>
        </w:rPr>
        <w:t xml:space="preserve">choring </w:t>
      </w:r>
      <w:proofErr w:type="gramStart"/>
      <w:r>
        <w:rPr>
          <w:lang w:eastAsia="en-GB"/>
        </w:rPr>
        <w:t>A</w:t>
      </w:r>
      <w:proofErr w:type="gramEnd"/>
      <w:r>
        <w:rPr>
          <w:lang w:eastAsia="en-GB"/>
        </w:rPr>
        <w:t xml:space="preserve"> Pool of Institutional Logics into the </w:t>
      </w:r>
      <w:proofErr w:type="spellStart"/>
      <w:r>
        <w:rPr>
          <w:lang w:eastAsia="en-GB"/>
        </w:rPr>
        <w:t>Interinstitutional</w:t>
      </w:r>
      <w:proofErr w:type="spellEnd"/>
      <w:r>
        <w:rPr>
          <w:lang w:eastAsia="en-GB"/>
        </w:rPr>
        <w:t xml:space="preserve"> System with a D</w:t>
      </w:r>
      <w:r>
        <w:rPr>
          <w:lang w:eastAsia="en-GB"/>
        </w:rPr>
        <w:t>e</w:t>
      </w:r>
      <w:r>
        <w:rPr>
          <w:lang w:eastAsia="en-GB"/>
        </w:rPr>
        <w:t xml:space="preserve">scendent Hierarchical Analysis, in </w:t>
      </w:r>
      <w:proofErr w:type="spellStart"/>
      <w:r>
        <w:rPr>
          <w:lang w:eastAsia="en-GB"/>
        </w:rPr>
        <w:t>Lounsbury</w:t>
      </w:r>
      <w:proofErr w:type="spellEnd"/>
      <w:r>
        <w:t xml:space="preserve"> M</w:t>
      </w:r>
      <w:r>
        <w:rPr>
          <w:lang w:eastAsia="en-GB"/>
        </w:rPr>
        <w:t xml:space="preserve">, </w:t>
      </w:r>
      <w:proofErr w:type="spellStart"/>
      <w:r>
        <w:rPr>
          <w:lang w:eastAsia="en-GB"/>
        </w:rPr>
        <w:t>Boxenbaum</w:t>
      </w:r>
      <w:proofErr w:type="spellEnd"/>
      <w:r>
        <w:rPr>
          <w:lang w:eastAsia="en-GB"/>
        </w:rPr>
        <w:t xml:space="preserve"> </w:t>
      </w:r>
      <w:r>
        <w:t xml:space="preserve">E. </w:t>
      </w:r>
      <w:r>
        <w:rPr>
          <w:lang w:eastAsia="en-GB"/>
        </w:rPr>
        <w:t>(ed.) Institutional Logics in Action, Part B Emerald,</w:t>
      </w:r>
      <w:r w:rsidR="001C51BD">
        <w:t xml:space="preserve"> London,</w:t>
      </w:r>
      <w:r>
        <w:rPr>
          <w:lang w:eastAsia="en-GB"/>
        </w:rPr>
        <w:t xml:space="preserve"> pp.</w:t>
      </w:r>
      <w:r w:rsidR="00226E26">
        <w:t xml:space="preserve"> </w:t>
      </w:r>
      <w:r>
        <w:rPr>
          <w:lang w:eastAsia="en-GB"/>
        </w:rPr>
        <w:t>319-350</w:t>
      </w:r>
      <w:r w:rsidR="00226E26">
        <w:t>.</w:t>
      </w:r>
    </w:p>
    <w:p w:rsidR="00FE256F" w:rsidRPr="00FF5040" w:rsidRDefault="00FE256F" w:rsidP="002472C8">
      <w:pPr>
        <w:pStyle w:val="References"/>
      </w:pPr>
      <w:proofErr w:type="gramStart"/>
      <w:r w:rsidRPr="00FE256F">
        <w:t>Dover, G. and Lawrence, T. (2010).</w:t>
      </w:r>
      <w:proofErr w:type="gramEnd"/>
      <w:r w:rsidRPr="00FE256F">
        <w:t xml:space="preserve"> A gap year for institutional theory: Integrating the study of institutional work and participatory action research. </w:t>
      </w:r>
      <w:proofErr w:type="gramStart"/>
      <w:r w:rsidRPr="00FE256F">
        <w:t>Journal of Management I</w:t>
      </w:r>
      <w:r w:rsidRPr="00FE256F">
        <w:t>n</w:t>
      </w:r>
      <w:r w:rsidRPr="00FE256F">
        <w:t>quiry, 19(4) 305– 316.</w:t>
      </w:r>
      <w:proofErr w:type="gramEnd"/>
    </w:p>
    <w:p w:rsidR="00547A65" w:rsidRPr="00FF5040" w:rsidRDefault="00A96B11" w:rsidP="002472C8">
      <w:pPr>
        <w:pStyle w:val="References"/>
      </w:pPr>
      <w:proofErr w:type="spellStart"/>
      <w:r>
        <w:t>Forsingdal</w:t>
      </w:r>
      <w:proofErr w:type="spellEnd"/>
      <w:r>
        <w:t xml:space="preserve"> C.V., Kragh J., Aggerholm S., </w:t>
      </w:r>
      <w:proofErr w:type="spellStart"/>
      <w:r>
        <w:t>Hougaard</w:t>
      </w:r>
      <w:proofErr w:type="spellEnd"/>
      <w:r>
        <w:t xml:space="preserve"> C.</w:t>
      </w:r>
      <w:r w:rsidR="00226E26">
        <w:t xml:space="preserve"> </w:t>
      </w:r>
      <w:r>
        <w:t>F., Bergmann K</w:t>
      </w:r>
      <w:r w:rsidR="00226E26">
        <w:t>.</w:t>
      </w:r>
      <w:r>
        <w:t>, Lauridsen V.</w:t>
      </w:r>
      <w:r w:rsidR="00226E26">
        <w:t xml:space="preserve"> </w:t>
      </w:r>
      <w:r>
        <w:t xml:space="preserve">H., </w:t>
      </w:r>
      <w:proofErr w:type="spellStart"/>
      <w:r>
        <w:t>Borggreen</w:t>
      </w:r>
      <w:proofErr w:type="spellEnd"/>
      <w:r>
        <w:t xml:space="preserve"> K., </w:t>
      </w:r>
      <w:proofErr w:type="spellStart"/>
      <w:r>
        <w:t>Bodal</w:t>
      </w:r>
      <w:proofErr w:type="spellEnd"/>
      <w:r>
        <w:t xml:space="preserve"> P., Albertsen U.</w:t>
      </w:r>
      <w:r w:rsidR="00226E26">
        <w:t xml:space="preserve"> </w:t>
      </w:r>
      <w:r>
        <w:t>R. (2012)</w:t>
      </w:r>
      <w:r w:rsidR="00226E26">
        <w:t>.</w:t>
      </w:r>
      <w:r>
        <w:t xml:space="preserve"> </w:t>
      </w:r>
      <w:proofErr w:type="gramStart"/>
      <w:r>
        <w:t>Status Quo 2012.</w:t>
      </w:r>
      <w:proofErr w:type="gramEnd"/>
      <w:r>
        <w:t xml:space="preserve"> Build Up Skills. </w:t>
      </w:r>
      <w:proofErr w:type="gramStart"/>
      <w:r>
        <w:t>Intelligent Energy Europe – IEE.</w:t>
      </w:r>
      <w:proofErr w:type="gramEnd"/>
    </w:p>
    <w:p w:rsidR="004709AA" w:rsidRPr="00FF5040" w:rsidRDefault="00A96B11" w:rsidP="002472C8">
      <w:pPr>
        <w:pStyle w:val="References"/>
      </w:pPr>
      <w:proofErr w:type="gramStart"/>
      <w:r>
        <w:t>Greenwood R</w:t>
      </w:r>
      <w:r w:rsidR="00226E26">
        <w:t>.</w:t>
      </w:r>
      <w:r>
        <w:t xml:space="preserve">, </w:t>
      </w:r>
      <w:proofErr w:type="spellStart"/>
      <w:r>
        <w:t>Raynard</w:t>
      </w:r>
      <w:proofErr w:type="spellEnd"/>
      <w:r>
        <w:t xml:space="preserve"> M</w:t>
      </w:r>
      <w:r w:rsidR="00226E26">
        <w:t>.</w:t>
      </w:r>
      <w:r>
        <w:t xml:space="preserve">, </w:t>
      </w:r>
      <w:proofErr w:type="spellStart"/>
      <w:r>
        <w:t>Kodeih</w:t>
      </w:r>
      <w:proofErr w:type="spellEnd"/>
      <w:r>
        <w:t xml:space="preserve"> F</w:t>
      </w:r>
      <w:r w:rsidR="00226E26">
        <w:t>.</w:t>
      </w:r>
      <w:r>
        <w:t xml:space="preserve">, </w:t>
      </w:r>
      <w:proofErr w:type="spellStart"/>
      <w:r>
        <w:t>Micellota</w:t>
      </w:r>
      <w:proofErr w:type="spellEnd"/>
      <w:r>
        <w:t xml:space="preserve"> E</w:t>
      </w:r>
      <w:r w:rsidR="00226E26">
        <w:t>.</w:t>
      </w:r>
      <w:r>
        <w:t xml:space="preserve"> and Lounsbury M</w:t>
      </w:r>
      <w:r w:rsidR="00226E26">
        <w:t>.</w:t>
      </w:r>
      <w:r>
        <w:t xml:space="preserve"> (2011)</w:t>
      </w:r>
      <w:r w:rsidR="00226E26">
        <w:t>.</w:t>
      </w:r>
      <w:proofErr w:type="gramEnd"/>
      <w:r>
        <w:t xml:space="preserve"> </w:t>
      </w:r>
      <w:proofErr w:type="gramStart"/>
      <w:r>
        <w:t>Institutional complex</w:t>
      </w:r>
      <w:r>
        <w:softHyphen/>
        <w:t>ity and organizational responses.</w:t>
      </w:r>
      <w:proofErr w:type="gramEnd"/>
      <w:r>
        <w:t xml:space="preserve"> </w:t>
      </w:r>
      <w:proofErr w:type="gramStart"/>
      <w:r>
        <w:t>The Academy of Management Annals 5(1)</w:t>
      </w:r>
      <w:r w:rsidR="002A5F78">
        <w:t>.</w:t>
      </w:r>
      <w:proofErr w:type="gramEnd"/>
    </w:p>
    <w:p w:rsidR="00916030" w:rsidRPr="00FF5040" w:rsidRDefault="00A96B11" w:rsidP="0085116A">
      <w:pPr>
        <w:pStyle w:val="References"/>
      </w:pPr>
      <w:r>
        <w:t>Koch C</w:t>
      </w:r>
      <w:r w:rsidR="00226E26">
        <w:t>.</w:t>
      </w:r>
      <w:r>
        <w:t xml:space="preserve"> (2013). </w:t>
      </w:r>
      <w:proofErr w:type="gramStart"/>
      <w:r w:rsidRPr="00F4302A">
        <w:t>When blues meets blue eyes.</w:t>
      </w:r>
      <w:proofErr w:type="gramEnd"/>
      <w:r w:rsidRPr="00F4302A">
        <w:t xml:space="preserve"> Danish Management, Technology and Work between Democracy and Globalisation. In Sandberg (</w:t>
      </w:r>
      <w:proofErr w:type="spellStart"/>
      <w:proofErr w:type="gramStart"/>
      <w:r w:rsidRPr="00F4302A">
        <w:t>ed</w:t>
      </w:r>
      <w:proofErr w:type="spellEnd"/>
      <w:proofErr w:type="gramEnd"/>
      <w:r w:rsidRPr="00F4302A">
        <w:t>)</w:t>
      </w:r>
      <w:r w:rsidR="00226E26">
        <w:t xml:space="preserve"> </w:t>
      </w:r>
      <w:r w:rsidRPr="00F4302A">
        <w:t xml:space="preserve">(2013): Northern Lights. Work Management and Welfare. </w:t>
      </w:r>
      <w:proofErr w:type="gramStart"/>
      <w:r w:rsidRPr="00F4302A">
        <w:t xml:space="preserve">SNS </w:t>
      </w:r>
      <w:proofErr w:type="spellStart"/>
      <w:r w:rsidRPr="00F4302A">
        <w:t>Förlag</w:t>
      </w:r>
      <w:proofErr w:type="spellEnd"/>
      <w:r w:rsidRPr="00F4302A">
        <w:t>.</w:t>
      </w:r>
      <w:proofErr w:type="gramEnd"/>
      <w:r w:rsidRPr="00F4302A">
        <w:t xml:space="preserve"> Stockholm</w:t>
      </w:r>
      <w:r w:rsidR="00226E26">
        <w:t xml:space="preserve">, </w:t>
      </w:r>
      <w:r w:rsidRPr="00F4302A">
        <w:t>pp</w:t>
      </w:r>
      <w:r w:rsidR="00226E26">
        <w:t>.</w:t>
      </w:r>
      <w:r w:rsidRPr="00F4302A">
        <w:t xml:space="preserve"> 257-276</w:t>
      </w:r>
      <w:r w:rsidR="007F3B06" w:rsidRPr="0000579A">
        <w:t>.</w:t>
      </w:r>
    </w:p>
    <w:p w:rsidR="00B87006" w:rsidRPr="00FF5040" w:rsidRDefault="00A96B11" w:rsidP="0085116A">
      <w:pPr>
        <w:pStyle w:val="References"/>
      </w:pPr>
      <w:proofErr w:type="gramStart"/>
      <w:r>
        <w:t>Koch C., Carlson V. and Buser M. (2014)</w:t>
      </w:r>
      <w:r w:rsidR="003B1553">
        <w:t>.</w:t>
      </w:r>
      <w:proofErr w:type="gramEnd"/>
      <w:r>
        <w:t xml:space="preserve"> </w:t>
      </w:r>
      <w:proofErr w:type="gramStart"/>
      <w:r>
        <w:t xml:space="preserve">Convenience renovation and </w:t>
      </w:r>
      <w:proofErr w:type="spellStart"/>
      <w:r>
        <w:t>non</w:t>
      </w:r>
      <w:r w:rsidR="00167A7E">
        <w:t xml:space="preserve"> </w:t>
      </w:r>
      <w:r>
        <w:t>transition</w:t>
      </w:r>
      <w:proofErr w:type="spellEnd"/>
      <w:r>
        <w:t>.</w:t>
      </w:r>
      <w:proofErr w:type="gramEnd"/>
      <w:r>
        <w:t xml:space="preserve"> </w:t>
      </w:r>
      <w:proofErr w:type="gramStart"/>
      <w:r>
        <w:t>Paper for the</w:t>
      </w:r>
      <w:r w:rsidR="00167A7E">
        <w:t xml:space="preserve"> </w:t>
      </w:r>
      <w:r>
        <w:t>5th International Sustainability Transitions Conference.</w:t>
      </w:r>
      <w:proofErr w:type="gramEnd"/>
      <w:r>
        <w:t xml:space="preserve"> Utrecht.</w:t>
      </w:r>
    </w:p>
    <w:p w:rsidR="000E252B" w:rsidRPr="00FF5040" w:rsidRDefault="00A96B11" w:rsidP="0085116A">
      <w:pPr>
        <w:pStyle w:val="References"/>
      </w:pPr>
      <w:proofErr w:type="gramStart"/>
      <w:r>
        <w:t xml:space="preserve">Koch C. and Buser </w:t>
      </w:r>
      <w:r w:rsidR="00226E26">
        <w:t xml:space="preserve">M. </w:t>
      </w:r>
      <w:r>
        <w:t>(2009)</w:t>
      </w:r>
      <w:r w:rsidR="00226E26">
        <w:t>.</w:t>
      </w:r>
      <w:proofErr w:type="gramEnd"/>
      <w:r>
        <w:t xml:space="preserve"> Small and local until it hurts? –Architects and Engineers d</w:t>
      </w:r>
      <w:r>
        <w:t>e</w:t>
      </w:r>
      <w:r>
        <w:t xml:space="preserve">velopment in a Professional knowledge industry. Ceric A. &amp; </w:t>
      </w:r>
      <w:proofErr w:type="spellStart"/>
      <w:r>
        <w:t>Radujkovic</w:t>
      </w:r>
      <w:proofErr w:type="spellEnd"/>
      <w:r>
        <w:t xml:space="preserve"> M. (</w:t>
      </w:r>
      <w:proofErr w:type="spellStart"/>
      <w:proofErr w:type="gramStart"/>
      <w:r>
        <w:t>eds</w:t>
      </w:r>
      <w:proofErr w:type="spellEnd"/>
      <w:proofErr w:type="gramEnd"/>
      <w:r>
        <w:t>) Proceedings Joint International Symposium W055 &amp; W065. CIB</w:t>
      </w:r>
      <w:r w:rsidR="00226E26">
        <w:t>,</w:t>
      </w:r>
      <w:r>
        <w:t xml:space="preserve"> Dubrovnik.</w:t>
      </w:r>
    </w:p>
    <w:p w:rsidR="001B7E54" w:rsidRPr="00FF5040" w:rsidRDefault="00A96B11" w:rsidP="002472C8">
      <w:pPr>
        <w:pStyle w:val="References"/>
      </w:pPr>
      <w:proofErr w:type="gramStart"/>
      <w:r>
        <w:t xml:space="preserve">Lawrence T.B., R. Suddaby, and B. </w:t>
      </w:r>
      <w:proofErr w:type="spellStart"/>
      <w:r>
        <w:t>Leca</w:t>
      </w:r>
      <w:proofErr w:type="spellEnd"/>
      <w:r>
        <w:t>, eds. (2009).</w:t>
      </w:r>
      <w:proofErr w:type="gramEnd"/>
      <w:r>
        <w:t xml:space="preserve"> Institutional Work: Actors and Agency in Institutional Studies of Organizations. Cambridge: Cambridge University Press.</w:t>
      </w:r>
    </w:p>
    <w:p w:rsidR="00B23289" w:rsidRPr="00FF5040" w:rsidRDefault="00A96B11" w:rsidP="00B23289">
      <w:pPr>
        <w:pStyle w:val="References"/>
      </w:pPr>
      <w:proofErr w:type="gramStart"/>
      <w:r>
        <w:t>Lewis M.W.</w:t>
      </w:r>
      <w:r w:rsidR="00226E26">
        <w:t xml:space="preserve"> </w:t>
      </w:r>
      <w:r>
        <w:t>&amp; Grimes A.</w:t>
      </w:r>
      <w:r w:rsidR="00226E26">
        <w:t xml:space="preserve"> </w:t>
      </w:r>
      <w:r>
        <w:t>J. (1999)</w:t>
      </w:r>
      <w:r w:rsidR="00226E26">
        <w:t>.</w:t>
      </w:r>
      <w:proofErr w:type="gramEnd"/>
      <w:r>
        <w:t xml:space="preserve"> </w:t>
      </w:r>
      <w:proofErr w:type="spellStart"/>
      <w:r>
        <w:t>Metatriangulation</w:t>
      </w:r>
      <w:proofErr w:type="spellEnd"/>
      <w:r>
        <w:t>: Building Theory from Multiple Par</w:t>
      </w:r>
      <w:r>
        <w:t>a</w:t>
      </w:r>
      <w:r>
        <w:t>digms. The Academy of Management Review, Vol. 24, No. 4</w:t>
      </w:r>
      <w:r w:rsidR="00226E26">
        <w:t>,</w:t>
      </w:r>
      <w:r>
        <w:t xml:space="preserve"> pp. 672-690. </w:t>
      </w:r>
    </w:p>
    <w:p w:rsidR="004E7835" w:rsidRPr="00FF5040" w:rsidRDefault="00A96B11" w:rsidP="004E7835">
      <w:pPr>
        <w:pStyle w:val="References"/>
      </w:pPr>
      <w:proofErr w:type="spellStart"/>
      <w:proofErr w:type="gramStart"/>
      <w:r>
        <w:t>Lieshout</w:t>
      </w:r>
      <w:proofErr w:type="spellEnd"/>
      <w:r>
        <w:t xml:space="preserve"> H.</w:t>
      </w:r>
      <w:r w:rsidR="00226E26">
        <w:t xml:space="preserve"> </w:t>
      </w:r>
      <w:r>
        <w:t>v. (2008)</w:t>
      </w:r>
      <w:r w:rsidR="00226E26">
        <w:t>.</w:t>
      </w:r>
      <w:proofErr w:type="gramEnd"/>
      <w:r>
        <w:t xml:space="preserve"> An actor-</w:t>
      </w:r>
      <w:proofErr w:type="spellStart"/>
      <w:r>
        <w:t>centered</w:t>
      </w:r>
      <w:proofErr w:type="spellEnd"/>
      <w:r>
        <w:t xml:space="preserve"> </w:t>
      </w:r>
      <w:proofErr w:type="spellStart"/>
      <w:r>
        <w:t>institutionalist</w:t>
      </w:r>
      <w:proofErr w:type="spellEnd"/>
      <w:r>
        <w:t xml:space="preserve"> approach to </w:t>
      </w:r>
      <w:proofErr w:type="spellStart"/>
      <w:r>
        <w:t>flexicurity</w:t>
      </w:r>
      <w:proofErr w:type="spellEnd"/>
      <w:r>
        <w:t xml:space="preserve">: the example of vocational education and training. Congress paper Social Security in a Changing World of Work, 2008, </w:t>
      </w:r>
      <w:proofErr w:type="spellStart"/>
      <w:r>
        <w:t>Kenniscentrum</w:t>
      </w:r>
      <w:proofErr w:type="spellEnd"/>
      <w:r>
        <w:t xml:space="preserve"> </w:t>
      </w:r>
      <w:proofErr w:type="spellStart"/>
      <w:r>
        <w:t>Arbeid</w:t>
      </w:r>
      <w:proofErr w:type="spellEnd"/>
      <w:r>
        <w:t xml:space="preserve"> </w:t>
      </w:r>
      <w:proofErr w:type="spellStart"/>
      <w:r>
        <w:t>Hanzehogeschool</w:t>
      </w:r>
      <w:proofErr w:type="spellEnd"/>
      <w:r>
        <w:t xml:space="preserve"> Groningen. </w:t>
      </w:r>
    </w:p>
    <w:p w:rsidR="004E7835" w:rsidRPr="00FF5040" w:rsidRDefault="00A96B11" w:rsidP="004E7835">
      <w:pPr>
        <w:pStyle w:val="References"/>
      </w:pPr>
      <w:r>
        <w:t>Lounsbury M</w:t>
      </w:r>
      <w:r w:rsidR="00226E26">
        <w:t>.</w:t>
      </w:r>
      <w:r>
        <w:t xml:space="preserve">, and </w:t>
      </w:r>
      <w:proofErr w:type="spellStart"/>
      <w:r>
        <w:t>Boxenbaum</w:t>
      </w:r>
      <w:proofErr w:type="spellEnd"/>
      <w:r>
        <w:t xml:space="preserve"> E</w:t>
      </w:r>
      <w:proofErr w:type="gramStart"/>
      <w:r>
        <w:t>.(</w:t>
      </w:r>
      <w:proofErr w:type="gramEnd"/>
      <w:r>
        <w:t>ed.) (2013a). Institutional Logics in Action, Part A (R</w:t>
      </w:r>
      <w:r>
        <w:t>e</w:t>
      </w:r>
      <w:r>
        <w:t>search in the Sociology of Organizations, Volume 39), Emerald</w:t>
      </w:r>
      <w:r w:rsidR="00226E26">
        <w:t>,</w:t>
      </w:r>
      <w:r>
        <w:t xml:space="preserve"> London.</w:t>
      </w:r>
    </w:p>
    <w:p w:rsidR="00BC6254" w:rsidRPr="00FF5040" w:rsidRDefault="00A96B11" w:rsidP="004E7835">
      <w:pPr>
        <w:pStyle w:val="References"/>
      </w:pPr>
      <w:r>
        <w:t xml:space="preserve">Lounsbury </w:t>
      </w:r>
      <w:proofErr w:type="gramStart"/>
      <w:r>
        <w:t>M</w:t>
      </w:r>
      <w:r w:rsidR="00226E26">
        <w:t>.</w:t>
      </w:r>
      <w:r>
        <w:t>,</w:t>
      </w:r>
      <w:proofErr w:type="gramEnd"/>
      <w:r>
        <w:t xml:space="preserve"> and </w:t>
      </w:r>
      <w:proofErr w:type="spellStart"/>
      <w:r>
        <w:t>Boxenbaum</w:t>
      </w:r>
      <w:proofErr w:type="spellEnd"/>
      <w:r>
        <w:t xml:space="preserve"> E.</w:t>
      </w:r>
      <w:r w:rsidR="00226E26">
        <w:t xml:space="preserve"> (</w:t>
      </w:r>
      <w:r>
        <w:t>ed.</w:t>
      </w:r>
      <w:r w:rsidR="00226E26">
        <w:t>)</w:t>
      </w:r>
      <w:r>
        <w:t xml:space="preserve"> (2013b). Institutional Logics in Action, Part B (R</w:t>
      </w:r>
      <w:r>
        <w:t>e</w:t>
      </w:r>
      <w:r>
        <w:t>search in the Sociology of Organizations, Volume 40), Emerald</w:t>
      </w:r>
      <w:r w:rsidR="00226E26">
        <w:t>,</w:t>
      </w:r>
      <w:r>
        <w:t xml:space="preserve"> London.</w:t>
      </w:r>
    </w:p>
    <w:p w:rsidR="009D4AA5" w:rsidRPr="00FF5040" w:rsidRDefault="00A96B11" w:rsidP="002472C8">
      <w:pPr>
        <w:pStyle w:val="References"/>
      </w:pPr>
      <w:r w:rsidRPr="00F4302A">
        <w:rPr>
          <w:lang w:val="da-DK"/>
        </w:rPr>
        <w:t>Næss-Schmidt H.</w:t>
      </w:r>
      <w:r w:rsidR="00226E26" w:rsidRPr="00F4302A">
        <w:rPr>
          <w:lang w:val="da-DK"/>
        </w:rPr>
        <w:t xml:space="preserve"> </w:t>
      </w:r>
      <w:r w:rsidRPr="00F4302A">
        <w:rPr>
          <w:lang w:val="da-DK"/>
        </w:rPr>
        <w:t>S., Hansen M.</w:t>
      </w:r>
      <w:r w:rsidR="00226E26" w:rsidRPr="00F4302A">
        <w:rPr>
          <w:lang w:val="da-DK"/>
        </w:rPr>
        <w:t xml:space="preserve"> </w:t>
      </w:r>
      <w:r w:rsidRPr="00F4302A">
        <w:rPr>
          <w:lang w:val="da-DK"/>
        </w:rPr>
        <w:t>B. Danielsson C. U. (2012)</w:t>
      </w:r>
      <w:r w:rsidR="00226E26" w:rsidRPr="00F4302A">
        <w:rPr>
          <w:lang w:val="da-DK"/>
        </w:rPr>
        <w:t>.</w:t>
      </w:r>
      <w:r w:rsidRPr="00F4302A">
        <w:rPr>
          <w:lang w:val="da-DK"/>
        </w:rPr>
        <w:t xml:space="preserve"> </w:t>
      </w:r>
      <w:proofErr w:type="gramStart"/>
      <w:r>
        <w:t>Multiple benefits of investing in energy efficient renovation of buildings.</w:t>
      </w:r>
      <w:proofErr w:type="gramEnd"/>
      <w:r>
        <w:t xml:space="preserve"> Copenhagen Economics</w:t>
      </w:r>
      <w:proofErr w:type="gramStart"/>
      <w:r w:rsidR="00A8582F">
        <w:t>.</w:t>
      </w:r>
      <w:r>
        <w:t>.</w:t>
      </w:r>
      <w:proofErr w:type="gramEnd"/>
      <w:r>
        <w:t xml:space="preserve"> Copenhagen.</w:t>
      </w:r>
    </w:p>
    <w:p w:rsidR="001B7E54" w:rsidRPr="00FF5040" w:rsidRDefault="00A96B11" w:rsidP="001B7E54">
      <w:pPr>
        <w:pStyle w:val="References"/>
      </w:pPr>
      <w:r>
        <w:t xml:space="preserve">Scott, W. R. </w:t>
      </w:r>
      <w:r w:rsidR="00226E26">
        <w:t>(</w:t>
      </w:r>
      <w:r>
        <w:t>2001</w:t>
      </w:r>
      <w:r w:rsidR="00226E26">
        <w:t>)</w:t>
      </w:r>
      <w:r>
        <w:t xml:space="preserve">. </w:t>
      </w:r>
      <w:proofErr w:type="gramStart"/>
      <w:r>
        <w:t>Institutions and Organizations.</w:t>
      </w:r>
      <w:proofErr w:type="gramEnd"/>
      <w:r>
        <w:t xml:space="preserve"> 2nd ed. Thousand Oaks, C.A.: Sage</w:t>
      </w:r>
    </w:p>
    <w:p w:rsidR="004E5F40" w:rsidRPr="0000579A" w:rsidRDefault="00A96B11" w:rsidP="002472C8">
      <w:pPr>
        <w:pStyle w:val="References"/>
      </w:pPr>
      <w:proofErr w:type="gramStart"/>
      <w:r>
        <w:t>Suddaby, R.</w:t>
      </w:r>
      <w:r w:rsidR="00226E26">
        <w:t>,</w:t>
      </w:r>
      <w:r>
        <w:t xml:space="preserve"> and Greenwood R. (2009)</w:t>
      </w:r>
      <w:r w:rsidR="00226E26">
        <w:t>.</w:t>
      </w:r>
      <w:proofErr w:type="gramEnd"/>
      <w:r>
        <w:t xml:space="preserve"> Methodological issues in Researching Institutional change. In Bryman </w:t>
      </w:r>
      <w:r w:rsidR="001C51BD">
        <w:t xml:space="preserve">A. </w:t>
      </w:r>
      <w:r>
        <w:t xml:space="preserve">and Buchanan </w:t>
      </w:r>
      <w:r w:rsidR="001C51BD">
        <w:t xml:space="preserve">D. </w:t>
      </w:r>
      <w:r>
        <w:t>(</w:t>
      </w:r>
      <w:proofErr w:type="spellStart"/>
      <w:proofErr w:type="gramStart"/>
      <w:r>
        <w:t>eds</w:t>
      </w:r>
      <w:proofErr w:type="spellEnd"/>
      <w:proofErr w:type="gramEnd"/>
      <w:r>
        <w:t>).</w:t>
      </w:r>
      <w:r w:rsidR="00226E26">
        <w:t xml:space="preserve"> </w:t>
      </w:r>
      <w:proofErr w:type="gramStart"/>
      <w:r>
        <w:t>Handbook of Organizational Research Methods.</w:t>
      </w:r>
      <w:proofErr w:type="gramEnd"/>
      <w:r>
        <w:t xml:space="preserve"> </w:t>
      </w:r>
      <w:proofErr w:type="gramStart"/>
      <w:r w:rsidRPr="00F4302A">
        <w:t>Sage.</w:t>
      </w:r>
      <w:proofErr w:type="gramEnd"/>
      <w:r w:rsidRPr="00F4302A">
        <w:t xml:space="preserve"> London. </w:t>
      </w:r>
      <w:proofErr w:type="gramStart"/>
      <w:r w:rsidRPr="00F4302A">
        <w:t>176-195.</w:t>
      </w:r>
      <w:proofErr w:type="gramEnd"/>
    </w:p>
    <w:p w:rsidR="002A5F78" w:rsidRPr="00FF5040" w:rsidRDefault="00A96B11" w:rsidP="002472C8">
      <w:pPr>
        <w:pStyle w:val="References"/>
      </w:pPr>
      <w:proofErr w:type="gramStart"/>
      <w:r>
        <w:t>Thornton P.</w:t>
      </w:r>
      <w:r w:rsidR="009D2D6C">
        <w:t xml:space="preserve"> </w:t>
      </w:r>
      <w:r>
        <w:t>H., Ocasio W., and Lounsbury M. (2012)</w:t>
      </w:r>
      <w:r w:rsidR="009D2D6C">
        <w:t>.</w:t>
      </w:r>
      <w:proofErr w:type="gramEnd"/>
      <w:r>
        <w:t xml:space="preserve"> </w:t>
      </w:r>
      <w:proofErr w:type="gramStart"/>
      <w:r>
        <w:t xml:space="preserve">The Institutional Logics Perspective </w:t>
      </w:r>
      <w:r w:rsidR="009D2D6C">
        <w:t xml:space="preserve">- </w:t>
      </w:r>
      <w:r>
        <w:t>A New Approach to Culture, Structure and Process.</w:t>
      </w:r>
      <w:proofErr w:type="gramEnd"/>
      <w:r>
        <w:t xml:space="preserve"> </w:t>
      </w:r>
      <w:proofErr w:type="gramStart"/>
      <w:r>
        <w:t>Oxford University Press.</w:t>
      </w:r>
      <w:proofErr w:type="gramEnd"/>
      <w:r w:rsidR="009D2D6C">
        <w:t xml:space="preserve"> </w:t>
      </w:r>
      <w:r>
        <w:t>Oxford.</w:t>
      </w:r>
    </w:p>
    <w:p w:rsidR="00B8229C" w:rsidRPr="00D914C8" w:rsidRDefault="00A96B11" w:rsidP="00F4302A">
      <w:pPr>
        <w:pStyle w:val="References"/>
      </w:pPr>
      <w:r w:rsidRPr="00050B1E">
        <w:t>Wittchen K. B. (2009)</w:t>
      </w:r>
      <w:r w:rsidR="009D2D6C" w:rsidRPr="00050B1E">
        <w:t>.</w:t>
      </w:r>
      <w:r w:rsidRPr="00050B1E">
        <w:t xml:space="preserve"> </w:t>
      </w:r>
      <w:proofErr w:type="spellStart"/>
      <w:proofErr w:type="gramStart"/>
      <w:r w:rsidRPr="00050B1E">
        <w:t>Potentielle</w:t>
      </w:r>
      <w:proofErr w:type="spellEnd"/>
      <w:r w:rsidRPr="00050B1E">
        <w:t xml:space="preserve"> </w:t>
      </w:r>
      <w:proofErr w:type="spellStart"/>
      <w:r w:rsidRPr="00050B1E">
        <w:t>energibesparelser</w:t>
      </w:r>
      <w:proofErr w:type="spellEnd"/>
      <w:r w:rsidRPr="00050B1E">
        <w:t xml:space="preserve"> i </w:t>
      </w:r>
      <w:proofErr w:type="spellStart"/>
      <w:r w:rsidRPr="00050B1E">
        <w:t>det</w:t>
      </w:r>
      <w:proofErr w:type="spellEnd"/>
      <w:r w:rsidRPr="00050B1E">
        <w:t xml:space="preserve"> </w:t>
      </w:r>
      <w:proofErr w:type="spellStart"/>
      <w:r w:rsidRPr="00050B1E">
        <w:t>eksisterende</w:t>
      </w:r>
      <w:proofErr w:type="spellEnd"/>
      <w:r w:rsidRPr="00050B1E">
        <w:t xml:space="preserve"> </w:t>
      </w:r>
      <w:proofErr w:type="spellStart"/>
      <w:r w:rsidRPr="00050B1E">
        <w:t>byggeri</w:t>
      </w:r>
      <w:proofErr w:type="spellEnd"/>
      <w:r w:rsidRPr="00050B1E">
        <w:t>.</w:t>
      </w:r>
      <w:proofErr w:type="gramEnd"/>
      <w:r w:rsidRPr="00050B1E">
        <w:t xml:space="preserve"> </w:t>
      </w:r>
      <w:r>
        <w:t xml:space="preserve">SBi 2009:05. </w:t>
      </w:r>
      <w:proofErr w:type="spellStart"/>
      <w:proofErr w:type="gramStart"/>
      <w:r>
        <w:t>Hørsholm</w:t>
      </w:r>
      <w:proofErr w:type="spellEnd"/>
      <w:r>
        <w:t xml:space="preserve"> (potential for</w:t>
      </w:r>
      <w:r w:rsidR="003812F3" w:rsidRPr="003812F3">
        <w:t xml:space="preserve"> energy savings in existing buildings).</w:t>
      </w:r>
      <w:proofErr w:type="gramEnd"/>
    </w:p>
    <w:sectPr w:rsidR="00B8229C" w:rsidRPr="00D914C8" w:rsidSect="004D0737">
      <w:pgSz w:w="11906" w:h="16838" w:code="9"/>
      <w:pgMar w:top="1418" w:right="1418" w:bottom="1418" w:left="2155" w:header="709" w:footer="709" w:gutter="0"/>
      <w:paperSrc w:first="15" w:other="15"/>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72"/>
    <wne:keymap wne:mask="1" wne:kcmPrimary="0231"/>
    <wne:keymap wne:mask="1" wne:kcmPrimary="0232"/>
    <wne:keymap wne:mask="1" wne:kcmPrimary="0235"/>
    <wne:keymap wne:kcmPrimary="0242">
      <wne:acd wne:acdName="acd20"/>
    </wne:keymap>
    <wne:keymap wne:mask="1" wne:kcmPrimary="0244"/>
    <wne:keymap wne:mask="1" wne:kcmPrimary="0245"/>
    <wne:keymap wne:kcmPrimary="0249">
      <wne:acd wne:acdName="acd21"/>
    </wne:keymap>
    <wne:keymap wne:mask="1" wne:kcmPrimary="024A"/>
    <wne:keymap wne:mask="1" wne:kcmPrimary="024C"/>
    <wne:keymap wne:mask="1" wne:kcmPrimary="024D"/>
    <wne:keymap wne:mask="1" wne:kcmPrimary="0252"/>
    <wne:keymap wne:mask="1" wne:kcmPrimary="0254"/>
    <wne:keymap wne:mask="1" wne:kcmPrimary="0255"/>
    <wne:keymap wne:mask="1" wne:kcmPrimary="02BB"/>
    <wne:keymap wne:mask="1" wne:kcmPrimary="02DB"/>
    <wne:keymap wne:mask="1" wne:kcmPrimary="02DD"/>
    <wne:keymap wne:mask="1" wne:kcmPrimary="0341"/>
    <wne:keymap wne:mask="1" wne:kcmPrimary="0344"/>
    <wne:keymap wne:mask="1" wne:kcmPrimary="0348"/>
    <wne:keymap wne:mask="1" wne:kcmPrimary="034B"/>
    <wne:keymap wne:mask="1" wne:kcmPrimary="034C"/>
    <wne:keymap wne:mask="1" wne:kcmPrimary="034D"/>
    <wne:keymap wne:mask="1" wne:kcmPrimary="034E"/>
    <wne:keymap wne:mask="1" wne:kcmPrimary="0350"/>
    <wne:keymap wne:mask="1" wne:kcmPrimary="0351"/>
    <wne:keymap wne:mask="1" wne:kcmPrimary="0353"/>
    <wne:keymap wne:mask="1" wne:kcmPrimary="0354"/>
    <wne:keymap wne:mask="1" wne:kcmPrimary="0355"/>
    <wne:keymap wne:mask="1" wne:kcmPrimary="0357"/>
    <wne:keymap wne:mask="1" wne:kcmPrimary="03BB"/>
    <wne:keymap wne:mask="1" wne:kcmPrimary="03BC"/>
    <wne:keymap wne:mask="1" wne:kcmPrimary="03BE"/>
    <wne:keymap wne:mask="1" wne:kcmPrimary="050C"/>
    <wne:keymap wne:mask="1" wne:kcmPrimary="0631"/>
    <wne:keymap wne:mask="1" wne:kcmPrimary="0632"/>
    <wne:keymap wne:mask="1" wne:kcmPrimary="0633"/>
    <wne:keymap wne:mask="1" wne:kcmPrimary="064B"/>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gBQAGEAcABlAHIAXwBUAGkAdABsAGUA" wne:acdName="acd0" wne:fciIndexBasedOn="0065"/>
    <wne:acd wne:argValue="AgBBAHUAdABoAG8AcgA=" wne:acdName="acd1" wne:fciIndexBasedOn="0065"/>
    <wne:acd wne:argValue="AgBBAGQAZAByAGUAcwBzAA==" wne:acdName="acd2" wne:fciIndexBasedOn="0065"/>
    <wne:acd wne:argValue="AgBBAGIAcwB0AHIAYQBjAHQA" wne:acdName="acd3" wne:fciIndexBasedOn="0065"/>
    <wne:acd wne:argValue="AgBLAGUAeQB3AG8AcgBkAHMA" wne:acdName="acd4" wne:fciIndexBasedOn="0065"/>
    <wne:acd wne:argValue="AgBTAGUAYwB0AGkAbwBuAF8ASABlAGEAZABpAG4AZwA=" wne:acdName="acd5" wne:fciIndexBasedOn="0065"/>
    <wne:acd wne:argValue="AgBTAGUAYwB0AGkAbwBuAF8AUwB1AGIALQBoAGUAYQBkAGkAbgBnAA==" wne:acdName="acd6" wne:fciIndexBasedOn="0065"/>
    <wne:acd wne:acdName="acd7" wne:fciIndexBasedOn="0065"/>
    <wne:acd wne:argValue="AgBCAHUAbABsAGUAdABfAEwAaQBzAHQA" wne:acdName="acd8" wne:fciIndexBasedOn="0065"/>
    <wne:acd wne:argValue="AgBOAHUAbQBiAGUAcgBlAGQAXwBMAGkAcwB0AA==" wne:acdName="acd9" wne:fciIndexBasedOn="0065"/>
    <wne:acd wne:argValue="AgBDAGEAcAB0AGkAbwBuAHMA" wne:acdName="acd10" wne:fciIndexBasedOn="0065"/>
    <wne:acd wne:argValue="AQAAACYA" wne:acdName="acd11" wne:fciIndexBasedOn="0065"/>
    <wne:acd wne:argValue="AgBUAGEAYgBsAGUAXwBDAG8AbgB0AGUAbgB0AHMALQBMAGUAZgB0AA==" wne:acdName="acd12" wne:fciIndexBasedOn="0065"/>
    <wne:acd wne:argValue="AgBUAGEAYgBsAGUAXwBDAG8AbgB0AGUAbgB0AHMALQBSAGkAZwBoAHQA" wne:acdName="acd13" wne:fciIndexBasedOn="0065"/>
    <wne:acd wne:argValue="AgBSAGUAZgBlAHIAZQBuAGMAZQBzAA==" wne:acdName="acd14" wne:fciIndexBasedOn="0065"/>
    <wne:acd wne:argValue="AQAAAAAA" wne:acdName="acd15" wne:fciIndexBasedOn="0065"/>
    <wne:acd wne:argValue="AgBNAGkAbgBvAHIAXwBIAGUAYQBkAGkAbgBnAA==" wne:acdName="acd16" wne:fciIndexBasedOn="0065"/>
    <wne:acd wne:acdName="acd17" wne:fciIndexBasedOn="0065"/>
    <wne:acd wne:argValue="AQAAAB0A" wne:acdName="acd18" wne:fciIndexBasedOn="0065"/>
    <wne:acd wne:acdName="acd19" wne:fciIndexBasedOn="0065"/>
    <wne:acd wne:argValue="AgBTAHQAeQBsAGUAIABSAGUAZgBlAHIAZQBuAGMAZQBzACAAKwAgAEIAbwBsAGQA" wne:acdName="acd20" wne:fciIndexBasedOn="0065"/>
    <wne:acd wne:argValue="AgBTAHQAeQBsAGUAIABSAGUAZgBlAHIAZQBuAGMAZQBzACAAKwAgAEkAdABhAGwAaQBjAA==" wne:acdName="acd2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0B" w:rsidRDefault="00F9370B">
      <w:r>
        <w:separator/>
      </w:r>
    </w:p>
  </w:endnote>
  <w:endnote w:type="continuationSeparator" w:id="0">
    <w:p w:rsidR="00F9370B" w:rsidRDefault="00F9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0B" w:rsidRDefault="00F9370B">
      <w:r>
        <w:separator/>
      </w:r>
    </w:p>
  </w:footnote>
  <w:footnote w:type="continuationSeparator" w:id="0">
    <w:p w:rsidR="00F9370B" w:rsidRDefault="00F9370B">
      <w:r>
        <w:continuationSeparator/>
      </w:r>
    </w:p>
  </w:footnote>
  <w:footnote w:id="1">
    <w:p w:rsidR="00F9370B" w:rsidRDefault="00F9370B">
      <w:pPr>
        <w:pStyle w:val="Fodnotetekst"/>
      </w:pPr>
      <w:r>
        <w:rPr>
          <w:rStyle w:val="Fodnotehenvisning"/>
        </w:rPr>
        <w:footnoteRef/>
      </w:r>
      <w:r>
        <w:t xml:space="preserve"> kochch@chalmers.se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A862F4"/>
    <w:lvl w:ilvl="0">
      <w:start w:val="1"/>
      <w:numFmt w:val="decimal"/>
      <w:lvlText w:val="%1."/>
      <w:lvlJc w:val="left"/>
      <w:pPr>
        <w:tabs>
          <w:tab w:val="num" w:pos="1492"/>
        </w:tabs>
        <w:ind w:left="1492" w:hanging="360"/>
      </w:pPr>
    </w:lvl>
  </w:abstractNum>
  <w:abstractNum w:abstractNumId="1">
    <w:nsid w:val="FFFFFF7D"/>
    <w:multiLevelType w:val="singleLevel"/>
    <w:tmpl w:val="69B8519C"/>
    <w:lvl w:ilvl="0">
      <w:start w:val="1"/>
      <w:numFmt w:val="decimal"/>
      <w:lvlText w:val="%1."/>
      <w:lvlJc w:val="left"/>
      <w:pPr>
        <w:tabs>
          <w:tab w:val="num" w:pos="1209"/>
        </w:tabs>
        <w:ind w:left="1209" w:hanging="360"/>
      </w:pPr>
    </w:lvl>
  </w:abstractNum>
  <w:abstractNum w:abstractNumId="2">
    <w:nsid w:val="FFFFFF7E"/>
    <w:multiLevelType w:val="singleLevel"/>
    <w:tmpl w:val="5134A520"/>
    <w:lvl w:ilvl="0">
      <w:start w:val="1"/>
      <w:numFmt w:val="decimal"/>
      <w:lvlText w:val="%1."/>
      <w:lvlJc w:val="left"/>
      <w:pPr>
        <w:tabs>
          <w:tab w:val="num" w:pos="926"/>
        </w:tabs>
        <w:ind w:left="926" w:hanging="360"/>
      </w:pPr>
    </w:lvl>
  </w:abstractNum>
  <w:abstractNum w:abstractNumId="3">
    <w:nsid w:val="FFFFFF7F"/>
    <w:multiLevelType w:val="singleLevel"/>
    <w:tmpl w:val="F968D066"/>
    <w:lvl w:ilvl="0">
      <w:start w:val="1"/>
      <w:numFmt w:val="decimal"/>
      <w:lvlText w:val="%1."/>
      <w:lvlJc w:val="left"/>
      <w:pPr>
        <w:tabs>
          <w:tab w:val="num" w:pos="643"/>
        </w:tabs>
        <w:ind w:left="643" w:hanging="360"/>
      </w:pPr>
    </w:lvl>
  </w:abstractNum>
  <w:abstractNum w:abstractNumId="4">
    <w:nsid w:val="FFFFFF80"/>
    <w:multiLevelType w:val="singleLevel"/>
    <w:tmpl w:val="0B948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F00E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5262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5AC9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6AB4BA"/>
    <w:lvl w:ilvl="0">
      <w:start w:val="1"/>
      <w:numFmt w:val="decimal"/>
      <w:lvlText w:val="%1."/>
      <w:lvlJc w:val="left"/>
      <w:pPr>
        <w:tabs>
          <w:tab w:val="num" w:pos="360"/>
        </w:tabs>
        <w:ind w:left="360" w:hanging="360"/>
      </w:pPr>
    </w:lvl>
  </w:abstractNum>
  <w:abstractNum w:abstractNumId="9">
    <w:nsid w:val="FFFFFF89"/>
    <w:multiLevelType w:val="singleLevel"/>
    <w:tmpl w:val="36A23E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0463C0B"/>
    <w:multiLevelType w:val="multilevel"/>
    <w:tmpl w:val="6ED8BA20"/>
    <w:styleLink w:val="StyleBulleted"/>
    <w:lvl w:ilvl="0">
      <w:start w:val="1"/>
      <w:numFmt w:val="bullet"/>
      <w:lvlText w:val=""/>
      <w:lvlJc w:val="left"/>
      <w:pPr>
        <w:tabs>
          <w:tab w:val="num" w:pos="72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1513ABD"/>
    <w:multiLevelType w:val="multilevel"/>
    <w:tmpl w:val="6980F016"/>
    <w:lvl w:ilvl="0">
      <w:start w:val="1"/>
      <w:numFmt w:val="bullet"/>
      <w:pStyle w:val="BulletList"/>
      <w:lvlText w:val=""/>
      <w:lvlJc w:val="left"/>
      <w:pPr>
        <w:tabs>
          <w:tab w:val="num" w:pos="72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7A2133"/>
    <w:multiLevelType w:val="multilevel"/>
    <w:tmpl w:val="6ED8BA20"/>
    <w:numStyleLink w:val="StyleBulleted"/>
  </w:abstractNum>
  <w:abstractNum w:abstractNumId="13">
    <w:nsid w:val="2C3C3E70"/>
    <w:multiLevelType w:val="hybridMultilevel"/>
    <w:tmpl w:val="FFB80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E67E81"/>
    <w:multiLevelType w:val="hybridMultilevel"/>
    <w:tmpl w:val="810C3290"/>
    <w:lvl w:ilvl="0" w:tplc="13D8AB06">
      <w:start w:val="1"/>
      <w:numFmt w:val="decimal"/>
      <w:pStyle w:val="NumberedList"/>
      <w:lvlText w:val="%1."/>
      <w:lvlJc w:val="left"/>
      <w:pPr>
        <w:tabs>
          <w:tab w:val="num" w:pos="640"/>
        </w:tabs>
        <w:ind w:left="6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6301EFE"/>
    <w:multiLevelType w:val="hybridMultilevel"/>
    <w:tmpl w:val="6634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64243E"/>
    <w:multiLevelType w:val="hybridMultilevel"/>
    <w:tmpl w:val="4FB0823E"/>
    <w:lvl w:ilvl="0" w:tplc="873C96A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0"/>
  </w:num>
  <w:num w:numId="4">
    <w:abstractNumId w:val="12"/>
  </w:num>
  <w:num w:numId="5">
    <w:abstractNumId w:val="11"/>
  </w:num>
  <w:num w:numId="6">
    <w:abstractNumId w:val="13"/>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Full" w:cryptAlgorithmClass="hash" w:cryptAlgorithmType="typeAny" w:cryptAlgorithmSid="4" w:cryptSpinCount="100000" w:hash="TXkW+oRJJkIasR9FuTMU+9fo8Xg=" w:salt="minKXY0RQemXBMihjk6pxQ=="/>
  <w:defaultTabStop w:val="720"/>
  <w:autoHyphenation/>
  <w:hyphenationZone w:val="284"/>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11"/>
    <w:rsid w:val="0000579A"/>
    <w:rsid w:val="00006CA4"/>
    <w:rsid w:val="00016DD0"/>
    <w:rsid w:val="00047388"/>
    <w:rsid w:val="00050B1E"/>
    <w:rsid w:val="00056BCA"/>
    <w:rsid w:val="00060C20"/>
    <w:rsid w:val="00065573"/>
    <w:rsid w:val="0007739F"/>
    <w:rsid w:val="000C551E"/>
    <w:rsid w:val="000C6D37"/>
    <w:rsid w:val="000D06B1"/>
    <w:rsid w:val="000E252B"/>
    <w:rsid w:val="000F67F7"/>
    <w:rsid w:val="001108E9"/>
    <w:rsid w:val="00111481"/>
    <w:rsid w:val="00113596"/>
    <w:rsid w:val="00161B37"/>
    <w:rsid w:val="00167A7E"/>
    <w:rsid w:val="00174D4D"/>
    <w:rsid w:val="00191657"/>
    <w:rsid w:val="001B7E54"/>
    <w:rsid w:val="001C298E"/>
    <w:rsid w:val="001C51BD"/>
    <w:rsid w:val="001D4057"/>
    <w:rsid w:val="001D6A40"/>
    <w:rsid w:val="001E5FF2"/>
    <w:rsid w:val="0021476C"/>
    <w:rsid w:val="00226E26"/>
    <w:rsid w:val="002308F2"/>
    <w:rsid w:val="002337D4"/>
    <w:rsid w:val="00234153"/>
    <w:rsid w:val="00246274"/>
    <w:rsid w:val="002472C8"/>
    <w:rsid w:val="002566AD"/>
    <w:rsid w:val="002614A8"/>
    <w:rsid w:val="002A5F78"/>
    <w:rsid w:val="002B02DD"/>
    <w:rsid w:val="002C0613"/>
    <w:rsid w:val="002C28E3"/>
    <w:rsid w:val="002E23EE"/>
    <w:rsid w:val="002F3C87"/>
    <w:rsid w:val="00344465"/>
    <w:rsid w:val="00370A70"/>
    <w:rsid w:val="003812F3"/>
    <w:rsid w:val="0038362A"/>
    <w:rsid w:val="003A014B"/>
    <w:rsid w:val="003A0F82"/>
    <w:rsid w:val="003B1553"/>
    <w:rsid w:val="0041289D"/>
    <w:rsid w:val="004237F6"/>
    <w:rsid w:val="004268FD"/>
    <w:rsid w:val="00433D4A"/>
    <w:rsid w:val="004367C1"/>
    <w:rsid w:val="004709AA"/>
    <w:rsid w:val="00472A45"/>
    <w:rsid w:val="004732EA"/>
    <w:rsid w:val="004919B3"/>
    <w:rsid w:val="004924DD"/>
    <w:rsid w:val="004D0737"/>
    <w:rsid w:val="004E5F40"/>
    <w:rsid w:val="004E7835"/>
    <w:rsid w:val="004F37C2"/>
    <w:rsid w:val="004F6115"/>
    <w:rsid w:val="004F6972"/>
    <w:rsid w:val="00506761"/>
    <w:rsid w:val="00536443"/>
    <w:rsid w:val="00547A65"/>
    <w:rsid w:val="00560437"/>
    <w:rsid w:val="00565310"/>
    <w:rsid w:val="00596457"/>
    <w:rsid w:val="005A5A6A"/>
    <w:rsid w:val="005B1AE8"/>
    <w:rsid w:val="005B4E4C"/>
    <w:rsid w:val="005D2215"/>
    <w:rsid w:val="005E7755"/>
    <w:rsid w:val="00600812"/>
    <w:rsid w:val="00604500"/>
    <w:rsid w:val="00615D4F"/>
    <w:rsid w:val="00620A81"/>
    <w:rsid w:val="006262E8"/>
    <w:rsid w:val="00627826"/>
    <w:rsid w:val="00633B3B"/>
    <w:rsid w:val="0064204F"/>
    <w:rsid w:val="006475C2"/>
    <w:rsid w:val="00656EFE"/>
    <w:rsid w:val="00664189"/>
    <w:rsid w:val="00664A30"/>
    <w:rsid w:val="00690436"/>
    <w:rsid w:val="0069415F"/>
    <w:rsid w:val="006A0CAB"/>
    <w:rsid w:val="006D1752"/>
    <w:rsid w:val="006D2EAE"/>
    <w:rsid w:val="006F1427"/>
    <w:rsid w:val="00710103"/>
    <w:rsid w:val="007113AD"/>
    <w:rsid w:val="0073055A"/>
    <w:rsid w:val="00741845"/>
    <w:rsid w:val="007F3B06"/>
    <w:rsid w:val="00802FBF"/>
    <w:rsid w:val="0080557F"/>
    <w:rsid w:val="00805EA4"/>
    <w:rsid w:val="008342A6"/>
    <w:rsid w:val="00847B70"/>
    <w:rsid w:val="0085116A"/>
    <w:rsid w:val="008A6B67"/>
    <w:rsid w:val="008A7BC6"/>
    <w:rsid w:val="008B6CF6"/>
    <w:rsid w:val="008C5182"/>
    <w:rsid w:val="008E7639"/>
    <w:rsid w:val="00916030"/>
    <w:rsid w:val="009910F9"/>
    <w:rsid w:val="00993A2C"/>
    <w:rsid w:val="00993A42"/>
    <w:rsid w:val="00996543"/>
    <w:rsid w:val="009A2C28"/>
    <w:rsid w:val="009D062D"/>
    <w:rsid w:val="009D2D14"/>
    <w:rsid w:val="009D2D6C"/>
    <w:rsid w:val="009D4AA5"/>
    <w:rsid w:val="009F11D4"/>
    <w:rsid w:val="00A32FAA"/>
    <w:rsid w:val="00A50BFC"/>
    <w:rsid w:val="00A57B8C"/>
    <w:rsid w:val="00A8582F"/>
    <w:rsid w:val="00A86A4F"/>
    <w:rsid w:val="00A9356F"/>
    <w:rsid w:val="00A96B11"/>
    <w:rsid w:val="00AC447B"/>
    <w:rsid w:val="00B1029B"/>
    <w:rsid w:val="00B11376"/>
    <w:rsid w:val="00B23289"/>
    <w:rsid w:val="00B27A07"/>
    <w:rsid w:val="00B70C9B"/>
    <w:rsid w:val="00B7367B"/>
    <w:rsid w:val="00B8229C"/>
    <w:rsid w:val="00B83CB6"/>
    <w:rsid w:val="00B86122"/>
    <w:rsid w:val="00B87006"/>
    <w:rsid w:val="00B92337"/>
    <w:rsid w:val="00BA0F0A"/>
    <w:rsid w:val="00BA19B2"/>
    <w:rsid w:val="00BB1C9D"/>
    <w:rsid w:val="00BC6254"/>
    <w:rsid w:val="00BD5711"/>
    <w:rsid w:val="00BE18AF"/>
    <w:rsid w:val="00C00028"/>
    <w:rsid w:val="00C00A34"/>
    <w:rsid w:val="00C234D6"/>
    <w:rsid w:val="00C24C93"/>
    <w:rsid w:val="00C36DCD"/>
    <w:rsid w:val="00C475BB"/>
    <w:rsid w:val="00C5370E"/>
    <w:rsid w:val="00C66264"/>
    <w:rsid w:val="00CA1C21"/>
    <w:rsid w:val="00CA30C0"/>
    <w:rsid w:val="00CE0481"/>
    <w:rsid w:val="00CE597B"/>
    <w:rsid w:val="00D62D52"/>
    <w:rsid w:val="00D72308"/>
    <w:rsid w:val="00D81DE7"/>
    <w:rsid w:val="00D914C8"/>
    <w:rsid w:val="00DA1A2E"/>
    <w:rsid w:val="00DA640D"/>
    <w:rsid w:val="00DA685F"/>
    <w:rsid w:val="00DB11BB"/>
    <w:rsid w:val="00DB6E10"/>
    <w:rsid w:val="00DD111A"/>
    <w:rsid w:val="00DF4AC2"/>
    <w:rsid w:val="00E52E23"/>
    <w:rsid w:val="00E801D8"/>
    <w:rsid w:val="00E813B5"/>
    <w:rsid w:val="00EA0160"/>
    <w:rsid w:val="00EA3C26"/>
    <w:rsid w:val="00EC33CB"/>
    <w:rsid w:val="00EE3894"/>
    <w:rsid w:val="00EE54BB"/>
    <w:rsid w:val="00F14184"/>
    <w:rsid w:val="00F2522B"/>
    <w:rsid w:val="00F26452"/>
    <w:rsid w:val="00F4302A"/>
    <w:rsid w:val="00F4592D"/>
    <w:rsid w:val="00F46026"/>
    <w:rsid w:val="00F57E7A"/>
    <w:rsid w:val="00F70642"/>
    <w:rsid w:val="00F735FA"/>
    <w:rsid w:val="00F85505"/>
    <w:rsid w:val="00F8592B"/>
    <w:rsid w:val="00F9370B"/>
    <w:rsid w:val="00F97879"/>
    <w:rsid w:val="00FB6BC2"/>
    <w:rsid w:val="00FD6A56"/>
    <w:rsid w:val="00FE1745"/>
    <w:rsid w:val="00FE256F"/>
    <w:rsid w:val="00FF2FD4"/>
    <w:rsid w:val="00FF50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lsdException w:name="caption" w:semiHidden="1" w:unhideWhenUsed="1" w:qFormat="1"/>
    <w:lsdException w:name="footnote reference" w:locked="0"/>
    <w:lsdException w:name="Title" w:qFormat="1"/>
    <w:lsdException w:name="Default Paragraph Font" w:locked="0"/>
    <w:lsdException w:name="Body Tex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04500"/>
    <w:pPr>
      <w:spacing w:after="120"/>
    </w:pPr>
    <w:rPr>
      <w:sz w:val="24"/>
      <w:szCs w:val="24"/>
      <w:lang w:val="en-GB" w:eastAsia="en-GB"/>
    </w:rPr>
  </w:style>
  <w:style w:type="paragraph" w:styleId="Overskrift1">
    <w:name w:val="heading 1"/>
    <w:basedOn w:val="Normal"/>
    <w:next w:val="Normal"/>
    <w:qFormat/>
    <w:locked/>
    <w:rsid w:val="00604500"/>
    <w:pPr>
      <w:keepNext/>
      <w:spacing w:before="240" w:after="60"/>
      <w:outlineLvl w:val="0"/>
    </w:pPr>
    <w:rPr>
      <w:rFonts w:ascii="Arial" w:hAnsi="Arial" w:cs="Arial"/>
      <w:b/>
      <w:bCs/>
      <w:kern w:val="32"/>
      <w:sz w:val="32"/>
      <w:szCs w:val="32"/>
    </w:rPr>
  </w:style>
  <w:style w:type="paragraph" w:styleId="Overskrift2">
    <w:name w:val="heading 2"/>
    <w:basedOn w:val="Normal"/>
    <w:next w:val="Brdtekst"/>
    <w:qFormat/>
    <w:locked/>
    <w:rsid w:val="00604500"/>
    <w:pPr>
      <w:keepNext/>
      <w:outlineLvl w:val="1"/>
    </w:pPr>
    <w:rPr>
      <w:b/>
      <w:caps/>
      <w:sz w:val="32"/>
      <w:szCs w:val="20"/>
      <w:lang w:eastAsia="en-US"/>
    </w:rPr>
  </w:style>
  <w:style w:type="paragraph" w:styleId="Overskrift3">
    <w:name w:val="heading 3"/>
    <w:basedOn w:val="Normal"/>
    <w:next w:val="Brdtekst"/>
    <w:qFormat/>
    <w:locked/>
    <w:rsid w:val="00604500"/>
    <w:pPr>
      <w:keepNext/>
      <w:spacing w:before="120"/>
      <w:ind w:left="720" w:hanging="720"/>
      <w:outlineLvl w:val="2"/>
    </w:pPr>
    <w:rPr>
      <w:b/>
      <w:caps/>
      <w:sz w:val="28"/>
      <w:szCs w:val="20"/>
      <w:lang w:eastAsia="en-US"/>
    </w:rPr>
  </w:style>
  <w:style w:type="paragraph" w:styleId="Overskrift4">
    <w:name w:val="heading 4"/>
    <w:basedOn w:val="Normal"/>
    <w:next w:val="Normal"/>
    <w:qFormat/>
    <w:locked/>
    <w:rsid w:val="00604500"/>
    <w:pPr>
      <w:keepNext/>
      <w:keepLines/>
      <w:spacing w:before="120"/>
      <w:outlineLvl w:val="3"/>
    </w:pPr>
    <w:rPr>
      <w:b/>
      <w:szCs w:val="20"/>
      <w:lang w:eastAsia="en-US"/>
    </w:rPr>
  </w:style>
  <w:style w:type="paragraph" w:styleId="Overskrift5">
    <w:name w:val="heading 5"/>
    <w:basedOn w:val="Overskrift4"/>
    <w:next w:val="Normal"/>
    <w:qFormat/>
    <w:locked/>
    <w:rsid w:val="00604500"/>
    <w:pPr>
      <w:spacing w:before="0" w:after="0"/>
      <w:outlineLvl w:val="4"/>
    </w:pPr>
    <w:rPr>
      <w:b w:val="0"/>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ocked/>
    <w:rsid w:val="00604500"/>
    <w:pPr>
      <w:spacing w:after="0"/>
    </w:pPr>
  </w:style>
  <w:style w:type="paragraph" w:customStyle="1" w:styleId="PaperTitle">
    <w:name w:val="Paper_Title"/>
    <w:basedOn w:val="Overskrift2"/>
    <w:next w:val="Author"/>
    <w:rsid w:val="00604500"/>
    <w:pPr>
      <w:spacing w:after="240"/>
    </w:pPr>
  </w:style>
  <w:style w:type="paragraph" w:customStyle="1" w:styleId="Author">
    <w:name w:val="Author"/>
    <w:basedOn w:val="Normal"/>
    <w:next w:val="Address"/>
    <w:rsid w:val="00604500"/>
    <w:pPr>
      <w:spacing w:after="280"/>
    </w:pPr>
    <w:rPr>
      <w:b/>
      <w:szCs w:val="20"/>
      <w:lang w:eastAsia="en-US"/>
    </w:rPr>
  </w:style>
  <w:style w:type="character" w:styleId="Fodnotehenvisning">
    <w:name w:val="footnote reference"/>
    <w:semiHidden/>
    <w:rsid w:val="00604500"/>
    <w:rPr>
      <w:vertAlign w:val="superscript"/>
    </w:rPr>
  </w:style>
  <w:style w:type="paragraph" w:styleId="Fodnotetekst">
    <w:name w:val="footnote text"/>
    <w:basedOn w:val="Normal"/>
    <w:semiHidden/>
    <w:rsid w:val="00604500"/>
    <w:rPr>
      <w:sz w:val="20"/>
      <w:szCs w:val="20"/>
      <w:lang w:eastAsia="en-US"/>
    </w:rPr>
  </w:style>
  <w:style w:type="paragraph" w:customStyle="1" w:styleId="Address">
    <w:name w:val="Address"/>
    <w:basedOn w:val="Normal"/>
    <w:next w:val="Abstract"/>
    <w:rsid w:val="00604500"/>
    <w:pPr>
      <w:ind w:left="720" w:hanging="720"/>
    </w:pPr>
    <w:rPr>
      <w:i/>
      <w:sz w:val="20"/>
      <w:szCs w:val="20"/>
      <w:lang w:eastAsia="en-US"/>
    </w:rPr>
  </w:style>
  <w:style w:type="paragraph" w:customStyle="1" w:styleId="Abstract">
    <w:name w:val="Abstract"/>
    <w:basedOn w:val="Normal"/>
    <w:next w:val="Keywords"/>
    <w:rsid w:val="00604500"/>
    <w:pPr>
      <w:spacing w:before="480" w:after="480"/>
      <w:ind w:left="709" w:right="709"/>
    </w:pPr>
    <w:rPr>
      <w:sz w:val="20"/>
      <w:szCs w:val="20"/>
      <w:lang w:eastAsia="en-US"/>
    </w:rPr>
  </w:style>
  <w:style w:type="paragraph" w:customStyle="1" w:styleId="Keywords">
    <w:name w:val="Keywords"/>
    <w:basedOn w:val="Normal"/>
    <w:next w:val="SectionHeading"/>
    <w:rsid w:val="00604500"/>
    <w:pPr>
      <w:keepLines/>
      <w:spacing w:after="1080"/>
      <w:ind w:left="709" w:right="709"/>
    </w:pPr>
    <w:rPr>
      <w:sz w:val="20"/>
      <w:szCs w:val="20"/>
      <w:lang w:eastAsia="en-US"/>
    </w:rPr>
  </w:style>
  <w:style w:type="paragraph" w:customStyle="1" w:styleId="StyleCaptionsBold">
    <w:name w:val="Style Captions + Bold"/>
    <w:basedOn w:val="Captions"/>
    <w:link w:val="StyleCaptionsBoldChar"/>
    <w:locked/>
    <w:rsid w:val="00604500"/>
    <w:rPr>
      <w:bCs/>
      <w:i w:val="0"/>
    </w:rPr>
  </w:style>
  <w:style w:type="paragraph" w:customStyle="1" w:styleId="TableContents-Left">
    <w:name w:val="Table_Contents-Left"/>
    <w:basedOn w:val="Normal"/>
    <w:rsid w:val="00604500"/>
    <w:pPr>
      <w:keepNext/>
      <w:keepLines/>
    </w:pPr>
    <w:rPr>
      <w:sz w:val="20"/>
    </w:rPr>
  </w:style>
  <w:style w:type="paragraph" w:customStyle="1" w:styleId="TableContents-Right">
    <w:name w:val="Table_Contents-Right"/>
    <w:basedOn w:val="Normal"/>
    <w:rsid w:val="00604500"/>
    <w:pPr>
      <w:keepNext/>
      <w:keepLines/>
      <w:jc w:val="right"/>
    </w:pPr>
    <w:rPr>
      <w:sz w:val="20"/>
      <w:szCs w:val="20"/>
      <w:lang w:eastAsia="en-US"/>
    </w:rPr>
  </w:style>
  <w:style w:type="paragraph" w:customStyle="1" w:styleId="SectionHeading">
    <w:name w:val="Section_Heading"/>
    <w:basedOn w:val="Overskrift3"/>
    <w:next w:val="Normal"/>
    <w:rsid w:val="00604500"/>
  </w:style>
  <w:style w:type="paragraph" w:customStyle="1" w:styleId="SectionSub-heading">
    <w:name w:val="Section_Sub-heading"/>
    <w:basedOn w:val="Overskrift4"/>
    <w:next w:val="Normal"/>
    <w:rsid w:val="00604500"/>
  </w:style>
  <w:style w:type="paragraph" w:customStyle="1" w:styleId="References">
    <w:name w:val="References"/>
    <w:basedOn w:val="Normal"/>
    <w:link w:val="ReferencesChar"/>
    <w:rsid w:val="00604500"/>
    <w:pPr>
      <w:keepLines/>
      <w:ind w:left="720" w:hanging="720"/>
    </w:pPr>
    <w:rPr>
      <w:sz w:val="22"/>
      <w:szCs w:val="20"/>
      <w:lang w:eastAsia="en-US"/>
    </w:rPr>
  </w:style>
  <w:style w:type="numbering" w:customStyle="1" w:styleId="StyleBulleted">
    <w:name w:val="Style Bulleted"/>
    <w:basedOn w:val="Ingenoversigt"/>
    <w:locked/>
    <w:rsid w:val="00604500"/>
    <w:pPr>
      <w:numPr>
        <w:numId w:val="3"/>
      </w:numPr>
    </w:pPr>
  </w:style>
  <w:style w:type="paragraph" w:customStyle="1" w:styleId="BulletList">
    <w:name w:val="Bullet_List"/>
    <w:basedOn w:val="Brdtekst"/>
    <w:rsid w:val="00604500"/>
    <w:pPr>
      <w:numPr>
        <w:numId w:val="5"/>
      </w:numPr>
      <w:ind w:left="714" w:hanging="357"/>
    </w:pPr>
    <w:rPr>
      <w:lang w:eastAsia="en-US"/>
    </w:rPr>
  </w:style>
  <w:style w:type="paragraph" w:customStyle="1" w:styleId="NumberedList">
    <w:name w:val="Numbered_List"/>
    <w:basedOn w:val="Brdtekst"/>
    <w:rsid w:val="00604500"/>
    <w:pPr>
      <w:numPr>
        <w:numId w:val="7"/>
      </w:numPr>
      <w:tabs>
        <w:tab w:val="clear" w:pos="640"/>
        <w:tab w:val="left" w:pos="720"/>
      </w:tabs>
      <w:ind w:left="714" w:hanging="357"/>
    </w:pPr>
  </w:style>
  <w:style w:type="character" w:customStyle="1" w:styleId="StyleCaptionsBoldChar">
    <w:name w:val="Style Captions + Bold Char"/>
    <w:link w:val="StyleCaptionsBold"/>
    <w:rsid w:val="00604500"/>
    <w:rPr>
      <w:bCs/>
      <w:i/>
      <w:sz w:val="22"/>
      <w:szCs w:val="24"/>
      <w:lang w:val="en-GB" w:eastAsia="en-GB" w:bidi="ar-SA"/>
    </w:rPr>
  </w:style>
  <w:style w:type="paragraph" w:styleId="Opstilling-punkttegn">
    <w:name w:val="List Bullet"/>
    <w:basedOn w:val="Normal"/>
    <w:locked/>
    <w:rsid w:val="00604500"/>
    <w:pPr>
      <w:numPr>
        <w:numId w:val="8"/>
      </w:numPr>
    </w:pPr>
  </w:style>
  <w:style w:type="character" w:styleId="Hyperlink">
    <w:name w:val="Hyperlink"/>
    <w:rsid w:val="00604500"/>
    <w:rPr>
      <w:color w:val="0000FF"/>
      <w:u w:val="single"/>
    </w:rPr>
  </w:style>
  <w:style w:type="paragraph" w:customStyle="1" w:styleId="TableContents-Centre">
    <w:name w:val="Table_Contents-Centre"/>
    <w:basedOn w:val="TableContents-Right"/>
    <w:locked/>
    <w:rsid w:val="00604500"/>
  </w:style>
  <w:style w:type="table" w:styleId="Tabel-Gitter">
    <w:name w:val="Table Grid"/>
    <w:basedOn w:val="Tabel-Normal"/>
    <w:locked/>
    <w:rsid w:val="00604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s">
    <w:name w:val="Captions"/>
    <w:basedOn w:val="Normal"/>
    <w:next w:val="Normal"/>
    <w:link w:val="CaptionsCharChar"/>
    <w:rsid w:val="00604500"/>
    <w:pPr>
      <w:keepNext/>
      <w:keepLines/>
    </w:pPr>
    <w:rPr>
      <w:i/>
      <w:sz w:val="22"/>
    </w:rPr>
  </w:style>
  <w:style w:type="character" w:customStyle="1" w:styleId="CaptionsCharChar">
    <w:name w:val="Captions Char Char"/>
    <w:link w:val="Captions"/>
    <w:rsid w:val="00604500"/>
    <w:rPr>
      <w:i/>
      <w:sz w:val="22"/>
      <w:szCs w:val="24"/>
      <w:lang w:val="en-GB" w:eastAsia="en-GB" w:bidi="ar-SA"/>
    </w:rPr>
  </w:style>
  <w:style w:type="paragraph" w:customStyle="1" w:styleId="MinorHeading">
    <w:name w:val="Minor_Heading"/>
    <w:basedOn w:val="Overskrift5"/>
    <w:next w:val="Normal"/>
    <w:rsid w:val="00604500"/>
  </w:style>
  <w:style w:type="paragraph" w:customStyle="1" w:styleId="ReferencesItalic">
    <w:name w:val="References_Italic"/>
    <w:basedOn w:val="References"/>
    <w:next w:val="References"/>
    <w:link w:val="ReferencesItalicChar"/>
    <w:locked/>
    <w:rsid w:val="00604500"/>
    <w:rPr>
      <w:i/>
    </w:rPr>
  </w:style>
  <w:style w:type="character" w:customStyle="1" w:styleId="ReferencesChar">
    <w:name w:val="References Char"/>
    <w:link w:val="References"/>
    <w:rsid w:val="00604500"/>
    <w:rPr>
      <w:sz w:val="22"/>
      <w:lang w:val="en-GB" w:eastAsia="en-US" w:bidi="ar-SA"/>
    </w:rPr>
  </w:style>
  <w:style w:type="character" w:customStyle="1" w:styleId="ReferencesItalicChar">
    <w:name w:val="References_Italic Char"/>
    <w:link w:val="ReferencesItalic"/>
    <w:rsid w:val="00604500"/>
    <w:rPr>
      <w:i/>
      <w:sz w:val="22"/>
      <w:lang w:val="en-GB" w:eastAsia="en-US" w:bidi="ar-SA"/>
    </w:rPr>
  </w:style>
  <w:style w:type="paragraph" w:customStyle="1" w:styleId="References-Bold">
    <w:name w:val="References-Bold"/>
    <w:basedOn w:val="References"/>
    <w:link w:val="References-BoldChar"/>
    <w:locked/>
    <w:rsid w:val="00604500"/>
    <w:rPr>
      <w:b/>
    </w:rPr>
  </w:style>
  <w:style w:type="character" w:customStyle="1" w:styleId="References-BoldChar">
    <w:name w:val="References-Bold Char"/>
    <w:link w:val="References-Bold"/>
    <w:rsid w:val="00604500"/>
    <w:rPr>
      <w:b/>
      <w:sz w:val="22"/>
      <w:lang w:val="en-GB" w:eastAsia="en-US" w:bidi="ar-SA"/>
    </w:rPr>
  </w:style>
  <w:style w:type="paragraph" w:customStyle="1" w:styleId="StyleReferencesBold">
    <w:name w:val="Style References + Bold"/>
    <w:basedOn w:val="References"/>
    <w:link w:val="StyleReferencesBoldChar"/>
    <w:locked/>
    <w:rsid w:val="00604500"/>
    <w:rPr>
      <w:b/>
      <w:bCs/>
    </w:rPr>
  </w:style>
  <w:style w:type="character" w:customStyle="1" w:styleId="StyleReferencesBoldChar">
    <w:name w:val="Style References + Bold Char"/>
    <w:link w:val="StyleReferencesBold"/>
    <w:rsid w:val="00604500"/>
    <w:rPr>
      <w:b/>
      <w:bCs/>
      <w:sz w:val="22"/>
      <w:lang w:val="en-GB" w:eastAsia="en-US" w:bidi="ar-SA"/>
    </w:rPr>
  </w:style>
  <w:style w:type="paragraph" w:customStyle="1" w:styleId="StyleReferencesItalic">
    <w:name w:val="Style References + Italic"/>
    <w:basedOn w:val="References"/>
    <w:link w:val="StyleReferencesItalicChar"/>
    <w:locked/>
    <w:rsid w:val="00604500"/>
    <w:rPr>
      <w:i/>
      <w:iCs/>
    </w:rPr>
  </w:style>
  <w:style w:type="character" w:customStyle="1" w:styleId="StyleReferencesItalicChar">
    <w:name w:val="Style References + Italic Char"/>
    <w:link w:val="StyleReferencesItalic"/>
    <w:rsid w:val="00604500"/>
    <w:rPr>
      <w:i/>
      <w:iCs/>
      <w:sz w:val="22"/>
      <w:lang w:val="en-GB" w:eastAsia="en-US" w:bidi="ar-SA"/>
    </w:rPr>
  </w:style>
  <w:style w:type="paragraph" w:styleId="Sidehoved">
    <w:name w:val="header"/>
    <w:basedOn w:val="Normal"/>
    <w:locked/>
    <w:rsid w:val="00604500"/>
    <w:pPr>
      <w:tabs>
        <w:tab w:val="center" w:pos="4153"/>
        <w:tab w:val="right" w:pos="8306"/>
      </w:tabs>
    </w:pPr>
  </w:style>
  <w:style w:type="paragraph" w:styleId="Sidefod">
    <w:name w:val="footer"/>
    <w:basedOn w:val="Normal"/>
    <w:locked/>
    <w:rsid w:val="00604500"/>
    <w:pPr>
      <w:tabs>
        <w:tab w:val="center" w:pos="4153"/>
        <w:tab w:val="right" w:pos="8306"/>
      </w:tabs>
    </w:pPr>
  </w:style>
  <w:style w:type="character" w:styleId="Fremhv">
    <w:name w:val="Emphasis"/>
    <w:qFormat/>
    <w:locked/>
    <w:rsid w:val="00CA1C21"/>
    <w:rPr>
      <w:i/>
      <w:iCs/>
    </w:rPr>
  </w:style>
  <w:style w:type="paragraph" w:styleId="Markeringsbobletekst">
    <w:name w:val="Balloon Text"/>
    <w:basedOn w:val="Normal"/>
    <w:link w:val="MarkeringsbobletekstTegn"/>
    <w:locked/>
    <w:rsid w:val="00847B70"/>
    <w:pPr>
      <w:spacing w:after="0"/>
    </w:pPr>
    <w:rPr>
      <w:rFonts w:ascii="Tahoma" w:hAnsi="Tahoma" w:cs="Tahoma"/>
      <w:sz w:val="16"/>
      <w:szCs w:val="16"/>
    </w:rPr>
  </w:style>
  <w:style w:type="character" w:customStyle="1" w:styleId="MarkeringsbobletekstTegn">
    <w:name w:val="Markeringsbobletekst Tegn"/>
    <w:link w:val="Markeringsbobletekst"/>
    <w:rsid w:val="00847B70"/>
    <w:rPr>
      <w:rFonts w:ascii="Tahoma" w:hAnsi="Tahoma" w:cs="Tahoma"/>
      <w:sz w:val="16"/>
      <w:szCs w:val="16"/>
      <w:lang w:val="en-GB" w:eastAsia="en-GB"/>
    </w:rPr>
  </w:style>
  <w:style w:type="character" w:styleId="Linjenummer">
    <w:name w:val="line number"/>
    <w:basedOn w:val="Standardskrifttypeiafsnit"/>
    <w:locked/>
    <w:rsid w:val="00EC33CB"/>
  </w:style>
  <w:style w:type="character" w:styleId="Kommentarhenvisning">
    <w:name w:val="annotation reference"/>
    <w:basedOn w:val="Standardskrifttypeiafsnit"/>
    <w:locked/>
    <w:rsid w:val="000C6D37"/>
    <w:rPr>
      <w:sz w:val="16"/>
      <w:szCs w:val="16"/>
    </w:rPr>
  </w:style>
  <w:style w:type="paragraph" w:styleId="Kommentartekst">
    <w:name w:val="annotation text"/>
    <w:basedOn w:val="Normal"/>
    <w:link w:val="KommentartekstTegn"/>
    <w:locked/>
    <w:rsid w:val="000C6D37"/>
    <w:rPr>
      <w:sz w:val="20"/>
      <w:szCs w:val="20"/>
    </w:rPr>
  </w:style>
  <w:style w:type="character" w:customStyle="1" w:styleId="KommentartekstTegn">
    <w:name w:val="Kommentartekst Tegn"/>
    <w:basedOn w:val="Standardskrifttypeiafsnit"/>
    <w:link w:val="Kommentartekst"/>
    <w:rsid w:val="000C6D37"/>
    <w:rPr>
      <w:lang w:val="en-GB" w:eastAsia="en-GB"/>
    </w:rPr>
  </w:style>
  <w:style w:type="paragraph" w:styleId="Kommentaremne">
    <w:name w:val="annotation subject"/>
    <w:basedOn w:val="Kommentartekst"/>
    <w:next w:val="Kommentartekst"/>
    <w:link w:val="KommentaremneTegn"/>
    <w:locked/>
    <w:rsid w:val="000C6D37"/>
    <w:rPr>
      <w:b/>
      <w:bCs/>
    </w:rPr>
  </w:style>
  <w:style w:type="character" w:customStyle="1" w:styleId="KommentaremneTegn">
    <w:name w:val="Kommentaremne Tegn"/>
    <w:basedOn w:val="KommentartekstTegn"/>
    <w:link w:val="Kommentaremne"/>
    <w:rsid w:val="000C6D37"/>
    <w:rPr>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lsdException w:name="caption" w:semiHidden="1" w:unhideWhenUsed="1" w:qFormat="1"/>
    <w:lsdException w:name="footnote reference" w:locked="0"/>
    <w:lsdException w:name="Title" w:qFormat="1"/>
    <w:lsdException w:name="Default Paragraph Font" w:locked="0"/>
    <w:lsdException w:name="Body Tex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04500"/>
    <w:pPr>
      <w:spacing w:after="120"/>
    </w:pPr>
    <w:rPr>
      <w:sz w:val="24"/>
      <w:szCs w:val="24"/>
      <w:lang w:val="en-GB" w:eastAsia="en-GB"/>
    </w:rPr>
  </w:style>
  <w:style w:type="paragraph" w:styleId="Overskrift1">
    <w:name w:val="heading 1"/>
    <w:basedOn w:val="Normal"/>
    <w:next w:val="Normal"/>
    <w:qFormat/>
    <w:locked/>
    <w:rsid w:val="00604500"/>
    <w:pPr>
      <w:keepNext/>
      <w:spacing w:before="240" w:after="60"/>
      <w:outlineLvl w:val="0"/>
    </w:pPr>
    <w:rPr>
      <w:rFonts w:ascii="Arial" w:hAnsi="Arial" w:cs="Arial"/>
      <w:b/>
      <w:bCs/>
      <w:kern w:val="32"/>
      <w:sz w:val="32"/>
      <w:szCs w:val="32"/>
    </w:rPr>
  </w:style>
  <w:style w:type="paragraph" w:styleId="Overskrift2">
    <w:name w:val="heading 2"/>
    <w:basedOn w:val="Normal"/>
    <w:next w:val="Brdtekst"/>
    <w:qFormat/>
    <w:locked/>
    <w:rsid w:val="00604500"/>
    <w:pPr>
      <w:keepNext/>
      <w:outlineLvl w:val="1"/>
    </w:pPr>
    <w:rPr>
      <w:b/>
      <w:caps/>
      <w:sz w:val="32"/>
      <w:szCs w:val="20"/>
      <w:lang w:eastAsia="en-US"/>
    </w:rPr>
  </w:style>
  <w:style w:type="paragraph" w:styleId="Overskrift3">
    <w:name w:val="heading 3"/>
    <w:basedOn w:val="Normal"/>
    <w:next w:val="Brdtekst"/>
    <w:qFormat/>
    <w:locked/>
    <w:rsid w:val="00604500"/>
    <w:pPr>
      <w:keepNext/>
      <w:spacing w:before="120"/>
      <w:ind w:left="720" w:hanging="720"/>
      <w:outlineLvl w:val="2"/>
    </w:pPr>
    <w:rPr>
      <w:b/>
      <w:caps/>
      <w:sz w:val="28"/>
      <w:szCs w:val="20"/>
      <w:lang w:eastAsia="en-US"/>
    </w:rPr>
  </w:style>
  <w:style w:type="paragraph" w:styleId="Overskrift4">
    <w:name w:val="heading 4"/>
    <w:basedOn w:val="Normal"/>
    <w:next w:val="Normal"/>
    <w:qFormat/>
    <w:locked/>
    <w:rsid w:val="00604500"/>
    <w:pPr>
      <w:keepNext/>
      <w:keepLines/>
      <w:spacing w:before="120"/>
      <w:outlineLvl w:val="3"/>
    </w:pPr>
    <w:rPr>
      <w:b/>
      <w:szCs w:val="20"/>
      <w:lang w:eastAsia="en-US"/>
    </w:rPr>
  </w:style>
  <w:style w:type="paragraph" w:styleId="Overskrift5">
    <w:name w:val="heading 5"/>
    <w:basedOn w:val="Overskrift4"/>
    <w:next w:val="Normal"/>
    <w:qFormat/>
    <w:locked/>
    <w:rsid w:val="00604500"/>
    <w:pPr>
      <w:spacing w:before="0" w:after="0"/>
      <w:outlineLvl w:val="4"/>
    </w:pPr>
    <w:rPr>
      <w:b w:val="0"/>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ocked/>
    <w:rsid w:val="00604500"/>
    <w:pPr>
      <w:spacing w:after="0"/>
    </w:pPr>
  </w:style>
  <w:style w:type="paragraph" w:customStyle="1" w:styleId="PaperTitle">
    <w:name w:val="Paper_Title"/>
    <w:basedOn w:val="Overskrift2"/>
    <w:next w:val="Author"/>
    <w:rsid w:val="00604500"/>
    <w:pPr>
      <w:spacing w:after="240"/>
    </w:pPr>
  </w:style>
  <w:style w:type="paragraph" w:customStyle="1" w:styleId="Author">
    <w:name w:val="Author"/>
    <w:basedOn w:val="Normal"/>
    <w:next w:val="Address"/>
    <w:rsid w:val="00604500"/>
    <w:pPr>
      <w:spacing w:after="280"/>
    </w:pPr>
    <w:rPr>
      <w:b/>
      <w:szCs w:val="20"/>
      <w:lang w:eastAsia="en-US"/>
    </w:rPr>
  </w:style>
  <w:style w:type="character" w:styleId="Fodnotehenvisning">
    <w:name w:val="footnote reference"/>
    <w:semiHidden/>
    <w:rsid w:val="00604500"/>
    <w:rPr>
      <w:vertAlign w:val="superscript"/>
    </w:rPr>
  </w:style>
  <w:style w:type="paragraph" w:styleId="Fodnotetekst">
    <w:name w:val="footnote text"/>
    <w:basedOn w:val="Normal"/>
    <w:semiHidden/>
    <w:rsid w:val="00604500"/>
    <w:rPr>
      <w:sz w:val="20"/>
      <w:szCs w:val="20"/>
      <w:lang w:eastAsia="en-US"/>
    </w:rPr>
  </w:style>
  <w:style w:type="paragraph" w:customStyle="1" w:styleId="Address">
    <w:name w:val="Address"/>
    <w:basedOn w:val="Normal"/>
    <w:next w:val="Abstract"/>
    <w:rsid w:val="00604500"/>
    <w:pPr>
      <w:ind w:left="720" w:hanging="720"/>
    </w:pPr>
    <w:rPr>
      <w:i/>
      <w:sz w:val="20"/>
      <w:szCs w:val="20"/>
      <w:lang w:eastAsia="en-US"/>
    </w:rPr>
  </w:style>
  <w:style w:type="paragraph" w:customStyle="1" w:styleId="Abstract">
    <w:name w:val="Abstract"/>
    <w:basedOn w:val="Normal"/>
    <w:next w:val="Keywords"/>
    <w:rsid w:val="00604500"/>
    <w:pPr>
      <w:spacing w:before="480" w:after="480"/>
      <w:ind w:left="709" w:right="709"/>
    </w:pPr>
    <w:rPr>
      <w:sz w:val="20"/>
      <w:szCs w:val="20"/>
      <w:lang w:eastAsia="en-US"/>
    </w:rPr>
  </w:style>
  <w:style w:type="paragraph" w:customStyle="1" w:styleId="Keywords">
    <w:name w:val="Keywords"/>
    <w:basedOn w:val="Normal"/>
    <w:next w:val="SectionHeading"/>
    <w:rsid w:val="00604500"/>
    <w:pPr>
      <w:keepLines/>
      <w:spacing w:after="1080"/>
      <w:ind w:left="709" w:right="709"/>
    </w:pPr>
    <w:rPr>
      <w:sz w:val="20"/>
      <w:szCs w:val="20"/>
      <w:lang w:eastAsia="en-US"/>
    </w:rPr>
  </w:style>
  <w:style w:type="paragraph" w:customStyle="1" w:styleId="StyleCaptionsBold">
    <w:name w:val="Style Captions + Bold"/>
    <w:basedOn w:val="Captions"/>
    <w:link w:val="StyleCaptionsBoldChar"/>
    <w:locked/>
    <w:rsid w:val="00604500"/>
    <w:rPr>
      <w:bCs/>
      <w:i w:val="0"/>
    </w:rPr>
  </w:style>
  <w:style w:type="paragraph" w:customStyle="1" w:styleId="TableContents-Left">
    <w:name w:val="Table_Contents-Left"/>
    <w:basedOn w:val="Normal"/>
    <w:rsid w:val="00604500"/>
    <w:pPr>
      <w:keepNext/>
      <w:keepLines/>
    </w:pPr>
    <w:rPr>
      <w:sz w:val="20"/>
    </w:rPr>
  </w:style>
  <w:style w:type="paragraph" w:customStyle="1" w:styleId="TableContents-Right">
    <w:name w:val="Table_Contents-Right"/>
    <w:basedOn w:val="Normal"/>
    <w:rsid w:val="00604500"/>
    <w:pPr>
      <w:keepNext/>
      <w:keepLines/>
      <w:jc w:val="right"/>
    </w:pPr>
    <w:rPr>
      <w:sz w:val="20"/>
      <w:szCs w:val="20"/>
      <w:lang w:eastAsia="en-US"/>
    </w:rPr>
  </w:style>
  <w:style w:type="paragraph" w:customStyle="1" w:styleId="SectionHeading">
    <w:name w:val="Section_Heading"/>
    <w:basedOn w:val="Overskrift3"/>
    <w:next w:val="Normal"/>
    <w:rsid w:val="00604500"/>
  </w:style>
  <w:style w:type="paragraph" w:customStyle="1" w:styleId="SectionSub-heading">
    <w:name w:val="Section_Sub-heading"/>
    <w:basedOn w:val="Overskrift4"/>
    <w:next w:val="Normal"/>
    <w:rsid w:val="00604500"/>
  </w:style>
  <w:style w:type="paragraph" w:customStyle="1" w:styleId="References">
    <w:name w:val="References"/>
    <w:basedOn w:val="Normal"/>
    <w:link w:val="ReferencesChar"/>
    <w:rsid w:val="00604500"/>
    <w:pPr>
      <w:keepLines/>
      <w:ind w:left="720" w:hanging="720"/>
    </w:pPr>
    <w:rPr>
      <w:sz w:val="22"/>
      <w:szCs w:val="20"/>
      <w:lang w:eastAsia="en-US"/>
    </w:rPr>
  </w:style>
  <w:style w:type="numbering" w:customStyle="1" w:styleId="StyleBulleted">
    <w:name w:val="Style Bulleted"/>
    <w:basedOn w:val="Ingenoversigt"/>
    <w:locked/>
    <w:rsid w:val="00604500"/>
    <w:pPr>
      <w:numPr>
        <w:numId w:val="3"/>
      </w:numPr>
    </w:pPr>
  </w:style>
  <w:style w:type="paragraph" w:customStyle="1" w:styleId="BulletList">
    <w:name w:val="Bullet_List"/>
    <w:basedOn w:val="Brdtekst"/>
    <w:rsid w:val="00604500"/>
    <w:pPr>
      <w:numPr>
        <w:numId w:val="5"/>
      </w:numPr>
      <w:ind w:left="714" w:hanging="357"/>
    </w:pPr>
    <w:rPr>
      <w:lang w:eastAsia="en-US"/>
    </w:rPr>
  </w:style>
  <w:style w:type="paragraph" w:customStyle="1" w:styleId="NumberedList">
    <w:name w:val="Numbered_List"/>
    <w:basedOn w:val="Brdtekst"/>
    <w:rsid w:val="00604500"/>
    <w:pPr>
      <w:numPr>
        <w:numId w:val="7"/>
      </w:numPr>
      <w:tabs>
        <w:tab w:val="clear" w:pos="640"/>
        <w:tab w:val="left" w:pos="720"/>
      </w:tabs>
      <w:ind w:left="714" w:hanging="357"/>
    </w:pPr>
  </w:style>
  <w:style w:type="character" w:customStyle="1" w:styleId="StyleCaptionsBoldChar">
    <w:name w:val="Style Captions + Bold Char"/>
    <w:link w:val="StyleCaptionsBold"/>
    <w:rsid w:val="00604500"/>
    <w:rPr>
      <w:bCs/>
      <w:i/>
      <w:sz w:val="22"/>
      <w:szCs w:val="24"/>
      <w:lang w:val="en-GB" w:eastAsia="en-GB" w:bidi="ar-SA"/>
    </w:rPr>
  </w:style>
  <w:style w:type="paragraph" w:styleId="Opstilling-punkttegn">
    <w:name w:val="List Bullet"/>
    <w:basedOn w:val="Normal"/>
    <w:locked/>
    <w:rsid w:val="00604500"/>
    <w:pPr>
      <w:numPr>
        <w:numId w:val="8"/>
      </w:numPr>
    </w:pPr>
  </w:style>
  <w:style w:type="character" w:styleId="Hyperlink">
    <w:name w:val="Hyperlink"/>
    <w:rsid w:val="00604500"/>
    <w:rPr>
      <w:color w:val="0000FF"/>
      <w:u w:val="single"/>
    </w:rPr>
  </w:style>
  <w:style w:type="paragraph" w:customStyle="1" w:styleId="TableContents-Centre">
    <w:name w:val="Table_Contents-Centre"/>
    <w:basedOn w:val="TableContents-Right"/>
    <w:locked/>
    <w:rsid w:val="00604500"/>
  </w:style>
  <w:style w:type="table" w:styleId="Tabel-Gitter">
    <w:name w:val="Table Grid"/>
    <w:basedOn w:val="Tabel-Normal"/>
    <w:locked/>
    <w:rsid w:val="00604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s">
    <w:name w:val="Captions"/>
    <w:basedOn w:val="Normal"/>
    <w:next w:val="Normal"/>
    <w:link w:val="CaptionsCharChar"/>
    <w:rsid w:val="00604500"/>
    <w:pPr>
      <w:keepNext/>
      <w:keepLines/>
    </w:pPr>
    <w:rPr>
      <w:i/>
      <w:sz w:val="22"/>
    </w:rPr>
  </w:style>
  <w:style w:type="character" w:customStyle="1" w:styleId="CaptionsCharChar">
    <w:name w:val="Captions Char Char"/>
    <w:link w:val="Captions"/>
    <w:rsid w:val="00604500"/>
    <w:rPr>
      <w:i/>
      <w:sz w:val="22"/>
      <w:szCs w:val="24"/>
      <w:lang w:val="en-GB" w:eastAsia="en-GB" w:bidi="ar-SA"/>
    </w:rPr>
  </w:style>
  <w:style w:type="paragraph" w:customStyle="1" w:styleId="MinorHeading">
    <w:name w:val="Minor_Heading"/>
    <w:basedOn w:val="Overskrift5"/>
    <w:next w:val="Normal"/>
    <w:rsid w:val="00604500"/>
  </w:style>
  <w:style w:type="paragraph" w:customStyle="1" w:styleId="ReferencesItalic">
    <w:name w:val="References_Italic"/>
    <w:basedOn w:val="References"/>
    <w:next w:val="References"/>
    <w:link w:val="ReferencesItalicChar"/>
    <w:locked/>
    <w:rsid w:val="00604500"/>
    <w:rPr>
      <w:i/>
    </w:rPr>
  </w:style>
  <w:style w:type="character" w:customStyle="1" w:styleId="ReferencesChar">
    <w:name w:val="References Char"/>
    <w:link w:val="References"/>
    <w:rsid w:val="00604500"/>
    <w:rPr>
      <w:sz w:val="22"/>
      <w:lang w:val="en-GB" w:eastAsia="en-US" w:bidi="ar-SA"/>
    </w:rPr>
  </w:style>
  <w:style w:type="character" w:customStyle="1" w:styleId="ReferencesItalicChar">
    <w:name w:val="References_Italic Char"/>
    <w:link w:val="ReferencesItalic"/>
    <w:rsid w:val="00604500"/>
    <w:rPr>
      <w:i/>
      <w:sz w:val="22"/>
      <w:lang w:val="en-GB" w:eastAsia="en-US" w:bidi="ar-SA"/>
    </w:rPr>
  </w:style>
  <w:style w:type="paragraph" w:customStyle="1" w:styleId="References-Bold">
    <w:name w:val="References-Bold"/>
    <w:basedOn w:val="References"/>
    <w:link w:val="References-BoldChar"/>
    <w:locked/>
    <w:rsid w:val="00604500"/>
    <w:rPr>
      <w:b/>
    </w:rPr>
  </w:style>
  <w:style w:type="character" w:customStyle="1" w:styleId="References-BoldChar">
    <w:name w:val="References-Bold Char"/>
    <w:link w:val="References-Bold"/>
    <w:rsid w:val="00604500"/>
    <w:rPr>
      <w:b/>
      <w:sz w:val="22"/>
      <w:lang w:val="en-GB" w:eastAsia="en-US" w:bidi="ar-SA"/>
    </w:rPr>
  </w:style>
  <w:style w:type="paragraph" w:customStyle="1" w:styleId="StyleReferencesBold">
    <w:name w:val="Style References + Bold"/>
    <w:basedOn w:val="References"/>
    <w:link w:val="StyleReferencesBoldChar"/>
    <w:locked/>
    <w:rsid w:val="00604500"/>
    <w:rPr>
      <w:b/>
      <w:bCs/>
    </w:rPr>
  </w:style>
  <w:style w:type="character" w:customStyle="1" w:styleId="StyleReferencesBoldChar">
    <w:name w:val="Style References + Bold Char"/>
    <w:link w:val="StyleReferencesBold"/>
    <w:rsid w:val="00604500"/>
    <w:rPr>
      <w:b/>
      <w:bCs/>
      <w:sz w:val="22"/>
      <w:lang w:val="en-GB" w:eastAsia="en-US" w:bidi="ar-SA"/>
    </w:rPr>
  </w:style>
  <w:style w:type="paragraph" w:customStyle="1" w:styleId="StyleReferencesItalic">
    <w:name w:val="Style References + Italic"/>
    <w:basedOn w:val="References"/>
    <w:link w:val="StyleReferencesItalicChar"/>
    <w:locked/>
    <w:rsid w:val="00604500"/>
    <w:rPr>
      <w:i/>
      <w:iCs/>
    </w:rPr>
  </w:style>
  <w:style w:type="character" w:customStyle="1" w:styleId="StyleReferencesItalicChar">
    <w:name w:val="Style References + Italic Char"/>
    <w:link w:val="StyleReferencesItalic"/>
    <w:rsid w:val="00604500"/>
    <w:rPr>
      <w:i/>
      <w:iCs/>
      <w:sz w:val="22"/>
      <w:lang w:val="en-GB" w:eastAsia="en-US" w:bidi="ar-SA"/>
    </w:rPr>
  </w:style>
  <w:style w:type="paragraph" w:styleId="Sidehoved">
    <w:name w:val="header"/>
    <w:basedOn w:val="Normal"/>
    <w:locked/>
    <w:rsid w:val="00604500"/>
    <w:pPr>
      <w:tabs>
        <w:tab w:val="center" w:pos="4153"/>
        <w:tab w:val="right" w:pos="8306"/>
      </w:tabs>
    </w:pPr>
  </w:style>
  <w:style w:type="paragraph" w:styleId="Sidefod">
    <w:name w:val="footer"/>
    <w:basedOn w:val="Normal"/>
    <w:locked/>
    <w:rsid w:val="00604500"/>
    <w:pPr>
      <w:tabs>
        <w:tab w:val="center" w:pos="4153"/>
        <w:tab w:val="right" w:pos="8306"/>
      </w:tabs>
    </w:pPr>
  </w:style>
  <w:style w:type="character" w:styleId="Fremhv">
    <w:name w:val="Emphasis"/>
    <w:qFormat/>
    <w:locked/>
    <w:rsid w:val="00CA1C21"/>
    <w:rPr>
      <w:i/>
      <w:iCs/>
    </w:rPr>
  </w:style>
  <w:style w:type="paragraph" w:styleId="Markeringsbobletekst">
    <w:name w:val="Balloon Text"/>
    <w:basedOn w:val="Normal"/>
    <w:link w:val="MarkeringsbobletekstTegn"/>
    <w:locked/>
    <w:rsid w:val="00847B70"/>
    <w:pPr>
      <w:spacing w:after="0"/>
    </w:pPr>
    <w:rPr>
      <w:rFonts w:ascii="Tahoma" w:hAnsi="Tahoma" w:cs="Tahoma"/>
      <w:sz w:val="16"/>
      <w:szCs w:val="16"/>
    </w:rPr>
  </w:style>
  <w:style w:type="character" w:customStyle="1" w:styleId="MarkeringsbobletekstTegn">
    <w:name w:val="Markeringsbobletekst Tegn"/>
    <w:link w:val="Markeringsbobletekst"/>
    <w:rsid w:val="00847B70"/>
    <w:rPr>
      <w:rFonts w:ascii="Tahoma" w:hAnsi="Tahoma" w:cs="Tahoma"/>
      <w:sz w:val="16"/>
      <w:szCs w:val="16"/>
      <w:lang w:val="en-GB" w:eastAsia="en-GB"/>
    </w:rPr>
  </w:style>
  <w:style w:type="character" w:styleId="Linjenummer">
    <w:name w:val="line number"/>
    <w:basedOn w:val="Standardskrifttypeiafsnit"/>
    <w:locked/>
    <w:rsid w:val="00EC33CB"/>
  </w:style>
  <w:style w:type="character" w:styleId="Kommentarhenvisning">
    <w:name w:val="annotation reference"/>
    <w:basedOn w:val="Standardskrifttypeiafsnit"/>
    <w:locked/>
    <w:rsid w:val="000C6D37"/>
    <w:rPr>
      <w:sz w:val="16"/>
      <w:szCs w:val="16"/>
    </w:rPr>
  </w:style>
  <w:style w:type="paragraph" w:styleId="Kommentartekst">
    <w:name w:val="annotation text"/>
    <w:basedOn w:val="Normal"/>
    <w:link w:val="KommentartekstTegn"/>
    <w:locked/>
    <w:rsid w:val="000C6D37"/>
    <w:rPr>
      <w:sz w:val="20"/>
      <w:szCs w:val="20"/>
    </w:rPr>
  </w:style>
  <w:style w:type="character" w:customStyle="1" w:styleId="KommentartekstTegn">
    <w:name w:val="Kommentartekst Tegn"/>
    <w:basedOn w:val="Standardskrifttypeiafsnit"/>
    <w:link w:val="Kommentartekst"/>
    <w:rsid w:val="000C6D37"/>
    <w:rPr>
      <w:lang w:val="en-GB" w:eastAsia="en-GB"/>
    </w:rPr>
  </w:style>
  <w:style w:type="paragraph" w:styleId="Kommentaremne">
    <w:name w:val="annotation subject"/>
    <w:basedOn w:val="Kommentartekst"/>
    <w:next w:val="Kommentartekst"/>
    <w:link w:val="KommentaremneTegn"/>
    <w:locked/>
    <w:rsid w:val="000C6D37"/>
    <w:rPr>
      <w:b/>
      <w:bCs/>
    </w:rPr>
  </w:style>
  <w:style w:type="character" w:customStyle="1" w:styleId="KommentaremneTegn">
    <w:name w:val="Kommentaremne Tegn"/>
    <w:basedOn w:val="KommentartekstTegn"/>
    <w:link w:val="Kommentaremne"/>
    <w:rsid w:val="000C6D37"/>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1526">
      <w:bodyDiv w:val="1"/>
      <w:marLeft w:val="0"/>
      <w:marRight w:val="0"/>
      <w:marTop w:val="0"/>
      <w:marBottom w:val="0"/>
      <w:divBdr>
        <w:top w:val="none" w:sz="0" w:space="0" w:color="auto"/>
        <w:left w:val="none" w:sz="0" w:space="0" w:color="auto"/>
        <w:bottom w:val="none" w:sz="0" w:space="0" w:color="auto"/>
        <w:right w:val="none" w:sz="0" w:space="0" w:color="auto"/>
      </w:divBdr>
    </w:div>
    <w:div w:id="546797507">
      <w:bodyDiv w:val="1"/>
      <w:marLeft w:val="0"/>
      <w:marRight w:val="0"/>
      <w:marTop w:val="0"/>
      <w:marBottom w:val="0"/>
      <w:divBdr>
        <w:top w:val="none" w:sz="0" w:space="0" w:color="auto"/>
        <w:left w:val="none" w:sz="0" w:space="0" w:color="auto"/>
        <w:bottom w:val="none" w:sz="0" w:space="0" w:color="auto"/>
        <w:right w:val="none" w:sz="0" w:space="0" w:color="auto"/>
      </w:divBdr>
    </w:div>
    <w:div w:id="810367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43AD7-8A54-47C0-B85D-63041330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4973</Words>
  <Characters>29419</Characters>
  <Application>Microsoft Office Word</Application>
  <DocSecurity>0</DocSecurity>
  <Lines>245</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ARCOM_Paper_Template</vt:lpstr>
      <vt:lpstr>ARCOM_Paper_Template</vt:lpstr>
    </vt:vector>
  </TitlesOfParts>
  <Company>Loughborough University</Company>
  <LinksUpToDate>false</LinksUpToDate>
  <CharactersWithSpaces>34324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ARCOM_Paper_Template</dc:title>
  <dc:creator>Chris Carter</dc:creator>
  <cp:lastModifiedBy>Niels Haldor Bertelsen</cp:lastModifiedBy>
  <cp:revision>10</cp:revision>
  <cp:lastPrinted>2014-07-02T14:11:00Z</cp:lastPrinted>
  <dcterms:created xsi:type="dcterms:W3CDTF">2014-07-02T12:35:00Z</dcterms:created>
  <dcterms:modified xsi:type="dcterms:W3CDTF">2014-07-02T14:21:00Z</dcterms:modified>
</cp:coreProperties>
</file>