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D9CE2" w14:textId="63FCD071" w:rsidR="00DD519F" w:rsidRDefault="00AD5D1D" w:rsidP="00DD519F">
      <w:pPr>
        <w:pStyle w:val="Overskrift1"/>
        <w:rPr>
          <w:lang w:val="en-US"/>
        </w:rPr>
      </w:pPr>
      <w:r>
        <w:rPr>
          <w:lang w:val="en-US"/>
        </w:rPr>
        <w:t xml:space="preserve">How can upper secondary schools </w:t>
      </w:r>
      <w:r w:rsidR="00997E4D">
        <w:rPr>
          <w:lang w:val="en-US"/>
        </w:rPr>
        <w:t xml:space="preserve">create inclusive learning </w:t>
      </w:r>
      <w:r w:rsidR="00546719">
        <w:rPr>
          <w:lang w:val="en-US"/>
        </w:rPr>
        <w:t>environments</w:t>
      </w:r>
      <w:proofErr w:type="gramStart"/>
      <w:r w:rsidR="00997E4D">
        <w:rPr>
          <w:lang w:val="en-US"/>
        </w:rPr>
        <w:t>?</w:t>
      </w:r>
      <w:r w:rsidR="00DD519F">
        <w:rPr>
          <w:lang w:val="en-US"/>
        </w:rPr>
        <w:t>–</w:t>
      </w:r>
      <w:proofErr w:type="gramEnd"/>
      <w:r>
        <w:rPr>
          <w:lang w:val="en-US"/>
        </w:rPr>
        <w:t xml:space="preserve"> Theoretical and empirical analyses of Inquiry Based </w:t>
      </w:r>
      <w:r w:rsidR="007F1BAD">
        <w:rPr>
          <w:lang w:val="en-US"/>
        </w:rPr>
        <w:t>E</w:t>
      </w:r>
      <w:r>
        <w:rPr>
          <w:lang w:val="en-US"/>
        </w:rPr>
        <w:t>ducation</w:t>
      </w:r>
    </w:p>
    <w:p w14:paraId="00B0AA01" w14:textId="0E2A2F37" w:rsidR="005673E4" w:rsidRPr="005673E4" w:rsidRDefault="005673E4" w:rsidP="005673E4">
      <w:pPr>
        <w:rPr>
          <w:b/>
          <w:lang w:val="en-US"/>
        </w:rPr>
      </w:pPr>
      <w:proofErr w:type="spellStart"/>
      <w:r w:rsidRPr="005673E4">
        <w:rPr>
          <w:b/>
          <w:lang w:val="en-US"/>
        </w:rPr>
        <w:t>Publiceret</w:t>
      </w:r>
      <w:proofErr w:type="spellEnd"/>
      <w:r w:rsidRPr="005673E4">
        <w:rPr>
          <w:b/>
          <w:lang w:val="en-US"/>
        </w:rPr>
        <w:t xml:space="preserve"> i: Nordic Studies in Education, Vol. 36, 3-2016, </w:t>
      </w:r>
      <w:proofErr w:type="gramStart"/>
      <w:r w:rsidRPr="005673E4">
        <w:rPr>
          <w:b/>
          <w:lang w:val="en-US"/>
        </w:rPr>
        <w:t>pp</w:t>
      </w:r>
      <w:proofErr w:type="gramEnd"/>
      <w:r w:rsidRPr="005673E4">
        <w:rPr>
          <w:b/>
          <w:lang w:val="en-US"/>
        </w:rPr>
        <w:t xml:space="preserve">. 229-241. </w:t>
      </w:r>
    </w:p>
    <w:p w14:paraId="5C0859F9" w14:textId="77777777" w:rsidR="00FC2637" w:rsidRPr="004954CB" w:rsidRDefault="00FC2637" w:rsidP="00D65CFA">
      <w:pPr>
        <w:pStyle w:val="Overskrift2"/>
        <w:rPr>
          <w:lang w:val="en-US"/>
        </w:rPr>
      </w:pPr>
      <w:r w:rsidRPr="004954CB">
        <w:rPr>
          <w:lang w:val="en-US"/>
        </w:rPr>
        <w:t>Authors</w:t>
      </w:r>
    </w:p>
    <w:p w14:paraId="4770976C" w14:textId="77777777" w:rsidR="007E6B1C" w:rsidRDefault="007E6B1C" w:rsidP="007E6B1C">
      <w:pPr>
        <w:spacing w:line="480" w:lineRule="auto"/>
        <w:rPr>
          <w:lang w:val="en-US"/>
        </w:rPr>
      </w:pPr>
      <w:r>
        <w:rPr>
          <w:lang w:val="en-US"/>
        </w:rPr>
        <w:t>Ulla Højmark Jensen</w:t>
      </w:r>
    </w:p>
    <w:p w14:paraId="456DEEA3" w14:textId="77777777" w:rsidR="007E6B1C" w:rsidRDefault="007E6B1C" w:rsidP="007E6B1C">
      <w:pPr>
        <w:spacing w:line="480" w:lineRule="auto"/>
        <w:rPr>
          <w:lang w:val="en-US"/>
        </w:rPr>
      </w:pPr>
      <w:r>
        <w:rPr>
          <w:lang w:val="en-US"/>
        </w:rPr>
        <w:t>Associate professor</w:t>
      </w:r>
      <w:bookmarkStart w:id="0" w:name="_GoBack"/>
      <w:bookmarkEnd w:id="0"/>
    </w:p>
    <w:p w14:paraId="2568CC57" w14:textId="77777777" w:rsidR="007E6B1C" w:rsidRDefault="007E6B1C" w:rsidP="007E6B1C">
      <w:pPr>
        <w:spacing w:line="480" w:lineRule="auto"/>
        <w:rPr>
          <w:lang w:val="en-US"/>
        </w:rPr>
      </w:pPr>
      <w:r>
        <w:rPr>
          <w:lang w:val="en-US"/>
        </w:rPr>
        <w:t>Learning and Educational Research</w:t>
      </w:r>
    </w:p>
    <w:p w14:paraId="4073F960" w14:textId="77777777" w:rsidR="007E6B1C" w:rsidRDefault="007E6B1C" w:rsidP="007E6B1C">
      <w:pPr>
        <w:spacing w:line="480" w:lineRule="auto"/>
        <w:rPr>
          <w:lang w:val="en-US"/>
        </w:rPr>
      </w:pPr>
      <w:r>
        <w:rPr>
          <w:lang w:val="en-US"/>
        </w:rPr>
        <w:t>Department of Learning and Philosophy</w:t>
      </w:r>
    </w:p>
    <w:p w14:paraId="3C32B490" w14:textId="77777777" w:rsidR="007E6B1C" w:rsidRDefault="007E6B1C" w:rsidP="007E6B1C">
      <w:pPr>
        <w:spacing w:line="480" w:lineRule="auto"/>
        <w:rPr>
          <w:lang w:val="en-US"/>
        </w:rPr>
      </w:pPr>
      <w:r>
        <w:rPr>
          <w:lang w:val="en-US"/>
        </w:rPr>
        <w:t>Aalborg University – Campus Copenhagen</w:t>
      </w:r>
    </w:p>
    <w:p w14:paraId="0045C63E" w14:textId="77777777" w:rsidR="007E6B1C" w:rsidRPr="00742692" w:rsidRDefault="007E6B1C" w:rsidP="007E6B1C">
      <w:pPr>
        <w:spacing w:line="480" w:lineRule="auto"/>
        <w:rPr>
          <w:lang w:val="en-US"/>
        </w:rPr>
      </w:pPr>
      <w:r>
        <w:rPr>
          <w:lang w:val="en-US"/>
        </w:rPr>
        <w:t>Mail: ulla.hojmark.jensen@gmail.com</w:t>
      </w:r>
    </w:p>
    <w:p w14:paraId="0FD2E868" w14:textId="77777777" w:rsidR="007E6B1C" w:rsidRDefault="007E6B1C" w:rsidP="00EA3C51">
      <w:pPr>
        <w:spacing w:line="480" w:lineRule="auto"/>
        <w:rPr>
          <w:lang w:val="en-US"/>
        </w:rPr>
      </w:pPr>
    </w:p>
    <w:p w14:paraId="292A93E2" w14:textId="77777777" w:rsidR="00C50BB5" w:rsidRDefault="00FC2637" w:rsidP="00EA3C51">
      <w:pPr>
        <w:spacing w:line="480" w:lineRule="auto"/>
        <w:rPr>
          <w:lang w:val="en-US"/>
        </w:rPr>
      </w:pPr>
      <w:r w:rsidRPr="00742692">
        <w:rPr>
          <w:lang w:val="en-US"/>
        </w:rPr>
        <w:t>Arnt Vestergaard Louw</w:t>
      </w:r>
      <w:r w:rsidR="00EA3C51">
        <w:rPr>
          <w:lang w:val="en-US"/>
        </w:rPr>
        <w:t xml:space="preserve"> </w:t>
      </w:r>
    </w:p>
    <w:p w14:paraId="61780C7D" w14:textId="77777777" w:rsidR="00C50BB5" w:rsidRDefault="00C50BB5" w:rsidP="00EA3C51">
      <w:pPr>
        <w:spacing w:line="480" w:lineRule="auto"/>
        <w:rPr>
          <w:lang w:val="en-US"/>
        </w:rPr>
      </w:pPr>
      <w:r>
        <w:rPr>
          <w:lang w:val="en-US"/>
        </w:rPr>
        <w:t>Assistant professor</w:t>
      </w:r>
    </w:p>
    <w:p w14:paraId="4391217D" w14:textId="77777777" w:rsidR="00EA3C51" w:rsidRDefault="00EA3C51" w:rsidP="00EA3C51">
      <w:pPr>
        <w:spacing w:line="480" w:lineRule="auto"/>
        <w:rPr>
          <w:lang w:val="en-US"/>
        </w:rPr>
      </w:pPr>
      <w:r>
        <w:rPr>
          <w:lang w:val="en-US"/>
        </w:rPr>
        <w:t>T</w:t>
      </w:r>
      <w:r w:rsidR="00FC2637">
        <w:rPr>
          <w:lang w:val="en-US"/>
        </w:rPr>
        <w:t>he Centre for Youth Research</w:t>
      </w:r>
    </w:p>
    <w:p w14:paraId="31BE92DA" w14:textId="77777777" w:rsidR="00EA3C51" w:rsidRDefault="00FC2637" w:rsidP="00EA3C51">
      <w:pPr>
        <w:spacing w:line="480" w:lineRule="auto"/>
        <w:rPr>
          <w:lang w:val="en-US"/>
        </w:rPr>
      </w:pPr>
      <w:r>
        <w:rPr>
          <w:lang w:val="en-US"/>
        </w:rPr>
        <w:t>Department of Learning and Philosophy</w:t>
      </w:r>
    </w:p>
    <w:p w14:paraId="771471E2" w14:textId="77777777" w:rsidR="00EA3C51" w:rsidRDefault="00FC2637" w:rsidP="00EA3C51">
      <w:pPr>
        <w:spacing w:line="480" w:lineRule="auto"/>
        <w:rPr>
          <w:lang w:val="en-US"/>
        </w:rPr>
      </w:pPr>
      <w:r>
        <w:rPr>
          <w:lang w:val="en-US"/>
        </w:rPr>
        <w:t>Aalborg University – Campus Copenhagen</w:t>
      </w:r>
    </w:p>
    <w:p w14:paraId="6661F03F" w14:textId="77777777" w:rsidR="00EA3C51" w:rsidRPr="00A923BA" w:rsidRDefault="00EA3C51" w:rsidP="00EA3C51">
      <w:pPr>
        <w:spacing w:line="480" w:lineRule="auto"/>
      </w:pPr>
      <w:r w:rsidRPr="00A923BA">
        <w:t>A. C. Meyers Vænge 15, 2450 Copenhagen SV</w:t>
      </w:r>
    </w:p>
    <w:p w14:paraId="564A988C" w14:textId="77777777" w:rsidR="00EA3C51" w:rsidRDefault="00EA3C51" w:rsidP="00EA3C51">
      <w:pPr>
        <w:spacing w:line="480" w:lineRule="auto"/>
        <w:rPr>
          <w:lang w:val="en-US"/>
        </w:rPr>
      </w:pPr>
      <w:r>
        <w:rPr>
          <w:lang w:val="en-US"/>
        </w:rPr>
        <w:t>Phone: +45 3195 4530</w:t>
      </w:r>
    </w:p>
    <w:p w14:paraId="06CB0FC6" w14:textId="77777777" w:rsidR="00FC2637" w:rsidRPr="00742692" w:rsidRDefault="00EA3C51" w:rsidP="00EA3C51">
      <w:pPr>
        <w:spacing w:line="480" w:lineRule="auto"/>
        <w:rPr>
          <w:lang w:val="en-US"/>
        </w:rPr>
      </w:pPr>
      <w:r>
        <w:rPr>
          <w:lang w:val="en-US"/>
        </w:rPr>
        <w:t xml:space="preserve">Mail: </w:t>
      </w:r>
      <w:r w:rsidR="00FC2637" w:rsidRPr="00742692">
        <w:rPr>
          <w:lang w:val="en-US"/>
        </w:rPr>
        <w:t xml:space="preserve"> avl@learning.aau.dk </w:t>
      </w:r>
    </w:p>
    <w:p w14:paraId="3728DB66" w14:textId="77777777" w:rsidR="00EA3C51" w:rsidRDefault="00EA3C51" w:rsidP="00EA3C51">
      <w:pPr>
        <w:spacing w:line="480" w:lineRule="auto"/>
        <w:rPr>
          <w:lang w:val="en-US"/>
        </w:rPr>
      </w:pPr>
    </w:p>
    <w:p w14:paraId="1B862717" w14:textId="77777777" w:rsidR="00FC2637" w:rsidRPr="00FC4D59" w:rsidRDefault="00FC2637" w:rsidP="00EA3C51">
      <w:pPr>
        <w:pStyle w:val="Overskrift2"/>
        <w:pageBreakBefore/>
        <w:rPr>
          <w:lang w:val="en-US"/>
        </w:rPr>
      </w:pPr>
      <w:r w:rsidRPr="00FC4D59">
        <w:rPr>
          <w:lang w:val="en-US"/>
        </w:rPr>
        <w:lastRenderedPageBreak/>
        <w:t>Abstract</w:t>
      </w:r>
    </w:p>
    <w:p w14:paraId="41F5239D" w14:textId="65E66881" w:rsidR="00BD7D6C" w:rsidRPr="00AA43B1" w:rsidRDefault="004B14CB" w:rsidP="00BD7D6C">
      <w:pPr>
        <w:rPr>
          <w:i/>
          <w:lang w:val="en-US"/>
        </w:rPr>
      </w:pPr>
      <w:r w:rsidRPr="00AA43B1">
        <w:rPr>
          <w:i/>
          <w:lang w:val="en-US"/>
        </w:rPr>
        <w:t>In t</w:t>
      </w:r>
      <w:r w:rsidR="00BD7D6C" w:rsidRPr="00AA43B1">
        <w:rPr>
          <w:i/>
          <w:lang w:val="en-US"/>
        </w:rPr>
        <w:t xml:space="preserve">his article </w:t>
      </w:r>
      <w:r w:rsidRPr="00AA43B1">
        <w:rPr>
          <w:i/>
          <w:lang w:val="en-US"/>
        </w:rPr>
        <w:t xml:space="preserve">we will explore the concept of Inquiry Based Education (IBE) on classroom level in secondary schools.  </w:t>
      </w:r>
      <w:r w:rsidR="00AA43B1">
        <w:rPr>
          <w:i/>
          <w:lang w:val="en-US"/>
        </w:rPr>
        <w:t xml:space="preserve">We use </w:t>
      </w:r>
      <w:proofErr w:type="spellStart"/>
      <w:r w:rsidR="00AA43B1">
        <w:rPr>
          <w:i/>
          <w:lang w:val="en-US"/>
        </w:rPr>
        <w:t>casestudies</w:t>
      </w:r>
      <w:proofErr w:type="spellEnd"/>
      <w:r w:rsidR="00AA43B1">
        <w:rPr>
          <w:i/>
          <w:lang w:val="en-US"/>
        </w:rPr>
        <w:t xml:space="preserve"> to </w:t>
      </w:r>
      <w:proofErr w:type="spellStart"/>
      <w:r w:rsidRPr="00AA43B1">
        <w:rPr>
          <w:i/>
          <w:lang w:val="en-US"/>
        </w:rPr>
        <w:t>deskribe</w:t>
      </w:r>
      <w:proofErr w:type="spellEnd"/>
      <w:r w:rsidRPr="00AA43B1">
        <w:rPr>
          <w:i/>
          <w:lang w:val="en-US"/>
        </w:rPr>
        <w:t xml:space="preserve"> and analyze two different learning environments and give a theoretical and an empirical approach to understanding students’ learning opportunities. </w:t>
      </w:r>
      <w:r w:rsidR="00BD7D6C" w:rsidRPr="00AA43B1">
        <w:rPr>
          <w:i/>
          <w:lang w:val="en-US"/>
        </w:rPr>
        <w:t>I</w:t>
      </w:r>
      <w:r w:rsidR="00F22948" w:rsidRPr="00AA43B1">
        <w:rPr>
          <w:i/>
          <w:lang w:val="en-US"/>
        </w:rPr>
        <w:t>n</w:t>
      </w:r>
      <w:r w:rsidR="00BD7D6C" w:rsidRPr="00AA43B1">
        <w:rPr>
          <w:i/>
          <w:lang w:val="en-US"/>
        </w:rPr>
        <w:t xml:space="preserve"> the article IBE is perceived as an academic way of thinking and learning and not just a pedagogical method. Taking this broad understanding, we use the concept of IBE as an educational approach and a theoretical framework</w:t>
      </w:r>
      <w:r w:rsidRPr="00AA43B1">
        <w:rPr>
          <w:i/>
          <w:lang w:val="en-US"/>
        </w:rPr>
        <w:t xml:space="preserve">. </w:t>
      </w:r>
      <w:proofErr w:type="gramStart"/>
      <w:r w:rsidRPr="00AA43B1">
        <w:rPr>
          <w:i/>
          <w:lang w:val="en-US"/>
        </w:rPr>
        <w:t>T</w:t>
      </w:r>
      <w:r w:rsidR="00BD7D6C" w:rsidRPr="00AA43B1">
        <w:rPr>
          <w:i/>
          <w:lang w:val="en-US"/>
        </w:rPr>
        <w:t>he article points to how different educational aims bring about different teacher – students relations and offer students different kind of learning possibilities and positions.</w:t>
      </w:r>
      <w:proofErr w:type="gramEnd"/>
      <w:r w:rsidR="00BD7D6C" w:rsidRPr="00AA43B1">
        <w:rPr>
          <w:i/>
          <w:lang w:val="en-US"/>
        </w:rPr>
        <w:t xml:space="preserve"> It is further shown how different learnings environments can open up for democratic praxis and experience and be understood as creating inclusive learning environment. The argument in the article is that central elements of IBE can contribute to more equality in education by creating inclusive learning environments that take into account different levels of the students learning processes.  </w:t>
      </w:r>
    </w:p>
    <w:p w14:paraId="30134AEA" w14:textId="77777777" w:rsidR="00D65CFA" w:rsidRDefault="00D65CFA" w:rsidP="00D65CFA">
      <w:pPr>
        <w:pStyle w:val="Overskrift3"/>
        <w:rPr>
          <w:lang w:val="en-US"/>
        </w:rPr>
      </w:pPr>
      <w:r>
        <w:rPr>
          <w:lang w:val="en-US"/>
        </w:rPr>
        <w:t>K</w:t>
      </w:r>
      <w:r w:rsidRPr="004954CB">
        <w:rPr>
          <w:lang w:val="en-US"/>
        </w:rPr>
        <w:t>eywords</w:t>
      </w:r>
      <w:r>
        <w:rPr>
          <w:lang w:val="en-US"/>
        </w:rPr>
        <w:t xml:space="preserve">: </w:t>
      </w:r>
    </w:p>
    <w:p w14:paraId="6F2DB6F7" w14:textId="4E4B75D8" w:rsidR="00D65CFA" w:rsidRDefault="00E05FDB" w:rsidP="00D65CFA">
      <w:pPr>
        <w:rPr>
          <w:lang w:val="en-US"/>
        </w:rPr>
      </w:pPr>
      <w:r>
        <w:rPr>
          <w:lang w:val="en-US"/>
        </w:rPr>
        <w:t xml:space="preserve">Learning environments, Inquiry Based Education (IBE), inclusion, upper secondary </w:t>
      </w:r>
      <w:r w:rsidR="00546719">
        <w:rPr>
          <w:lang w:val="en-US"/>
        </w:rPr>
        <w:t>education</w:t>
      </w:r>
      <w:r>
        <w:rPr>
          <w:lang w:val="en-US"/>
        </w:rPr>
        <w:t>, educational policy</w:t>
      </w:r>
    </w:p>
    <w:p w14:paraId="47D11844" w14:textId="77777777" w:rsidR="00FC2637" w:rsidRDefault="00F86D3A" w:rsidP="00FC2637">
      <w:pPr>
        <w:pStyle w:val="Overskrift2"/>
        <w:rPr>
          <w:lang w:val="en-US"/>
        </w:rPr>
      </w:pPr>
      <w:r>
        <w:rPr>
          <w:lang w:val="en-US"/>
        </w:rPr>
        <w:t>Introduction and background</w:t>
      </w:r>
    </w:p>
    <w:p w14:paraId="3B9CD054" w14:textId="680B2CDA" w:rsidR="00F86D3A" w:rsidRPr="00BF160C" w:rsidRDefault="00AA43B1" w:rsidP="00480C57">
      <w:pPr>
        <w:rPr>
          <w:lang w:val="en-US"/>
        </w:rPr>
      </w:pPr>
      <w:r>
        <w:rPr>
          <w:lang w:val="en-US"/>
        </w:rPr>
        <w:t xml:space="preserve">We are </w:t>
      </w:r>
      <w:proofErr w:type="spellStart"/>
      <w:r>
        <w:rPr>
          <w:lang w:val="en-US"/>
        </w:rPr>
        <w:t>concerened</w:t>
      </w:r>
      <w:proofErr w:type="spellEnd"/>
      <w:r>
        <w:rPr>
          <w:lang w:val="en-US"/>
        </w:rPr>
        <w:t xml:space="preserve"> about how secondary educational institutions can </w:t>
      </w:r>
      <w:proofErr w:type="spellStart"/>
      <w:r>
        <w:rPr>
          <w:lang w:val="en-US"/>
        </w:rPr>
        <w:t>creat</w:t>
      </w:r>
      <w:proofErr w:type="spellEnd"/>
      <w:r>
        <w:rPr>
          <w:lang w:val="en-US"/>
        </w:rPr>
        <w:t xml:space="preserve"> inclusive</w:t>
      </w:r>
      <w:r w:rsidRPr="00F81C7E">
        <w:rPr>
          <w:lang w:val="en-US"/>
        </w:rPr>
        <w:t xml:space="preserve"> learning environments </w:t>
      </w:r>
      <w:r>
        <w:rPr>
          <w:lang w:val="en-US"/>
        </w:rPr>
        <w:t>that can give equal opportunities and space for all youth to learn and to develop democratic competences</w:t>
      </w:r>
      <w:r w:rsidRPr="00F81C7E">
        <w:rPr>
          <w:lang w:val="en-US"/>
        </w:rPr>
        <w:t xml:space="preserve">. </w:t>
      </w:r>
      <w:r w:rsidR="00F565E3">
        <w:rPr>
          <w:lang w:val="en-US"/>
        </w:rPr>
        <w:t>We will explore t</w:t>
      </w:r>
      <w:r>
        <w:rPr>
          <w:lang w:val="en-US"/>
        </w:rPr>
        <w:t xml:space="preserve">he concept of </w:t>
      </w:r>
      <w:r w:rsidR="00F81C7E" w:rsidRPr="00F81C7E">
        <w:rPr>
          <w:lang w:val="en-US"/>
        </w:rPr>
        <w:t xml:space="preserve">Inquiry Based Education (IBE) </w:t>
      </w:r>
      <w:r w:rsidR="00F565E3">
        <w:rPr>
          <w:lang w:val="en-US"/>
        </w:rPr>
        <w:t>and its</w:t>
      </w:r>
      <w:r w:rsidR="00F81C7E" w:rsidRPr="00F81C7E">
        <w:rPr>
          <w:lang w:val="en-US"/>
        </w:rPr>
        <w:t xml:space="preserve"> theoretical and empirical approach</w:t>
      </w:r>
      <w:r w:rsidR="00F565E3">
        <w:rPr>
          <w:lang w:val="en-US"/>
        </w:rPr>
        <w:t xml:space="preserve">. </w:t>
      </w:r>
      <w:r w:rsidR="00F81C7E">
        <w:rPr>
          <w:lang w:val="en-US"/>
        </w:rPr>
        <w:t>IBE h</w:t>
      </w:r>
      <w:r w:rsidR="00BC43BA">
        <w:rPr>
          <w:lang w:val="en-US"/>
        </w:rPr>
        <w:t xml:space="preserve">as a long history </w:t>
      </w:r>
      <w:r w:rsidR="00F81C7E">
        <w:rPr>
          <w:lang w:val="en-US"/>
        </w:rPr>
        <w:t xml:space="preserve">and the concept can be linked back to </w:t>
      </w:r>
      <w:r w:rsidR="00BC43BA">
        <w:rPr>
          <w:lang w:val="en-US"/>
        </w:rPr>
        <w:t xml:space="preserve">the </w:t>
      </w:r>
      <w:r w:rsidR="000621D8">
        <w:rPr>
          <w:lang w:val="en-US"/>
        </w:rPr>
        <w:t xml:space="preserve">1960s </w:t>
      </w:r>
      <w:r w:rsidR="00470552">
        <w:rPr>
          <w:lang w:val="en-US"/>
        </w:rPr>
        <w:t>and Dewey</w:t>
      </w:r>
      <w:r w:rsidR="00F81C7E">
        <w:rPr>
          <w:lang w:val="en-US"/>
        </w:rPr>
        <w:t>’s</w:t>
      </w:r>
      <w:r w:rsidR="002652A7">
        <w:rPr>
          <w:lang w:val="en-US"/>
        </w:rPr>
        <w:t xml:space="preserve"> theoretical approach</w:t>
      </w:r>
      <w:r w:rsidR="00F81C7E">
        <w:rPr>
          <w:lang w:val="en-US"/>
        </w:rPr>
        <w:t xml:space="preserve"> to learning and teaching</w:t>
      </w:r>
      <w:r w:rsidR="002652A7">
        <w:rPr>
          <w:lang w:val="en-US"/>
        </w:rPr>
        <w:t xml:space="preserve">. </w:t>
      </w:r>
      <w:r w:rsidR="00B47566">
        <w:rPr>
          <w:lang w:val="en-US"/>
        </w:rPr>
        <w:t xml:space="preserve">The concept </w:t>
      </w:r>
      <w:r w:rsidR="00BC43BA" w:rsidRPr="00BC43BA">
        <w:rPr>
          <w:lang w:val="en-US"/>
        </w:rPr>
        <w:t>of IBE</w:t>
      </w:r>
      <w:r w:rsidR="00B47566">
        <w:rPr>
          <w:lang w:val="en-US"/>
        </w:rPr>
        <w:t xml:space="preserve"> has been reinforced</w:t>
      </w:r>
      <w:r w:rsidR="00ED6D33">
        <w:rPr>
          <w:lang w:val="en-US"/>
        </w:rPr>
        <w:t xml:space="preserve"> </w:t>
      </w:r>
      <w:r w:rsidR="00B47566">
        <w:rPr>
          <w:lang w:val="en-US"/>
        </w:rPr>
        <w:t>/</w:t>
      </w:r>
      <w:r w:rsidR="00ED6D33">
        <w:rPr>
          <w:lang w:val="en-US"/>
        </w:rPr>
        <w:t xml:space="preserve"> </w:t>
      </w:r>
      <w:r w:rsidR="00B47566">
        <w:rPr>
          <w:lang w:val="en-US"/>
        </w:rPr>
        <w:t>reinvented in the school system in Denmark</w:t>
      </w:r>
      <w:r w:rsidR="00F565E3">
        <w:rPr>
          <w:rStyle w:val="Fodnotehenvisning"/>
          <w:lang w:val="en-US"/>
        </w:rPr>
        <w:footnoteReference w:id="1"/>
      </w:r>
      <w:r w:rsidR="00AB6035">
        <w:rPr>
          <w:lang w:val="en-US"/>
        </w:rPr>
        <w:t xml:space="preserve"> although it has been questioned </w:t>
      </w:r>
      <w:r w:rsidR="00480C57">
        <w:rPr>
          <w:lang w:val="en-US"/>
        </w:rPr>
        <w:t>if the go</w:t>
      </w:r>
      <w:r w:rsidR="00813B66">
        <w:rPr>
          <w:lang w:val="en-US"/>
        </w:rPr>
        <w:t>a</w:t>
      </w:r>
      <w:r w:rsidR="00480C57">
        <w:rPr>
          <w:lang w:val="en-US"/>
        </w:rPr>
        <w:t>l</w:t>
      </w:r>
      <w:r w:rsidR="00813B66">
        <w:rPr>
          <w:lang w:val="en-US"/>
        </w:rPr>
        <w:t>s</w:t>
      </w:r>
      <w:r w:rsidR="00480C57">
        <w:rPr>
          <w:lang w:val="en-US"/>
        </w:rPr>
        <w:t xml:space="preserve"> of IBE </w:t>
      </w:r>
      <w:r w:rsidR="001C655B">
        <w:rPr>
          <w:lang w:val="en-US"/>
        </w:rPr>
        <w:t>will</w:t>
      </w:r>
      <w:r w:rsidR="00480C57">
        <w:rPr>
          <w:lang w:val="en-US"/>
        </w:rPr>
        <w:t xml:space="preserve"> be reflected in </w:t>
      </w:r>
      <w:r w:rsidR="006401AE">
        <w:rPr>
          <w:lang w:val="en-US"/>
        </w:rPr>
        <w:t>national educational g</w:t>
      </w:r>
      <w:r w:rsidR="00813B66">
        <w:rPr>
          <w:lang w:val="en-US"/>
        </w:rPr>
        <w:t>oals</w:t>
      </w:r>
      <w:r w:rsidR="006401AE">
        <w:rPr>
          <w:lang w:val="en-US"/>
        </w:rPr>
        <w:t xml:space="preserve"> and the </w:t>
      </w:r>
      <w:r w:rsidR="00480C57">
        <w:rPr>
          <w:lang w:val="en-US"/>
        </w:rPr>
        <w:t>PISA scores (</w:t>
      </w:r>
      <w:r w:rsidR="00480C57" w:rsidRPr="00E05FDB">
        <w:rPr>
          <w:lang w:val="en-US"/>
        </w:rPr>
        <w:t>Egelund 2008</w:t>
      </w:r>
      <w:r w:rsidR="00F00D47" w:rsidRPr="00E05FDB">
        <w:rPr>
          <w:lang w:val="en-US"/>
        </w:rPr>
        <w:t>, Krein</w:t>
      </w:r>
      <w:r w:rsidR="00381FB5" w:rsidRPr="00E05FDB">
        <w:rPr>
          <w:lang w:val="en-US"/>
        </w:rPr>
        <w:t>er 2011</w:t>
      </w:r>
      <w:r w:rsidR="00B57E2D" w:rsidRPr="00E05FDB">
        <w:rPr>
          <w:lang w:val="en-US"/>
        </w:rPr>
        <w:t>, Stephenson 2012</w:t>
      </w:r>
      <w:r w:rsidR="00480C57" w:rsidRPr="00E05FDB">
        <w:rPr>
          <w:lang w:val="en-US"/>
        </w:rPr>
        <w:t>)</w:t>
      </w:r>
      <w:r w:rsidR="002652A7" w:rsidRPr="00F86D3A">
        <w:rPr>
          <w:lang w:val="en-US"/>
        </w:rPr>
        <w:t xml:space="preserve">. </w:t>
      </w:r>
      <w:r w:rsidR="00546719">
        <w:rPr>
          <w:lang w:val="en-US"/>
        </w:rPr>
        <w:t>Student centered</w:t>
      </w:r>
      <w:r w:rsidR="006401AE">
        <w:rPr>
          <w:lang w:val="en-US"/>
        </w:rPr>
        <w:t xml:space="preserve"> education and IBE can be seen as a</w:t>
      </w:r>
      <w:r w:rsidR="00F81C7E">
        <w:rPr>
          <w:lang w:val="en-US"/>
        </w:rPr>
        <w:t xml:space="preserve"> </w:t>
      </w:r>
      <w:proofErr w:type="gramStart"/>
      <w:r w:rsidR="00F81C7E" w:rsidRPr="00F81C7E">
        <w:rPr>
          <w:lang w:val="en-US"/>
        </w:rPr>
        <w:lastRenderedPageBreak/>
        <w:t>counterweight</w:t>
      </w:r>
      <w:proofErr w:type="gramEnd"/>
      <w:r w:rsidR="00EB3DD7">
        <w:rPr>
          <w:lang w:val="en-US"/>
        </w:rPr>
        <w:t xml:space="preserve"> </w:t>
      </w:r>
      <w:r w:rsidR="00F81C7E">
        <w:rPr>
          <w:lang w:val="en-US"/>
        </w:rPr>
        <w:t xml:space="preserve">to the more technological approach to education that </w:t>
      </w:r>
      <w:r w:rsidR="000621D8">
        <w:rPr>
          <w:lang w:val="en-US"/>
        </w:rPr>
        <w:t xml:space="preserve">is sweeping </w:t>
      </w:r>
      <w:r w:rsidR="00F81C7E">
        <w:rPr>
          <w:lang w:val="en-US"/>
        </w:rPr>
        <w:t>across Europe and the rest of the world. Thus, t</w:t>
      </w:r>
      <w:r w:rsidR="00EB3DD7">
        <w:rPr>
          <w:lang w:val="en-US"/>
        </w:rPr>
        <w:t>he European commission states:</w:t>
      </w:r>
    </w:p>
    <w:p w14:paraId="09F10860" w14:textId="77777777" w:rsidR="00F81C7E" w:rsidRPr="00EB3DD7" w:rsidRDefault="00F81C7E" w:rsidP="00EB3DD7">
      <w:pPr>
        <w:ind w:right="1127"/>
        <w:rPr>
          <w:lang w:val="en-US"/>
        </w:rPr>
      </w:pPr>
    </w:p>
    <w:p w14:paraId="7EDB06E4" w14:textId="77777777" w:rsidR="00FA4628" w:rsidRDefault="00FA4628" w:rsidP="002A49BD">
      <w:pPr>
        <w:ind w:left="1134" w:right="1128"/>
        <w:rPr>
          <w:i/>
          <w:lang w:val="en-US"/>
        </w:rPr>
      </w:pPr>
      <w:r w:rsidRPr="00FA4628">
        <w:rPr>
          <w:i/>
          <w:lang w:val="en-US"/>
        </w:rPr>
        <w:t xml:space="preserve">Education and training policy should enable all citizens to benefit from quality education and to acquire and update over a lifetime the knowledge, skills, and competences needed for employment, inclusion, </w:t>
      </w:r>
      <w:proofErr w:type="gramStart"/>
      <w:r w:rsidRPr="00FA4628">
        <w:rPr>
          <w:i/>
          <w:lang w:val="en-US"/>
        </w:rPr>
        <w:t>active</w:t>
      </w:r>
      <w:proofErr w:type="gramEnd"/>
    </w:p>
    <w:p w14:paraId="33A445A0" w14:textId="77777777" w:rsidR="00FA4628" w:rsidRPr="00EB3DD7" w:rsidRDefault="00FA4628" w:rsidP="00EB3DD7">
      <w:pPr>
        <w:ind w:left="1134" w:right="1127"/>
        <w:rPr>
          <w:i/>
          <w:lang w:val="en-US"/>
        </w:rPr>
      </w:pPr>
      <w:proofErr w:type="gramStart"/>
      <w:r w:rsidRPr="00FA4628">
        <w:rPr>
          <w:i/>
          <w:lang w:val="en-US"/>
        </w:rPr>
        <w:t>citizenship</w:t>
      </w:r>
      <w:proofErr w:type="gramEnd"/>
      <w:r w:rsidRPr="00FA4628">
        <w:rPr>
          <w:i/>
          <w:lang w:val="en-US"/>
        </w:rPr>
        <w:t xml:space="preserve"> and personal fulfilment.</w:t>
      </w:r>
      <w:r w:rsidR="00EB3DD7">
        <w:rPr>
          <w:i/>
          <w:lang w:val="en-US"/>
        </w:rPr>
        <w:t xml:space="preserve"> (</w:t>
      </w:r>
      <w:r>
        <w:rPr>
          <w:lang w:val="en-US"/>
        </w:rPr>
        <w:t>European Commission 2014</w:t>
      </w:r>
      <w:r w:rsidR="00422E7B">
        <w:rPr>
          <w:lang w:val="en-US"/>
        </w:rPr>
        <w:t>a</w:t>
      </w:r>
      <w:r w:rsidR="00EB3DD7">
        <w:rPr>
          <w:lang w:val="en-US"/>
        </w:rPr>
        <w:t>)</w:t>
      </w:r>
    </w:p>
    <w:p w14:paraId="400FDB13" w14:textId="77777777" w:rsidR="00FA4628" w:rsidRPr="00FA4628" w:rsidRDefault="00FA4628" w:rsidP="00FA4628">
      <w:pPr>
        <w:ind w:left="1134" w:right="1127"/>
        <w:rPr>
          <w:i/>
          <w:lang w:val="en-US"/>
        </w:rPr>
      </w:pPr>
    </w:p>
    <w:p w14:paraId="3B543A79" w14:textId="05BC7034" w:rsidR="00FC2637" w:rsidRPr="00990F94" w:rsidRDefault="00FA4628" w:rsidP="00FA4628">
      <w:pPr>
        <w:rPr>
          <w:color w:val="FF0000"/>
          <w:lang w:val="en-US"/>
        </w:rPr>
      </w:pPr>
      <w:r>
        <w:rPr>
          <w:lang w:val="en-US"/>
        </w:rPr>
        <w:t>As the above quote states, s</w:t>
      </w:r>
      <w:r w:rsidR="00FC2637">
        <w:rPr>
          <w:lang w:val="en-US"/>
        </w:rPr>
        <w:t xml:space="preserve">ecuring a high level of education for all citizens </w:t>
      </w:r>
      <w:r w:rsidR="00E46FFC">
        <w:rPr>
          <w:lang w:val="en-US"/>
        </w:rPr>
        <w:t xml:space="preserve">is high </w:t>
      </w:r>
      <w:r w:rsidR="00FC2637">
        <w:rPr>
          <w:lang w:val="en-US"/>
        </w:rPr>
        <w:t>on the EU agenda</w:t>
      </w:r>
      <w:r w:rsidR="00E46FFC">
        <w:rPr>
          <w:lang w:val="en-US"/>
        </w:rPr>
        <w:t xml:space="preserve"> </w:t>
      </w:r>
      <w:r w:rsidR="0059757D">
        <w:rPr>
          <w:lang w:val="en-US"/>
        </w:rPr>
        <w:t xml:space="preserve">and this strategic goal was introduced with </w:t>
      </w:r>
      <w:r w:rsidR="00FC2637">
        <w:rPr>
          <w:lang w:val="en-US"/>
        </w:rPr>
        <w:t>the</w:t>
      </w:r>
      <w:r>
        <w:rPr>
          <w:lang w:val="en-US"/>
        </w:rPr>
        <w:t xml:space="preserve"> Lisbon </w:t>
      </w:r>
      <w:r w:rsidR="00FC2637" w:rsidRPr="00661F5E">
        <w:rPr>
          <w:lang w:val="en-US"/>
        </w:rPr>
        <w:t xml:space="preserve">declaration and the adoption of </w:t>
      </w:r>
      <w:r w:rsidR="00FC2637" w:rsidRPr="00661F5E">
        <w:rPr>
          <w:i/>
          <w:lang w:val="en-US"/>
        </w:rPr>
        <w:t xml:space="preserve">lifelong learning </w:t>
      </w:r>
      <w:r w:rsidR="00FC2637" w:rsidRPr="00661F5E">
        <w:rPr>
          <w:lang w:val="en-US"/>
        </w:rPr>
        <w:t xml:space="preserve">as </w:t>
      </w:r>
      <w:r w:rsidR="00FC2637">
        <w:rPr>
          <w:lang w:val="en-US"/>
        </w:rPr>
        <w:t>a benchmark for education in the EU</w:t>
      </w:r>
      <w:r w:rsidR="00E46FFC">
        <w:rPr>
          <w:lang w:val="en-US"/>
        </w:rPr>
        <w:t xml:space="preserve"> in 2000</w:t>
      </w:r>
      <w:r w:rsidR="0059757D">
        <w:rPr>
          <w:lang w:val="en-US"/>
        </w:rPr>
        <w:t xml:space="preserve"> (European Parliament 2000)</w:t>
      </w:r>
      <w:r w:rsidR="00FC2637">
        <w:rPr>
          <w:lang w:val="en-US"/>
        </w:rPr>
        <w:t>.</w:t>
      </w:r>
      <w:r w:rsidR="0059757D">
        <w:rPr>
          <w:lang w:val="en-US"/>
        </w:rPr>
        <w:t xml:space="preserve"> It is stated that a</w:t>
      </w:r>
      <w:r w:rsidR="000F6350">
        <w:rPr>
          <w:lang w:val="en-US"/>
        </w:rPr>
        <w:t xml:space="preserve"> well-</w:t>
      </w:r>
      <w:r w:rsidR="00FC2637" w:rsidRPr="000233D9">
        <w:rPr>
          <w:lang w:val="en-US"/>
        </w:rPr>
        <w:t xml:space="preserve">educated population is essential in order to </w:t>
      </w:r>
      <w:r w:rsidR="0059757D">
        <w:rPr>
          <w:lang w:val="en-US"/>
        </w:rPr>
        <w:t xml:space="preserve">prepare the transition to a competitive, dynamic and knowledge-based economy, in order to </w:t>
      </w:r>
      <w:r w:rsidR="00FC2637" w:rsidRPr="000233D9">
        <w:rPr>
          <w:lang w:val="en-US"/>
        </w:rPr>
        <w:t xml:space="preserve">develop </w:t>
      </w:r>
      <w:r w:rsidR="000621D8">
        <w:rPr>
          <w:lang w:val="en-US"/>
        </w:rPr>
        <w:t xml:space="preserve">the </w:t>
      </w:r>
      <w:r w:rsidR="00FC2637" w:rsidRPr="000233D9">
        <w:rPr>
          <w:lang w:val="en-US"/>
        </w:rPr>
        <w:t xml:space="preserve">EU as the most competitive </w:t>
      </w:r>
      <w:r w:rsidR="000621D8" w:rsidRPr="000233D9">
        <w:rPr>
          <w:lang w:val="en-US"/>
        </w:rPr>
        <w:t>knowledge</w:t>
      </w:r>
      <w:r w:rsidR="000621D8">
        <w:rPr>
          <w:lang w:val="en-US"/>
        </w:rPr>
        <w:t>-</w:t>
      </w:r>
      <w:r w:rsidR="00FC2637">
        <w:rPr>
          <w:lang w:val="en-US"/>
        </w:rPr>
        <w:t xml:space="preserve">based </w:t>
      </w:r>
      <w:r w:rsidR="00FC2637" w:rsidRPr="000233D9">
        <w:rPr>
          <w:lang w:val="en-US"/>
        </w:rPr>
        <w:t xml:space="preserve">economy in the world (Rasmussen 2014). </w:t>
      </w:r>
      <w:r w:rsidR="00475985">
        <w:rPr>
          <w:lang w:val="en-US"/>
        </w:rPr>
        <w:t>A</w:t>
      </w:r>
      <w:r w:rsidR="0059757D">
        <w:rPr>
          <w:lang w:val="en-US"/>
        </w:rPr>
        <w:t>t this general level</w:t>
      </w:r>
      <w:r w:rsidR="000621D8">
        <w:rPr>
          <w:lang w:val="en-US"/>
        </w:rPr>
        <w:t>,</w:t>
      </w:r>
      <w:r w:rsidR="0059757D">
        <w:rPr>
          <w:lang w:val="en-US"/>
        </w:rPr>
        <w:t xml:space="preserve"> a </w:t>
      </w:r>
      <w:r w:rsidR="000621D8">
        <w:rPr>
          <w:lang w:val="en-US"/>
        </w:rPr>
        <w:t xml:space="preserve">close </w:t>
      </w:r>
      <w:r w:rsidR="0059757D">
        <w:rPr>
          <w:lang w:val="en-US"/>
        </w:rPr>
        <w:t xml:space="preserve">connection between economic growth for the EU and opportunities and equality for the individual citizen is established. </w:t>
      </w:r>
      <w:r w:rsidR="00FC2637">
        <w:rPr>
          <w:lang w:val="en-US"/>
        </w:rPr>
        <w:t xml:space="preserve">Opportunities to choose and complete an education and follow a </w:t>
      </w:r>
      <w:r w:rsidR="00475985">
        <w:rPr>
          <w:lang w:val="en-US"/>
        </w:rPr>
        <w:t>career</w:t>
      </w:r>
      <w:r w:rsidR="00FC2637">
        <w:rPr>
          <w:lang w:val="en-US"/>
        </w:rPr>
        <w:t xml:space="preserve"> can thus be seen as essential for</w:t>
      </w:r>
      <w:r w:rsidR="000621D8">
        <w:rPr>
          <w:lang w:val="en-US"/>
        </w:rPr>
        <w:t xml:space="preserve"> the</w:t>
      </w:r>
      <w:r w:rsidR="00FC2637">
        <w:rPr>
          <w:lang w:val="en-US"/>
        </w:rPr>
        <w:t xml:space="preserve"> </w:t>
      </w:r>
      <w:r w:rsidR="00475985">
        <w:rPr>
          <w:lang w:val="en-US"/>
        </w:rPr>
        <w:t xml:space="preserve">EU as a region </w:t>
      </w:r>
      <w:r w:rsidR="00FC2637">
        <w:rPr>
          <w:lang w:val="en-US"/>
        </w:rPr>
        <w:t xml:space="preserve">and support the </w:t>
      </w:r>
      <w:r w:rsidR="00FC2637" w:rsidRPr="00A03FBD">
        <w:rPr>
          <w:lang w:val="en-US"/>
        </w:rPr>
        <w:t>democr</w:t>
      </w:r>
      <w:r w:rsidR="00FC2637">
        <w:rPr>
          <w:lang w:val="en-US"/>
        </w:rPr>
        <w:t>atic spirit and the individual’s</w:t>
      </w:r>
      <w:r w:rsidR="00FC2637" w:rsidRPr="00A03FBD">
        <w:rPr>
          <w:lang w:val="en-US"/>
        </w:rPr>
        <w:t xml:space="preserve"> fundamental rights</w:t>
      </w:r>
      <w:r w:rsidR="00FC2637">
        <w:rPr>
          <w:lang w:val="en-US"/>
        </w:rPr>
        <w:t xml:space="preserve">. </w:t>
      </w:r>
      <w:r w:rsidR="00475985">
        <w:rPr>
          <w:lang w:val="en-US"/>
        </w:rPr>
        <w:t>However, at the moment</w:t>
      </w:r>
      <w:r w:rsidR="000621D8">
        <w:rPr>
          <w:lang w:val="en-US"/>
        </w:rPr>
        <w:t>,</w:t>
      </w:r>
      <w:r w:rsidR="007C7FF9">
        <w:rPr>
          <w:lang w:val="en-US"/>
        </w:rPr>
        <w:t xml:space="preserve"> </w:t>
      </w:r>
      <w:r w:rsidR="007C7FF9" w:rsidRPr="00422E7B">
        <w:rPr>
          <w:lang w:val="en-US"/>
        </w:rPr>
        <w:t xml:space="preserve">7.5 million young Europeans </w:t>
      </w:r>
      <w:r w:rsidR="000621D8">
        <w:rPr>
          <w:lang w:val="en-US"/>
        </w:rPr>
        <w:t xml:space="preserve">aged </w:t>
      </w:r>
      <w:r w:rsidR="007C7FF9" w:rsidRPr="00422E7B">
        <w:rPr>
          <w:lang w:val="en-US"/>
        </w:rPr>
        <w:t xml:space="preserve">between 15 and 24 are not employed, not in education </w:t>
      </w:r>
      <w:r w:rsidR="00BF160C">
        <w:rPr>
          <w:lang w:val="en-US"/>
        </w:rPr>
        <w:t>or</w:t>
      </w:r>
      <w:r w:rsidR="007C7FF9" w:rsidRPr="00422E7B">
        <w:rPr>
          <w:lang w:val="en-US"/>
        </w:rPr>
        <w:t xml:space="preserve"> training (NEETs)</w:t>
      </w:r>
      <w:r w:rsidR="007C7FF9">
        <w:rPr>
          <w:lang w:val="en-US"/>
        </w:rPr>
        <w:t xml:space="preserve">, which is about </w:t>
      </w:r>
      <w:r w:rsidR="00422E7B">
        <w:rPr>
          <w:lang w:val="en-US"/>
        </w:rPr>
        <w:t xml:space="preserve">13 % across the 28 member states (European Commission 2014b). </w:t>
      </w:r>
      <w:r w:rsidR="00FC2637">
        <w:rPr>
          <w:lang w:val="en-US"/>
        </w:rPr>
        <w:t xml:space="preserve">Therefore, </w:t>
      </w:r>
      <w:r w:rsidR="00422E7B">
        <w:rPr>
          <w:lang w:val="en-US"/>
        </w:rPr>
        <w:t xml:space="preserve">inclusion </w:t>
      </w:r>
      <w:r w:rsidR="000621D8">
        <w:rPr>
          <w:lang w:val="en-US"/>
        </w:rPr>
        <w:t xml:space="preserve">has been </w:t>
      </w:r>
      <w:r w:rsidR="00422E7B" w:rsidRPr="00A03FBD">
        <w:rPr>
          <w:lang w:val="en-US"/>
        </w:rPr>
        <w:t xml:space="preserve">articulated as a crucial element in many European countries </w:t>
      </w:r>
      <w:r w:rsidR="00422E7B">
        <w:rPr>
          <w:lang w:val="en-US"/>
        </w:rPr>
        <w:t xml:space="preserve">for </w:t>
      </w:r>
      <w:r w:rsidR="00B43CF1">
        <w:rPr>
          <w:lang w:val="en-US"/>
        </w:rPr>
        <w:t xml:space="preserve">primary and secondary educational institutions </w:t>
      </w:r>
      <w:r w:rsidR="00422E7B">
        <w:rPr>
          <w:lang w:val="en-US"/>
        </w:rPr>
        <w:t>as well as for higher education</w:t>
      </w:r>
      <w:r w:rsidR="00B43CF1">
        <w:rPr>
          <w:lang w:val="en-US"/>
        </w:rPr>
        <w:t xml:space="preserve"> where there is a focus on</w:t>
      </w:r>
      <w:r w:rsidR="00FC2637" w:rsidRPr="00A03FBD">
        <w:rPr>
          <w:lang w:val="en-US"/>
        </w:rPr>
        <w:t xml:space="preserve"> citizenship, democr</w:t>
      </w:r>
      <w:r w:rsidR="00FC2637">
        <w:rPr>
          <w:lang w:val="en-US"/>
        </w:rPr>
        <w:t>atic spirit and equal right</w:t>
      </w:r>
      <w:r w:rsidR="000621D8">
        <w:rPr>
          <w:lang w:val="en-US"/>
        </w:rPr>
        <w:t>s</w:t>
      </w:r>
      <w:r w:rsidR="00FC2637">
        <w:rPr>
          <w:lang w:val="en-US"/>
        </w:rPr>
        <w:t xml:space="preserve"> for all to learn and be educated</w:t>
      </w:r>
      <w:r w:rsidR="00FC2637" w:rsidRPr="00A03FBD">
        <w:rPr>
          <w:lang w:val="en-US"/>
        </w:rPr>
        <w:t>.</w:t>
      </w:r>
      <w:r w:rsidR="00FC2637">
        <w:rPr>
          <w:lang w:val="en-US"/>
        </w:rPr>
        <w:t xml:space="preserve"> With</w:t>
      </w:r>
      <w:r w:rsidR="00FC2637" w:rsidRPr="00314F7C">
        <w:rPr>
          <w:lang w:val="en-US"/>
        </w:rPr>
        <w:t xml:space="preserve"> the knowledge and </w:t>
      </w:r>
      <w:r w:rsidR="000621D8" w:rsidRPr="00314F7C">
        <w:rPr>
          <w:lang w:val="en-US"/>
        </w:rPr>
        <w:t>skil</w:t>
      </w:r>
      <w:r w:rsidR="000621D8">
        <w:rPr>
          <w:lang w:val="en-US"/>
        </w:rPr>
        <w:t>l-</w:t>
      </w:r>
      <w:r w:rsidR="00FC2637" w:rsidRPr="00314F7C">
        <w:rPr>
          <w:lang w:val="en-US"/>
        </w:rPr>
        <w:t xml:space="preserve">based </w:t>
      </w:r>
      <w:r w:rsidR="00FC2637">
        <w:rPr>
          <w:lang w:val="en-US"/>
        </w:rPr>
        <w:t xml:space="preserve">global economy and </w:t>
      </w:r>
      <w:r w:rsidR="00946519">
        <w:rPr>
          <w:lang w:val="en-US"/>
        </w:rPr>
        <w:t xml:space="preserve">the </w:t>
      </w:r>
      <w:r w:rsidR="00FC2637">
        <w:rPr>
          <w:lang w:val="en-US"/>
        </w:rPr>
        <w:t>democratic</w:t>
      </w:r>
      <w:r w:rsidR="000621D8">
        <w:rPr>
          <w:lang w:val="en-US"/>
        </w:rPr>
        <w:t xml:space="preserve"> </w:t>
      </w:r>
      <w:r w:rsidR="00FC2637">
        <w:rPr>
          <w:lang w:val="en-US"/>
        </w:rPr>
        <w:t>societies</w:t>
      </w:r>
      <w:r w:rsidR="000621D8">
        <w:rPr>
          <w:lang w:val="en-US"/>
        </w:rPr>
        <w:t>,</w:t>
      </w:r>
      <w:r w:rsidR="00FC2637">
        <w:rPr>
          <w:lang w:val="en-US"/>
        </w:rPr>
        <w:t xml:space="preserve"> it is therefore </w:t>
      </w:r>
      <w:r w:rsidR="000621D8">
        <w:rPr>
          <w:lang w:val="en-US"/>
        </w:rPr>
        <w:t xml:space="preserve">essential </w:t>
      </w:r>
      <w:r w:rsidR="00FC2637">
        <w:rPr>
          <w:lang w:val="en-US"/>
        </w:rPr>
        <w:t xml:space="preserve">to develop educational approaches and methods that include all youth, not least at the upper secondary educational level. </w:t>
      </w:r>
    </w:p>
    <w:p w14:paraId="2954143E" w14:textId="77777777" w:rsidR="00FC2637" w:rsidRPr="00990F94" w:rsidRDefault="00FC2637" w:rsidP="00FC2637">
      <w:pPr>
        <w:rPr>
          <w:lang w:val="en-US"/>
        </w:rPr>
      </w:pPr>
    </w:p>
    <w:p w14:paraId="1514331D" w14:textId="2AE6354F" w:rsidR="004C74B7" w:rsidRDefault="00FC2637" w:rsidP="0076763B">
      <w:pPr>
        <w:rPr>
          <w:lang w:val="en-US"/>
        </w:rPr>
      </w:pPr>
      <w:r>
        <w:rPr>
          <w:lang w:val="en-US"/>
        </w:rPr>
        <w:t>In Denmark</w:t>
      </w:r>
      <w:r w:rsidR="000621D8">
        <w:rPr>
          <w:lang w:val="en-US"/>
        </w:rPr>
        <w:t>,</w:t>
      </w:r>
      <w:r>
        <w:rPr>
          <w:lang w:val="en-US"/>
        </w:rPr>
        <w:t xml:space="preserve"> </w:t>
      </w:r>
      <w:r w:rsidR="0045588F">
        <w:rPr>
          <w:lang w:val="en-US"/>
        </w:rPr>
        <w:t>the</w:t>
      </w:r>
      <w:r>
        <w:rPr>
          <w:lang w:val="en-US"/>
        </w:rPr>
        <w:t xml:space="preserve"> central educational policy goal </w:t>
      </w:r>
      <w:r w:rsidR="000621D8">
        <w:rPr>
          <w:lang w:val="en-US"/>
        </w:rPr>
        <w:t xml:space="preserve">for </w:t>
      </w:r>
      <w:r>
        <w:rPr>
          <w:lang w:val="en-US"/>
        </w:rPr>
        <w:t xml:space="preserve">the last two decades </w:t>
      </w:r>
      <w:r w:rsidR="00A767BD">
        <w:rPr>
          <w:lang w:val="en-US"/>
        </w:rPr>
        <w:t xml:space="preserve">has been ‘education for all’. </w:t>
      </w:r>
      <w:r>
        <w:rPr>
          <w:lang w:val="en-US"/>
        </w:rPr>
        <w:t xml:space="preserve"> </w:t>
      </w:r>
      <w:r w:rsidRPr="00A03FBD">
        <w:rPr>
          <w:lang w:val="en-US"/>
        </w:rPr>
        <w:t xml:space="preserve">The official goal </w:t>
      </w:r>
      <w:r>
        <w:rPr>
          <w:lang w:val="en-US"/>
        </w:rPr>
        <w:t>is</w:t>
      </w:r>
      <w:r w:rsidR="00DC3A83">
        <w:rPr>
          <w:lang w:val="en-US"/>
        </w:rPr>
        <w:t xml:space="preserve"> </w:t>
      </w:r>
      <w:r w:rsidR="00A767BD">
        <w:rPr>
          <w:lang w:val="en-US"/>
        </w:rPr>
        <w:t>that by</w:t>
      </w:r>
      <w:r>
        <w:rPr>
          <w:lang w:val="en-US"/>
        </w:rPr>
        <w:t xml:space="preserve"> 2015</w:t>
      </w:r>
      <w:r w:rsidR="00C95BF7">
        <w:rPr>
          <w:lang w:val="en-US"/>
        </w:rPr>
        <w:t>,</w:t>
      </w:r>
      <w:r w:rsidR="00A767BD">
        <w:rPr>
          <w:lang w:val="en-US"/>
        </w:rPr>
        <w:t xml:space="preserve"> </w:t>
      </w:r>
      <w:r w:rsidR="00A767BD" w:rsidRPr="00A03FBD">
        <w:rPr>
          <w:lang w:val="en-US"/>
        </w:rPr>
        <w:t>95 p</w:t>
      </w:r>
      <w:r w:rsidR="00A767BD">
        <w:rPr>
          <w:lang w:val="en-US"/>
        </w:rPr>
        <w:t>ercent of a cohort should have completed at</w:t>
      </w:r>
      <w:r w:rsidRPr="00D316A3">
        <w:rPr>
          <w:lang w:val="en-US"/>
        </w:rPr>
        <w:t xml:space="preserve"> </w:t>
      </w:r>
      <w:r w:rsidR="00A767BD" w:rsidRPr="00A03FBD">
        <w:rPr>
          <w:lang w:val="en-US"/>
        </w:rPr>
        <w:t>least an upper secondary education</w:t>
      </w:r>
      <w:r w:rsidR="00A767BD">
        <w:rPr>
          <w:lang w:val="en-US"/>
        </w:rPr>
        <w:t>al</w:t>
      </w:r>
      <w:r w:rsidR="00A767BD" w:rsidRPr="00A03FBD">
        <w:rPr>
          <w:lang w:val="en-US"/>
        </w:rPr>
        <w:t xml:space="preserve"> degree</w:t>
      </w:r>
      <w:r w:rsidR="00A767BD">
        <w:rPr>
          <w:lang w:val="en-US"/>
        </w:rPr>
        <w:t xml:space="preserve"> </w:t>
      </w:r>
      <w:r>
        <w:rPr>
          <w:lang w:val="en-US"/>
        </w:rPr>
        <w:t>(Regeringen 2011)</w:t>
      </w:r>
      <w:r w:rsidRPr="00A03FBD">
        <w:rPr>
          <w:lang w:val="en-US"/>
        </w:rPr>
        <w:t xml:space="preserve">. </w:t>
      </w:r>
      <w:r>
        <w:rPr>
          <w:lang w:val="en-US"/>
        </w:rPr>
        <w:t xml:space="preserve">However, </w:t>
      </w:r>
      <w:r w:rsidRPr="00A03FBD">
        <w:rPr>
          <w:lang w:val="en-US"/>
        </w:rPr>
        <w:t>this</w:t>
      </w:r>
      <w:r>
        <w:rPr>
          <w:lang w:val="en-US"/>
        </w:rPr>
        <w:t xml:space="preserve"> goal</w:t>
      </w:r>
      <w:r w:rsidRPr="00A03FBD">
        <w:rPr>
          <w:lang w:val="en-US"/>
        </w:rPr>
        <w:t xml:space="preserve"> has proven very hard</w:t>
      </w:r>
      <w:r>
        <w:rPr>
          <w:lang w:val="en-US"/>
        </w:rPr>
        <w:t xml:space="preserve"> </w:t>
      </w:r>
      <w:r>
        <w:rPr>
          <w:lang w:val="en-US"/>
        </w:rPr>
        <w:lastRenderedPageBreak/>
        <w:t>to fulfill</w:t>
      </w:r>
      <w:r w:rsidR="00BF160C">
        <w:rPr>
          <w:lang w:val="en-US"/>
        </w:rPr>
        <w:t xml:space="preserve"> and </w:t>
      </w:r>
      <w:r>
        <w:rPr>
          <w:lang w:val="en-US"/>
        </w:rPr>
        <w:t xml:space="preserve">15-20 percent of each cohort </w:t>
      </w:r>
      <w:r w:rsidR="000621D8">
        <w:rPr>
          <w:lang w:val="en-US"/>
        </w:rPr>
        <w:t xml:space="preserve">are </w:t>
      </w:r>
      <w:r>
        <w:rPr>
          <w:lang w:val="en-US"/>
        </w:rPr>
        <w:t xml:space="preserve">still struggling to </w:t>
      </w:r>
      <w:r w:rsidR="00C95BF7">
        <w:rPr>
          <w:lang w:val="en-US"/>
        </w:rPr>
        <w:t xml:space="preserve">complete an </w:t>
      </w:r>
      <w:r>
        <w:rPr>
          <w:lang w:val="en-US"/>
        </w:rPr>
        <w:t xml:space="preserve">upper secondary </w:t>
      </w:r>
      <w:r w:rsidR="00C95BF7">
        <w:rPr>
          <w:lang w:val="en-US"/>
        </w:rPr>
        <w:t>education</w:t>
      </w:r>
      <w:r>
        <w:rPr>
          <w:lang w:val="en-US"/>
        </w:rPr>
        <w:t xml:space="preserve">. One challenge is to </w:t>
      </w:r>
      <w:r w:rsidRPr="00A03FBD">
        <w:rPr>
          <w:lang w:val="en-US"/>
        </w:rPr>
        <w:t xml:space="preserve">develop the system of secondary education in ways that overcome the present sharp </w:t>
      </w:r>
      <w:r>
        <w:rPr>
          <w:lang w:val="en-US"/>
        </w:rPr>
        <w:t xml:space="preserve">division between general/academic education on </w:t>
      </w:r>
      <w:r w:rsidR="000621D8">
        <w:rPr>
          <w:lang w:val="en-US"/>
        </w:rPr>
        <w:t xml:space="preserve">the </w:t>
      </w:r>
      <w:r>
        <w:rPr>
          <w:lang w:val="en-US"/>
        </w:rPr>
        <w:t>one side</w:t>
      </w:r>
      <w:r w:rsidR="000621D8">
        <w:rPr>
          <w:lang w:val="en-US"/>
        </w:rPr>
        <w:t>,</w:t>
      </w:r>
      <w:r>
        <w:rPr>
          <w:lang w:val="en-US"/>
        </w:rPr>
        <w:t xml:space="preserve"> and </w:t>
      </w:r>
      <w:r w:rsidRPr="00A03FBD">
        <w:rPr>
          <w:lang w:val="en-US"/>
        </w:rPr>
        <w:t xml:space="preserve">vocational </w:t>
      </w:r>
      <w:r>
        <w:rPr>
          <w:lang w:val="en-US"/>
        </w:rPr>
        <w:t>education and training (VET)</w:t>
      </w:r>
      <w:r w:rsidRPr="00C53CBF">
        <w:rPr>
          <w:lang w:val="en-US"/>
        </w:rPr>
        <w:t xml:space="preserve"> </w:t>
      </w:r>
      <w:r>
        <w:rPr>
          <w:lang w:val="en-US"/>
        </w:rPr>
        <w:t>on the other (Rasmussen &amp; Jensen 2014; Cort 2010; U</w:t>
      </w:r>
      <w:r w:rsidR="001A6654">
        <w:rPr>
          <w:lang w:val="en-US"/>
        </w:rPr>
        <w:t>ndervisningsministeriet</w:t>
      </w:r>
      <w:r>
        <w:rPr>
          <w:lang w:val="en-US"/>
        </w:rPr>
        <w:t xml:space="preserve"> 2014)</w:t>
      </w:r>
      <w:r w:rsidRPr="00A03FBD">
        <w:rPr>
          <w:lang w:val="en-US"/>
        </w:rPr>
        <w:t>.</w:t>
      </w:r>
      <w:r>
        <w:rPr>
          <w:lang w:val="en-US"/>
        </w:rPr>
        <w:t xml:space="preserve"> Another challenge is to develop pedagogical and methodological approaches </w:t>
      </w:r>
      <w:r w:rsidR="000621D8">
        <w:rPr>
          <w:lang w:val="en-US"/>
        </w:rPr>
        <w:t xml:space="preserve">at the </w:t>
      </w:r>
      <w:r>
        <w:rPr>
          <w:lang w:val="en-US"/>
        </w:rPr>
        <w:t xml:space="preserve">school and classroom level that can contribute to inclusion. This latter pedagogical and methodological challenge </w:t>
      </w:r>
      <w:r w:rsidR="000621D8">
        <w:rPr>
          <w:lang w:val="en-US"/>
        </w:rPr>
        <w:t>is</w:t>
      </w:r>
      <w:r>
        <w:rPr>
          <w:lang w:val="en-US"/>
        </w:rPr>
        <w:t xml:space="preserve"> addressed in this article. </w:t>
      </w:r>
    </w:p>
    <w:p w14:paraId="4546ECAD" w14:textId="77777777" w:rsidR="004C74B7" w:rsidRDefault="004C74B7" w:rsidP="0076763B">
      <w:pPr>
        <w:rPr>
          <w:lang w:val="en-US"/>
        </w:rPr>
      </w:pPr>
    </w:p>
    <w:p w14:paraId="28C724E7" w14:textId="7905B22B" w:rsidR="0070627D" w:rsidRPr="003976A1" w:rsidRDefault="00F10EFF" w:rsidP="0070627D">
      <w:pPr>
        <w:rPr>
          <w:lang w:val="en-US"/>
        </w:rPr>
      </w:pPr>
      <w:r>
        <w:rPr>
          <w:lang w:val="en-US"/>
        </w:rPr>
        <w:t>When addressing inclusion on a classroom level it can be important to distinguish between different factors</w:t>
      </w:r>
      <w:r w:rsidR="00B11B75">
        <w:rPr>
          <w:lang w:val="en-US"/>
        </w:rPr>
        <w:t xml:space="preserve"> </w:t>
      </w:r>
      <w:r w:rsidR="00546719">
        <w:rPr>
          <w:lang w:val="en-US"/>
        </w:rPr>
        <w:t>that can</w:t>
      </w:r>
      <w:r w:rsidR="00B11B75">
        <w:rPr>
          <w:lang w:val="en-US"/>
        </w:rPr>
        <w:t xml:space="preserve"> </w:t>
      </w:r>
      <w:r w:rsidR="00AF0334">
        <w:rPr>
          <w:lang w:val="en-US"/>
        </w:rPr>
        <w:t>lead to exclusion and the dropout or push out of students</w:t>
      </w:r>
      <w:r w:rsidR="00B11B75">
        <w:rPr>
          <w:lang w:val="en-US"/>
        </w:rPr>
        <w:t xml:space="preserve">. </w:t>
      </w:r>
      <w:r>
        <w:rPr>
          <w:lang w:val="en-US"/>
        </w:rPr>
        <w:t>Doll et al</w:t>
      </w:r>
      <w:r w:rsidR="00546719">
        <w:rPr>
          <w:lang w:val="en-US"/>
        </w:rPr>
        <w:t>.</w:t>
      </w:r>
      <w:r>
        <w:rPr>
          <w:lang w:val="en-US"/>
        </w:rPr>
        <w:t xml:space="preserve"> </w:t>
      </w:r>
      <w:r w:rsidR="00B11B75">
        <w:rPr>
          <w:lang w:val="en-US"/>
        </w:rPr>
        <w:t xml:space="preserve">(2013) </w:t>
      </w:r>
      <w:r>
        <w:rPr>
          <w:lang w:val="en-US"/>
        </w:rPr>
        <w:t xml:space="preserve">distinguishes between three </w:t>
      </w:r>
      <w:r w:rsidR="00546719">
        <w:rPr>
          <w:lang w:val="en-US"/>
        </w:rPr>
        <w:t>factors</w:t>
      </w:r>
      <w:r w:rsidR="00B11B75">
        <w:rPr>
          <w:lang w:val="en-US"/>
        </w:rPr>
        <w:t>: Pull, p</w:t>
      </w:r>
      <w:r>
        <w:rPr>
          <w:lang w:val="en-US"/>
        </w:rPr>
        <w:t>ush</w:t>
      </w:r>
      <w:r w:rsidR="00546719">
        <w:rPr>
          <w:lang w:val="en-US"/>
        </w:rPr>
        <w:t xml:space="preserve"> or</w:t>
      </w:r>
      <w:r w:rsidR="00B11B75">
        <w:rPr>
          <w:lang w:val="en-US"/>
        </w:rPr>
        <w:t xml:space="preserve"> falling out. </w:t>
      </w:r>
      <w:r w:rsidR="00AF0334">
        <w:rPr>
          <w:lang w:val="en-US"/>
        </w:rPr>
        <w:t xml:space="preserve"> </w:t>
      </w:r>
      <w:r w:rsidR="0070627D">
        <w:rPr>
          <w:lang w:val="en-US"/>
        </w:rPr>
        <w:t>Push out occurs when</w:t>
      </w:r>
      <w:r w:rsidR="0070627D" w:rsidRPr="004D58A3">
        <w:rPr>
          <w:lang w:val="en-US"/>
        </w:rPr>
        <w:t xml:space="preserve"> situations within the school environment lead </w:t>
      </w:r>
      <w:r w:rsidR="0070627D">
        <w:rPr>
          <w:lang w:val="en-US"/>
        </w:rPr>
        <w:t>to</w:t>
      </w:r>
      <w:r w:rsidR="0070627D" w:rsidRPr="004D58A3">
        <w:rPr>
          <w:lang w:val="en-US"/>
        </w:rPr>
        <w:t xml:space="preserve"> dropout. </w:t>
      </w:r>
      <w:r w:rsidR="0070627D">
        <w:rPr>
          <w:lang w:val="en-US"/>
        </w:rPr>
        <w:t>These situations can be understood as the student reactions according to structures in the learning environment. The reaction can lead to for instance low attendance rates, low motivation for learning and conflict with discipline policies</w:t>
      </w:r>
      <w:r w:rsidR="0070627D" w:rsidRPr="004D58A3">
        <w:rPr>
          <w:lang w:val="en-US"/>
        </w:rPr>
        <w:t>.</w:t>
      </w:r>
      <w:r w:rsidR="0070627D">
        <w:rPr>
          <w:lang w:val="en-US"/>
        </w:rPr>
        <w:t xml:space="preserve"> The pullout can occur when the environment outside of school becomes more present in the students life then studying. This could for instance be the matter if students have financial worries, are offered </w:t>
      </w:r>
      <w:r w:rsidR="0070627D" w:rsidRPr="004D58A3">
        <w:rPr>
          <w:lang w:val="en-US"/>
        </w:rPr>
        <w:t xml:space="preserve">employment, </w:t>
      </w:r>
      <w:r w:rsidR="0070627D">
        <w:rPr>
          <w:lang w:val="en-US"/>
        </w:rPr>
        <w:t>or experience f</w:t>
      </w:r>
      <w:r w:rsidR="0070627D" w:rsidRPr="004D58A3">
        <w:rPr>
          <w:lang w:val="en-US"/>
        </w:rPr>
        <w:t>amil</w:t>
      </w:r>
      <w:r w:rsidR="0070627D">
        <w:rPr>
          <w:lang w:val="en-US"/>
        </w:rPr>
        <w:t xml:space="preserve">y needs. </w:t>
      </w:r>
      <w:r w:rsidR="0070627D">
        <w:rPr>
          <w:bCs/>
          <w:lang w:val="en-US"/>
        </w:rPr>
        <w:t>The falling out</w:t>
      </w:r>
      <w:r w:rsidR="0070627D">
        <w:rPr>
          <w:lang w:val="en-US"/>
        </w:rPr>
        <w:t xml:space="preserve"> factor</w:t>
      </w:r>
      <w:r w:rsidR="0070627D" w:rsidRPr="004D58A3">
        <w:rPr>
          <w:lang w:val="en-US"/>
        </w:rPr>
        <w:t xml:space="preserve"> </w:t>
      </w:r>
      <w:r w:rsidR="0070627D">
        <w:rPr>
          <w:lang w:val="en-US"/>
        </w:rPr>
        <w:t xml:space="preserve">refers to the process where </w:t>
      </w:r>
      <w:r w:rsidR="0070627D" w:rsidRPr="00210B9D">
        <w:rPr>
          <w:lang w:val="en-US"/>
        </w:rPr>
        <w:t>student</w:t>
      </w:r>
      <w:r w:rsidR="0070627D">
        <w:rPr>
          <w:lang w:val="en-US"/>
        </w:rPr>
        <w:t>s don’</w:t>
      </w:r>
      <w:r w:rsidR="0070627D" w:rsidRPr="00210B9D">
        <w:rPr>
          <w:lang w:val="en-US"/>
        </w:rPr>
        <w:t xml:space="preserve">t show significant academic progress in </w:t>
      </w:r>
      <w:r w:rsidR="0070627D">
        <w:rPr>
          <w:lang w:val="en-US"/>
        </w:rPr>
        <w:t>th</w:t>
      </w:r>
      <w:r w:rsidR="00BF160C">
        <w:rPr>
          <w:lang w:val="en-US"/>
        </w:rPr>
        <w:t>eir</w:t>
      </w:r>
      <w:r w:rsidR="0070627D">
        <w:rPr>
          <w:lang w:val="en-US"/>
        </w:rPr>
        <w:t xml:space="preserve"> </w:t>
      </w:r>
      <w:r w:rsidR="0070627D" w:rsidRPr="00210B9D">
        <w:rPr>
          <w:lang w:val="en-US"/>
        </w:rPr>
        <w:t xml:space="preserve">schoolwork and </w:t>
      </w:r>
      <w:r w:rsidR="0070627D">
        <w:rPr>
          <w:lang w:val="en-US"/>
        </w:rPr>
        <w:t xml:space="preserve">they become apathetic or </w:t>
      </w:r>
      <w:r w:rsidR="0070627D" w:rsidRPr="00210B9D">
        <w:rPr>
          <w:lang w:val="en-US"/>
        </w:rPr>
        <w:t xml:space="preserve">disillusioned. </w:t>
      </w:r>
      <w:r w:rsidR="0070627D">
        <w:rPr>
          <w:lang w:val="en-US"/>
        </w:rPr>
        <w:t xml:space="preserve">This </w:t>
      </w:r>
      <w:r w:rsidR="0070627D" w:rsidRPr="004D58A3">
        <w:rPr>
          <w:lang w:val="en-US"/>
        </w:rPr>
        <w:t>is not necessarily an active decision,</w:t>
      </w:r>
      <w:r w:rsidR="0070627D">
        <w:rPr>
          <w:lang w:val="en-US"/>
        </w:rPr>
        <w:t xml:space="preserve"> from the student but is rather to be seen as a result of </w:t>
      </w:r>
      <w:r w:rsidR="0070627D" w:rsidRPr="004D58A3">
        <w:rPr>
          <w:lang w:val="en-US"/>
        </w:rPr>
        <w:t>insufficient personal and educational support</w:t>
      </w:r>
      <w:r w:rsidR="0070627D">
        <w:rPr>
          <w:lang w:val="en-US"/>
        </w:rPr>
        <w:t>.</w:t>
      </w:r>
    </w:p>
    <w:p w14:paraId="7ADF823D" w14:textId="77777777" w:rsidR="0070627D" w:rsidRDefault="0070627D" w:rsidP="00AF0334">
      <w:pPr>
        <w:rPr>
          <w:lang w:val="en-US"/>
        </w:rPr>
      </w:pPr>
    </w:p>
    <w:p w14:paraId="199951A9" w14:textId="4B4B3FCF" w:rsidR="0076763B" w:rsidRPr="002A24C7" w:rsidRDefault="00AF0334" w:rsidP="00AF0334">
      <w:pPr>
        <w:rPr>
          <w:lang w:val="en-GB"/>
        </w:rPr>
      </w:pPr>
      <w:r>
        <w:rPr>
          <w:lang w:val="en-US"/>
        </w:rPr>
        <w:t xml:space="preserve">The point to be taken here is that </w:t>
      </w:r>
      <w:r w:rsidR="0070627D">
        <w:rPr>
          <w:lang w:val="en-US"/>
        </w:rPr>
        <w:t>the students</w:t>
      </w:r>
      <w:r w:rsidR="00BF160C">
        <w:rPr>
          <w:lang w:val="en-US"/>
        </w:rPr>
        <w:t>’</w:t>
      </w:r>
      <w:r w:rsidR="0070627D">
        <w:rPr>
          <w:lang w:val="en-US"/>
        </w:rPr>
        <w:t xml:space="preserve"> academic </w:t>
      </w:r>
      <w:r w:rsidR="00546719">
        <w:rPr>
          <w:lang w:val="en-US"/>
        </w:rPr>
        <w:t>achievement</w:t>
      </w:r>
      <w:r w:rsidR="00152A54">
        <w:rPr>
          <w:lang w:val="en-US"/>
        </w:rPr>
        <w:t xml:space="preserve"> and school </w:t>
      </w:r>
      <w:r w:rsidR="00546719">
        <w:rPr>
          <w:lang w:val="en-US"/>
        </w:rPr>
        <w:t>completion</w:t>
      </w:r>
      <w:r w:rsidR="0070627D">
        <w:rPr>
          <w:lang w:val="en-US"/>
        </w:rPr>
        <w:t xml:space="preserve"> are more </w:t>
      </w:r>
      <w:r w:rsidR="00546719">
        <w:rPr>
          <w:lang w:val="en-US"/>
        </w:rPr>
        <w:t>than</w:t>
      </w:r>
      <w:r w:rsidR="0070627D">
        <w:rPr>
          <w:lang w:val="en-US"/>
        </w:rPr>
        <w:t xml:space="preserve"> just a result of </w:t>
      </w:r>
      <w:r w:rsidR="00546719">
        <w:rPr>
          <w:lang w:val="en-US"/>
        </w:rPr>
        <w:t>an</w:t>
      </w:r>
      <w:r w:rsidR="0070627D">
        <w:rPr>
          <w:lang w:val="en-US"/>
        </w:rPr>
        <w:t xml:space="preserve"> </w:t>
      </w:r>
      <w:r w:rsidR="00152A54">
        <w:rPr>
          <w:lang w:val="en-US"/>
        </w:rPr>
        <w:t xml:space="preserve">individual </w:t>
      </w:r>
      <w:r w:rsidR="00546719">
        <w:rPr>
          <w:lang w:val="en-US"/>
        </w:rPr>
        <w:t>choice</w:t>
      </w:r>
      <w:r w:rsidR="0070627D">
        <w:rPr>
          <w:lang w:val="en-US"/>
        </w:rPr>
        <w:t xml:space="preserve">. </w:t>
      </w:r>
      <w:r w:rsidR="00FC2637">
        <w:rPr>
          <w:lang w:val="en-US"/>
        </w:rPr>
        <w:t xml:space="preserve">We know that </w:t>
      </w:r>
      <w:r w:rsidR="00152A54">
        <w:rPr>
          <w:lang w:val="en-US"/>
        </w:rPr>
        <w:t>students that are at risk of not completing an upper secondary education are over</w:t>
      </w:r>
      <w:r w:rsidR="00546719">
        <w:rPr>
          <w:lang w:val="en-US"/>
        </w:rPr>
        <w:t xml:space="preserve">-represented </w:t>
      </w:r>
      <w:r w:rsidR="00152A54">
        <w:rPr>
          <w:lang w:val="en-US"/>
        </w:rPr>
        <w:t xml:space="preserve">by </w:t>
      </w:r>
      <w:r w:rsidR="00FC2637">
        <w:rPr>
          <w:lang w:val="en-US"/>
        </w:rPr>
        <w:t xml:space="preserve">young people </w:t>
      </w:r>
      <w:r w:rsidR="00FC2637" w:rsidRPr="00F579AC">
        <w:rPr>
          <w:lang w:val="en-US"/>
        </w:rPr>
        <w:t>with parents withou</w:t>
      </w:r>
      <w:r w:rsidR="00FC2637">
        <w:rPr>
          <w:lang w:val="en-US"/>
        </w:rPr>
        <w:t xml:space="preserve">t an upper secondary education, youth from low-income families and/or </w:t>
      </w:r>
      <w:r w:rsidR="00FC2637" w:rsidRPr="00F579AC">
        <w:rPr>
          <w:lang w:val="en-US"/>
        </w:rPr>
        <w:t>with so</w:t>
      </w:r>
      <w:r w:rsidR="00FC2637">
        <w:rPr>
          <w:lang w:val="en-US"/>
        </w:rPr>
        <w:t>me kind of immigrant background. Also</w:t>
      </w:r>
      <w:r w:rsidR="000621D8">
        <w:rPr>
          <w:lang w:val="en-US"/>
        </w:rPr>
        <w:t>,</w:t>
      </w:r>
      <w:r w:rsidR="00FC2637">
        <w:rPr>
          <w:lang w:val="en-US"/>
        </w:rPr>
        <w:t xml:space="preserve"> young people </w:t>
      </w:r>
      <w:r w:rsidR="000621D8">
        <w:rPr>
          <w:lang w:val="en-US"/>
        </w:rPr>
        <w:t>who were</w:t>
      </w:r>
      <w:r w:rsidR="00FC2637">
        <w:rPr>
          <w:lang w:val="en-US"/>
        </w:rPr>
        <w:t xml:space="preserve"> </w:t>
      </w:r>
      <w:r w:rsidR="00FC2637" w:rsidRPr="00F579AC">
        <w:rPr>
          <w:lang w:val="en-US"/>
        </w:rPr>
        <w:t xml:space="preserve">low achievers in primary </w:t>
      </w:r>
      <w:r w:rsidR="000621D8">
        <w:rPr>
          <w:lang w:val="en-US"/>
        </w:rPr>
        <w:t>school</w:t>
      </w:r>
      <w:r w:rsidR="00FC2637">
        <w:rPr>
          <w:lang w:val="en-US"/>
        </w:rPr>
        <w:t xml:space="preserve"> drop out of secondary education</w:t>
      </w:r>
      <w:r w:rsidR="000621D8" w:rsidRPr="000621D8">
        <w:rPr>
          <w:lang w:val="en-US"/>
        </w:rPr>
        <w:t xml:space="preserve"> </w:t>
      </w:r>
      <w:r w:rsidR="000621D8">
        <w:rPr>
          <w:lang w:val="en-US"/>
        </w:rPr>
        <w:t>more often than high achievers</w:t>
      </w:r>
      <w:r w:rsidR="00152A54">
        <w:rPr>
          <w:lang w:val="en-US"/>
        </w:rPr>
        <w:t xml:space="preserve"> (Jensen</w:t>
      </w:r>
      <w:r w:rsidR="00BF160C">
        <w:rPr>
          <w:lang w:val="en-US"/>
        </w:rPr>
        <w:t xml:space="preserve"> </w:t>
      </w:r>
      <w:r w:rsidR="00152A54">
        <w:rPr>
          <w:lang w:val="en-US"/>
        </w:rPr>
        <w:t>&amp;</w:t>
      </w:r>
      <w:r w:rsidR="00BF160C">
        <w:rPr>
          <w:lang w:val="en-US"/>
        </w:rPr>
        <w:t xml:space="preserve"> </w:t>
      </w:r>
      <w:r w:rsidR="00152A54">
        <w:rPr>
          <w:lang w:val="en-US"/>
        </w:rPr>
        <w:t>Jensen 2005)</w:t>
      </w:r>
      <w:r w:rsidR="00FC2637">
        <w:rPr>
          <w:lang w:val="en-US"/>
        </w:rPr>
        <w:t>.</w:t>
      </w:r>
      <w:r w:rsidR="00FC2637" w:rsidRPr="00532194">
        <w:rPr>
          <w:rFonts w:cs="Calibri"/>
          <w:lang w:val="en-US"/>
        </w:rPr>
        <w:t xml:space="preserve"> </w:t>
      </w:r>
      <w:r w:rsidR="00BA0C2D">
        <w:rPr>
          <w:rFonts w:cs="Calibri"/>
          <w:lang w:val="en-US"/>
        </w:rPr>
        <w:t>However,</w:t>
      </w:r>
      <w:r w:rsidR="00BF160C">
        <w:rPr>
          <w:rFonts w:cs="Calibri"/>
          <w:lang w:val="en-US"/>
        </w:rPr>
        <w:t xml:space="preserve"> </w:t>
      </w:r>
      <w:r w:rsidR="004B0121">
        <w:rPr>
          <w:rFonts w:cs="Calibri"/>
          <w:lang w:val="en-US"/>
        </w:rPr>
        <w:t xml:space="preserve">low </w:t>
      </w:r>
      <w:r w:rsidR="00546719">
        <w:rPr>
          <w:rFonts w:cs="Calibri"/>
          <w:lang w:val="en-US"/>
        </w:rPr>
        <w:t>achievement</w:t>
      </w:r>
      <w:r w:rsidR="00FC2637">
        <w:rPr>
          <w:rFonts w:cs="Calibri"/>
          <w:lang w:val="en-US"/>
        </w:rPr>
        <w:t xml:space="preserve"> is also the result of the </w:t>
      </w:r>
      <w:r w:rsidR="00FC2637" w:rsidRPr="00A03FBD">
        <w:rPr>
          <w:rFonts w:cs="Calibri"/>
          <w:lang w:val="en-US"/>
        </w:rPr>
        <w:t xml:space="preserve">characteristics of </w:t>
      </w:r>
      <w:r w:rsidR="00FC2637">
        <w:rPr>
          <w:rFonts w:cs="Calibri"/>
          <w:lang w:val="en-US"/>
        </w:rPr>
        <w:t>the school structures and routines – the learning environment (Rasmussen &amp; Jensen 2014)</w:t>
      </w:r>
      <w:r w:rsidR="00FC2637" w:rsidRPr="00A03FBD">
        <w:rPr>
          <w:rFonts w:cs="Calibri"/>
          <w:lang w:val="en-US"/>
        </w:rPr>
        <w:t>.</w:t>
      </w:r>
      <w:r w:rsidR="00FC2637">
        <w:rPr>
          <w:rFonts w:cs="Calibri"/>
          <w:lang w:val="en-US"/>
        </w:rPr>
        <w:t xml:space="preserve"> </w:t>
      </w:r>
      <w:r w:rsidR="00F22948">
        <w:rPr>
          <w:rFonts w:cs="Calibri"/>
          <w:lang w:val="en-US"/>
        </w:rPr>
        <w:t>On the level of concrete learning environments, which is the focus in this article, it is ac</w:t>
      </w:r>
      <w:r w:rsidR="00FC2637" w:rsidRPr="00792AB2">
        <w:rPr>
          <w:lang w:val="en-US"/>
        </w:rPr>
        <w:t>knowled</w:t>
      </w:r>
      <w:r w:rsidR="00F22948">
        <w:rPr>
          <w:lang w:val="en-US"/>
        </w:rPr>
        <w:t>ged</w:t>
      </w:r>
      <w:r w:rsidR="00FC2637">
        <w:rPr>
          <w:lang w:val="en-GB"/>
        </w:rPr>
        <w:t xml:space="preserve"> that the</w:t>
      </w:r>
      <w:r w:rsidR="00FC2637" w:rsidRPr="00411025">
        <w:rPr>
          <w:lang w:val="en-GB"/>
        </w:rPr>
        <w:t xml:space="preserve"> </w:t>
      </w:r>
      <w:r w:rsidR="00FC2637">
        <w:rPr>
          <w:lang w:val="en-GB"/>
        </w:rPr>
        <w:t xml:space="preserve">school and the </w:t>
      </w:r>
      <w:r w:rsidR="00FC2637" w:rsidRPr="00411025">
        <w:rPr>
          <w:lang w:val="en-GB"/>
        </w:rPr>
        <w:lastRenderedPageBreak/>
        <w:t>teachers</w:t>
      </w:r>
      <w:r w:rsidR="00FC2637">
        <w:rPr>
          <w:lang w:val="en-GB"/>
        </w:rPr>
        <w:t>’</w:t>
      </w:r>
      <w:r w:rsidR="00FC2637" w:rsidRPr="00411025">
        <w:rPr>
          <w:lang w:val="en-GB"/>
        </w:rPr>
        <w:t xml:space="preserve"> </w:t>
      </w:r>
      <w:r w:rsidR="00FC2637">
        <w:rPr>
          <w:lang w:val="en-GB"/>
        </w:rPr>
        <w:t>perceptions of</w:t>
      </w:r>
      <w:r w:rsidR="00FC2637" w:rsidRPr="00411025">
        <w:rPr>
          <w:lang w:val="en-GB"/>
        </w:rPr>
        <w:t xml:space="preserve"> </w:t>
      </w:r>
      <w:r w:rsidR="00FC2637">
        <w:rPr>
          <w:lang w:val="en-GB"/>
        </w:rPr>
        <w:t xml:space="preserve">the </w:t>
      </w:r>
      <w:r w:rsidR="00FC2637" w:rsidRPr="00411025">
        <w:rPr>
          <w:lang w:val="en-GB"/>
        </w:rPr>
        <w:t xml:space="preserve">students </w:t>
      </w:r>
      <w:r w:rsidR="00FC2637">
        <w:rPr>
          <w:lang w:val="en-GB"/>
        </w:rPr>
        <w:t>result in</w:t>
      </w:r>
      <w:r w:rsidR="00FC2637" w:rsidRPr="00411025">
        <w:rPr>
          <w:lang w:val="en-GB"/>
        </w:rPr>
        <w:t xml:space="preserve"> different opportunities and challenges </w:t>
      </w:r>
      <w:r w:rsidR="00BA0C2D">
        <w:rPr>
          <w:lang w:val="en-GB"/>
        </w:rPr>
        <w:t xml:space="preserve">for </w:t>
      </w:r>
      <w:r w:rsidR="00FC2637">
        <w:rPr>
          <w:lang w:val="en-GB"/>
        </w:rPr>
        <w:t>different students</w:t>
      </w:r>
      <w:r w:rsidR="00F22948">
        <w:rPr>
          <w:lang w:val="en-GB"/>
        </w:rPr>
        <w:t>. This</w:t>
      </w:r>
      <w:r w:rsidR="00FC2637">
        <w:rPr>
          <w:lang w:val="en-GB"/>
        </w:rPr>
        <w:t xml:space="preserve"> </w:t>
      </w:r>
      <w:r w:rsidR="00BA0C2D">
        <w:rPr>
          <w:lang w:val="en-GB"/>
        </w:rPr>
        <w:t xml:space="preserve">shifts </w:t>
      </w:r>
      <w:r w:rsidR="00FC2637">
        <w:rPr>
          <w:lang w:val="en-GB"/>
        </w:rPr>
        <w:t>the</w:t>
      </w:r>
      <w:r w:rsidR="00FC2637">
        <w:rPr>
          <w:lang w:val="en-US"/>
        </w:rPr>
        <w:t xml:space="preserve"> center of attention </w:t>
      </w:r>
      <w:r w:rsidR="00FC2637" w:rsidRPr="00411025">
        <w:rPr>
          <w:lang w:val="en-GB"/>
        </w:rPr>
        <w:t xml:space="preserve">away from an individualized and individualizing view </w:t>
      </w:r>
      <w:r w:rsidR="00BA0C2D">
        <w:rPr>
          <w:lang w:val="en-GB"/>
        </w:rPr>
        <w:t>of</w:t>
      </w:r>
      <w:r w:rsidR="00BA0C2D" w:rsidRPr="00411025">
        <w:rPr>
          <w:lang w:val="en-GB"/>
        </w:rPr>
        <w:t xml:space="preserve"> </w:t>
      </w:r>
      <w:r w:rsidR="00FC2637" w:rsidRPr="00411025">
        <w:rPr>
          <w:lang w:val="en-GB"/>
        </w:rPr>
        <w:t>student</w:t>
      </w:r>
      <w:r w:rsidR="00FC2637">
        <w:rPr>
          <w:lang w:val="en-GB"/>
        </w:rPr>
        <w:t xml:space="preserve">s. </w:t>
      </w:r>
      <w:r w:rsidR="00C64AA7">
        <w:rPr>
          <w:rFonts w:cs="Calibri"/>
          <w:lang w:val="en-US"/>
        </w:rPr>
        <w:t>Our</w:t>
      </w:r>
      <w:r w:rsidR="00FC2637">
        <w:rPr>
          <w:rFonts w:cs="Calibri"/>
          <w:lang w:val="en-US"/>
        </w:rPr>
        <w:t xml:space="preserve"> approach is to investigate the</w:t>
      </w:r>
      <w:r w:rsidR="00FC2637">
        <w:rPr>
          <w:lang w:val="en-US"/>
        </w:rPr>
        <w:t xml:space="preserve"> learning environments of schools </w:t>
      </w:r>
      <w:r w:rsidR="00FC2637">
        <w:rPr>
          <w:rFonts w:cs="Calibri"/>
          <w:lang w:val="en-US"/>
        </w:rPr>
        <w:t xml:space="preserve">and how schools can be enabled to overcome the </w:t>
      </w:r>
      <w:r w:rsidR="00C64AA7">
        <w:rPr>
          <w:rFonts w:cs="Calibri"/>
          <w:lang w:val="en-US"/>
        </w:rPr>
        <w:t>pull, push and falling out</w:t>
      </w:r>
      <w:r w:rsidR="00FC2637">
        <w:rPr>
          <w:rFonts w:cs="Calibri"/>
          <w:lang w:val="en-US"/>
        </w:rPr>
        <w:t xml:space="preserve"> tendencies and include students from all backgrounds. </w:t>
      </w:r>
      <w:r w:rsidR="004308B4">
        <w:rPr>
          <w:rFonts w:cs="Calibri"/>
          <w:lang w:val="en-US"/>
        </w:rPr>
        <w:t>Such a view move</w:t>
      </w:r>
      <w:r w:rsidR="00734F65">
        <w:rPr>
          <w:rFonts w:cs="Calibri"/>
          <w:lang w:val="en-US"/>
        </w:rPr>
        <w:t>s</w:t>
      </w:r>
      <w:r w:rsidR="004308B4">
        <w:rPr>
          <w:rFonts w:cs="Calibri"/>
          <w:lang w:val="en-US"/>
        </w:rPr>
        <w:t xml:space="preserve"> away from general benchmarks and tests</w:t>
      </w:r>
      <w:r w:rsidR="00E92D97">
        <w:rPr>
          <w:rFonts w:cs="Calibri"/>
          <w:lang w:val="en-US"/>
        </w:rPr>
        <w:t xml:space="preserve"> </w:t>
      </w:r>
      <w:r w:rsidR="004308B4">
        <w:rPr>
          <w:rFonts w:cs="Calibri"/>
          <w:lang w:val="en-US"/>
        </w:rPr>
        <w:t xml:space="preserve">as </w:t>
      </w:r>
      <w:r w:rsidR="00C93F1D">
        <w:rPr>
          <w:rFonts w:cs="Calibri"/>
          <w:lang w:val="en-US"/>
        </w:rPr>
        <w:t xml:space="preserve">the only </w:t>
      </w:r>
      <w:r w:rsidR="00BA0C2D">
        <w:rPr>
          <w:rFonts w:cs="Calibri"/>
          <w:lang w:val="en-US"/>
        </w:rPr>
        <w:t xml:space="preserve">measures of </w:t>
      </w:r>
      <w:r w:rsidR="004308B4">
        <w:rPr>
          <w:rFonts w:cs="Calibri"/>
          <w:lang w:val="en-US"/>
        </w:rPr>
        <w:t xml:space="preserve">quality in education </w:t>
      </w:r>
      <w:r w:rsidR="00C93F1D">
        <w:rPr>
          <w:rFonts w:cs="Calibri"/>
          <w:lang w:val="en-US"/>
        </w:rPr>
        <w:t>(Gorur 2014)</w:t>
      </w:r>
      <w:r w:rsidR="00C64AA7">
        <w:rPr>
          <w:rFonts w:cs="Calibri"/>
          <w:lang w:val="en-US"/>
        </w:rPr>
        <w:t xml:space="preserve">. </w:t>
      </w:r>
      <w:r w:rsidR="0076763B">
        <w:rPr>
          <w:lang w:val="en-US"/>
        </w:rPr>
        <w:t xml:space="preserve">In </w:t>
      </w:r>
      <w:r w:rsidR="00734F65">
        <w:rPr>
          <w:lang w:val="en-US"/>
        </w:rPr>
        <w:t xml:space="preserve">the </w:t>
      </w:r>
      <w:r w:rsidR="0076763B">
        <w:rPr>
          <w:lang w:val="en-US"/>
        </w:rPr>
        <w:t>following</w:t>
      </w:r>
      <w:r w:rsidR="00BA0C2D">
        <w:rPr>
          <w:lang w:val="en-US"/>
        </w:rPr>
        <w:t>,</w:t>
      </w:r>
      <w:r w:rsidR="0076763B">
        <w:rPr>
          <w:lang w:val="en-US"/>
        </w:rPr>
        <w:t xml:space="preserve"> we </w:t>
      </w:r>
      <w:r w:rsidR="00B57E2D">
        <w:rPr>
          <w:lang w:val="en-US"/>
        </w:rPr>
        <w:t>introduce the concept of IBE and then we will pres</w:t>
      </w:r>
      <w:r w:rsidR="00C64AA7">
        <w:rPr>
          <w:lang w:val="en-US"/>
        </w:rPr>
        <w:t>ent</w:t>
      </w:r>
      <w:r w:rsidR="0076763B">
        <w:rPr>
          <w:lang w:val="en-US"/>
        </w:rPr>
        <w:t xml:space="preserve"> two empirical case</w:t>
      </w:r>
      <w:r w:rsidR="002A24C7">
        <w:rPr>
          <w:lang w:val="en-US"/>
        </w:rPr>
        <w:t xml:space="preserve"> </w:t>
      </w:r>
      <w:r w:rsidR="00B57E2D">
        <w:rPr>
          <w:lang w:val="en-US"/>
        </w:rPr>
        <w:t>studies</w:t>
      </w:r>
      <w:r w:rsidR="0076763B">
        <w:rPr>
          <w:lang w:val="en-US"/>
        </w:rPr>
        <w:t>.</w:t>
      </w:r>
    </w:p>
    <w:p w14:paraId="29DE90A5" w14:textId="77777777" w:rsidR="0076763B" w:rsidRDefault="0076763B" w:rsidP="0076763B">
      <w:pPr>
        <w:pStyle w:val="Overskrift2"/>
        <w:rPr>
          <w:lang w:val="en-US"/>
        </w:rPr>
      </w:pPr>
      <w:r>
        <w:rPr>
          <w:lang w:val="en-US"/>
        </w:rPr>
        <w:t>Core ideas in Inquiry Based Education (IBE)</w:t>
      </w:r>
    </w:p>
    <w:p w14:paraId="5A79EFD6" w14:textId="77777777" w:rsidR="008368F8" w:rsidRDefault="0076763B" w:rsidP="0076763B">
      <w:pPr>
        <w:rPr>
          <w:lang w:val="en-US"/>
        </w:rPr>
      </w:pPr>
      <w:r>
        <w:rPr>
          <w:lang w:val="en-US"/>
        </w:rPr>
        <w:t>I</w:t>
      </w:r>
      <w:r w:rsidR="005E12B7">
        <w:rPr>
          <w:lang w:val="en-US"/>
        </w:rPr>
        <w:t>n order to</w:t>
      </w:r>
      <w:r>
        <w:rPr>
          <w:lang w:val="en-US"/>
        </w:rPr>
        <w:t xml:space="preserve"> </w:t>
      </w:r>
      <w:r w:rsidR="005E12B7">
        <w:rPr>
          <w:lang w:val="en-US"/>
        </w:rPr>
        <w:t xml:space="preserve">fulfill the goal of equality in education, IBE is addressed as a possible way of designing </w:t>
      </w:r>
      <w:r w:rsidR="00BA0C2D">
        <w:rPr>
          <w:lang w:val="en-US"/>
        </w:rPr>
        <w:t xml:space="preserve">inclusive </w:t>
      </w:r>
      <w:r w:rsidR="005E12B7">
        <w:rPr>
          <w:lang w:val="en-US"/>
        </w:rPr>
        <w:t xml:space="preserve">learning environments where all youth have a fair chance to succeed in becoming </w:t>
      </w:r>
      <w:r>
        <w:rPr>
          <w:lang w:val="en-US"/>
        </w:rPr>
        <w:t>democratic and innovative</w:t>
      </w:r>
      <w:r w:rsidR="005E12B7">
        <w:rPr>
          <w:lang w:val="en-US"/>
        </w:rPr>
        <w:t>. Therefore</w:t>
      </w:r>
      <w:r w:rsidR="00BA0C2D">
        <w:rPr>
          <w:lang w:val="en-US"/>
        </w:rPr>
        <w:t>,</w:t>
      </w:r>
      <w:r w:rsidR="005E12B7">
        <w:rPr>
          <w:lang w:val="en-US"/>
        </w:rPr>
        <w:t xml:space="preserve"> we start by</w:t>
      </w:r>
      <w:r>
        <w:rPr>
          <w:lang w:val="en-US"/>
        </w:rPr>
        <w:t xml:space="preserve"> (re)</w:t>
      </w:r>
      <w:r w:rsidR="005E12B7">
        <w:rPr>
          <w:lang w:val="en-US"/>
        </w:rPr>
        <w:t>examining</w:t>
      </w:r>
      <w:r>
        <w:rPr>
          <w:lang w:val="en-US"/>
        </w:rPr>
        <w:t xml:space="preserve"> the core ideas and theoretical roots of Inquiry Based Education.</w:t>
      </w:r>
      <w:r w:rsidRPr="00173C98">
        <w:rPr>
          <w:lang w:val="en-US"/>
        </w:rPr>
        <w:t xml:space="preserve"> </w:t>
      </w:r>
      <w:r>
        <w:rPr>
          <w:lang w:val="en-US"/>
        </w:rPr>
        <w:t>IBE is</w:t>
      </w:r>
      <w:r w:rsidRPr="00E958ED">
        <w:rPr>
          <w:lang w:val="en-US"/>
        </w:rPr>
        <w:t xml:space="preserve"> both a learning </w:t>
      </w:r>
      <w:r>
        <w:rPr>
          <w:lang w:val="en-US"/>
        </w:rPr>
        <w:t xml:space="preserve">approach </w:t>
      </w:r>
      <w:r w:rsidRPr="00E958ED">
        <w:rPr>
          <w:lang w:val="en-US"/>
        </w:rPr>
        <w:t>and a teaching methodology</w:t>
      </w:r>
      <w:r>
        <w:rPr>
          <w:lang w:val="en-US"/>
        </w:rPr>
        <w:t xml:space="preserve"> that can be seen as a constructivist response to traditional forms of instruction. It has </w:t>
      </w:r>
      <w:r w:rsidR="00BA0C2D">
        <w:rPr>
          <w:lang w:val="en-US"/>
        </w:rPr>
        <w:t xml:space="preserve">undergone </w:t>
      </w:r>
      <w:r>
        <w:rPr>
          <w:lang w:val="en-US"/>
        </w:rPr>
        <w:t>a revival in different educational settings (</w:t>
      </w:r>
      <w:r w:rsidR="004277D1">
        <w:rPr>
          <w:lang w:val="en-US"/>
        </w:rPr>
        <w:t>Stephenson 2012)</w:t>
      </w:r>
      <w:r>
        <w:rPr>
          <w:lang w:val="en-US"/>
        </w:rPr>
        <w:t>, and this actualizes the theoretical questions on how to understand learning in an IBE framework</w:t>
      </w:r>
      <w:r w:rsidR="00211B3D">
        <w:rPr>
          <w:lang w:val="en-US"/>
        </w:rPr>
        <w:t xml:space="preserve">. </w:t>
      </w:r>
    </w:p>
    <w:p w14:paraId="0A43353B" w14:textId="77777777" w:rsidR="008368F8" w:rsidRDefault="008368F8" w:rsidP="0076763B">
      <w:pPr>
        <w:rPr>
          <w:lang w:val="en-US"/>
        </w:rPr>
      </w:pPr>
    </w:p>
    <w:p w14:paraId="595104D1" w14:textId="12F2DE34" w:rsidR="00BA0C2D" w:rsidRDefault="0076763B" w:rsidP="0076763B">
      <w:pPr>
        <w:rPr>
          <w:lang w:val="en-US"/>
        </w:rPr>
      </w:pPr>
      <w:r>
        <w:rPr>
          <w:lang w:val="en-US"/>
        </w:rPr>
        <w:t>Theoretically</w:t>
      </w:r>
      <w:r w:rsidR="00BA0C2D">
        <w:rPr>
          <w:lang w:val="en-US"/>
        </w:rPr>
        <w:t>,</w:t>
      </w:r>
      <w:r>
        <w:rPr>
          <w:lang w:val="en-US"/>
        </w:rPr>
        <w:t xml:space="preserve"> </w:t>
      </w:r>
      <w:r w:rsidRPr="00173C98">
        <w:rPr>
          <w:lang w:val="en-US"/>
        </w:rPr>
        <w:t xml:space="preserve">IBE </w:t>
      </w:r>
      <w:r>
        <w:rPr>
          <w:lang w:val="en-US"/>
        </w:rPr>
        <w:t>i</w:t>
      </w:r>
      <w:r w:rsidRPr="00173C98">
        <w:rPr>
          <w:lang w:val="en-US"/>
        </w:rPr>
        <w:t xml:space="preserve">s strongly related to the work of Dewey </w:t>
      </w:r>
      <w:r w:rsidR="00470552">
        <w:rPr>
          <w:lang w:val="en-US"/>
        </w:rPr>
        <w:t>(</w:t>
      </w:r>
      <w:r w:rsidRPr="00173C98">
        <w:rPr>
          <w:lang w:val="en-US"/>
        </w:rPr>
        <w:t xml:space="preserve">and </w:t>
      </w:r>
      <w:r w:rsidR="00470552">
        <w:rPr>
          <w:lang w:val="en-US"/>
        </w:rPr>
        <w:t xml:space="preserve">Bruner) and to </w:t>
      </w:r>
      <w:r w:rsidRPr="00173C98">
        <w:rPr>
          <w:lang w:val="en-US"/>
        </w:rPr>
        <w:t>the notion of inquiry as a pedagogical concept. The core notion of IBE is to invite students to work with real life problems similar to how scientist</w:t>
      </w:r>
      <w:r w:rsidR="00BA0C2D">
        <w:rPr>
          <w:lang w:val="en-US"/>
        </w:rPr>
        <w:t>s</w:t>
      </w:r>
      <w:r w:rsidRPr="00173C98">
        <w:rPr>
          <w:lang w:val="en-US"/>
        </w:rPr>
        <w:t xml:space="preserve"> work. The philosophy underlying this notion is that</w:t>
      </w:r>
      <w:r w:rsidR="00BA0C2D">
        <w:rPr>
          <w:lang w:val="en-US"/>
        </w:rPr>
        <w:t>:</w:t>
      </w:r>
      <w:r w:rsidRPr="00173C98">
        <w:rPr>
          <w:lang w:val="en-US"/>
        </w:rPr>
        <w:t xml:space="preserve"> </w:t>
      </w:r>
    </w:p>
    <w:p w14:paraId="1432AE74" w14:textId="77777777" w:rsidR="00BA0C2D" w:rsidRDefault="00BA0C2D" w:rsidP="0076763B">
      <w:pPr>
        <w:rPr>
          <w:lang w:val="en-US"/>
        </w:rPr>
      </w:pPr>
    </w:p>
    <w:p w14:paraId="775B5A86" w14:textId="77777777" w:rsidR="00BA0C2D" w:rsidRDefault="0076763B" w:rsidP="0079424E">
      <w:pPr>
        <w:ind w:left="1077" w:right="1077"/>
        <w:rPr>
          <w:lang w:val="en-US"/>
        </w:rPr>
      </w:pPr>
      <w:r w:rsidRPr="00173C98">
        <w:rPr>
          <w:i/>
          <w:lang w:val="en-US"/>
        </w:rPr>
        <w:t xml:space="preserve">“… education should be for all, stimulate student’s interest for learning and cultivate their autonomy, aim at the formation of human beings able to play an active role in the development of societies, and reject traditional teaching practices focusing on instruction and drill </w:t>
      </w:r>
      <w:r w:rsidRPr="00173C98">
        <w:rPr>
          <w:lang w:val="en-US"/>
        </w:rPr>
        <w:t xml:space="preserve">(Artique &amp; Blomhøj 2013: 798). </w:t>
      </w:r>
    </w:p>
    <w:p w14:paraId="06ACC457" w14:textId="77777777" w:rsidR="0079424E" w:rsidRDefault="0079424E" w:rsidP="0079424E">
      <w:pPr>
        <w:ind w:left="1077" w:right="1077"/>
        <w:rPr>
          <w:lang w:val="en-US"/>
        </w:rPr>
      </w:pPr>
    </w:p>
    <w:p w14:paraId="2CF4E23F" w14:textId="0BA3A9DA" w:rsidR="0076763B" w:rsidRDefault="0076763B" w:rsidP="0076763B">
      <w:pPr>
        <w:rPr>
          <w:lang w:val="en-US"/>
        </w:rPr>
      </w:pPr>
      <w:r>
        <w:rPr>
          <w:lang w:val="en-US"/>
        </w:rPr>
        <w:t xml:space="preserve">This implies </w:t>
      </w:r>
      <w:r w:rsidRPr="0043249F">
        <w:rPr>
          <w:lang w:val="en-GB"/>
        </w:rPr>
        <w:t xml:space="preserve">an understanding of learning as taking place when participating in activities that allow for ‘learning by doing’ (Dewey </w:t>
      </w:r>
      <w:r w:rsidR="001A6654">
        <w:rPr>
          <w:lang w:val="en-GB"/>
        </w:rPr>
        <w:t>2007</w:t>
      </w:r>
      <w:r w:rsidR="008368F8">
        <w:rPr>
          <w:lang w:val="en-GB"/>
        </w:rPr>
        <w:t>;</w:t>
      </w:r>
      <w:r w:rsidR="002D2A17">
        <w:rPr>
          <w:lang w:val="en-GB"/>
        </w:rPr>
        <w:t xml:space="preserve"> Kilpatrick 1918</w:t>
      </w:r>
      <w:r w:rsidRPr="0043249F">
        <w:rPr>
          <w:lang w:val="en-GB"/>
        </w:rPr>
        <w:t>)</w:t>
      </w:r>
      <w:r>
        <w:rPr>
          <w:lang w:val="en-GB"/>
        </w:rPr>
        <w:t xml:space="preserve">. </w:t>
      </w:r>
      <w:r w:rsidRPr="00173C98">
        <w:rPr>
          <w:lang w:val="en-US"/>
        </w:rPr>
        <w:t xml:space="preserve">Thus, the philosophical foundation of IBE aims </w:t>
      </w:r>
      <w:r w:rsidR="00BA0C2D">
        <w:rPr>
          <w:lang w:val="en-US"/>
        </w:rPr>
        <w:t>to form</w:t>
      </w:r>
      <w:r w:rsidRPr="00173C98">
        <w:rPr>
          <w:lang w:val="en-US"/>
        </w:rPr>
        <w:t xml:space="preserve"> democratic competences and active citizenship. On a pedagogical level, it implies a blurring of the demarcation between teacher and student. It also implies a quite fundamental shift in the view </w:t>
      </w:r>
      <w:r w:rsidR="00BA0C2D">
        <w:rPr>
          <w:lang w:val="en-US"/>
        </w:rPr>
        <w:t>of</w:t>
      </w:r>
      <w:r w:rsidR="00BA0C2D" w:rsidRPr="00173C98">
        <w:rPr>
          <w:lang w:val="en-US"/>
        </w:rPr>
        <w:t xml:space="preserve"> </w:t>
      </w:r>
      <w:r w:rsidRPr="00173C98">
        <w:rPr>
          <w:lang w:val="en-US"/>
        </w:rPr>
        <w:t>knowledge as something that is transmitted from a teacher to a learner</w:t>
      </w:r>
      <w:r w:rsidR="00BA0C2D">
        <w:rPr>
          <w:lang w:val="en-US"/>
        </w:rPr>
        <w:t>,</w:t>
      </w:r>
      <w:r w:rsidRPr="00173C98">
        <w:rPr>
          <w:lang w:val="en-US"/>
        </w:rPr>
        <w:t xml:space="preserve"> to the view </w:t>
      </w:r>
      <w:r w:rsidRPr="00173C98">
        <w:rPr>
          <w:lang w:val="en-US"/>
        </w:rPr>
        <w:lastRenderedPageBreak/>
        <w:t>that</w:t>
      </w:r>
      <w:r w:rsidR="00BA0C2D">
        <w:rPr>
          <w:lang w:val="en-US"/>
        </w:rPr>
        <w:t>,</w:t>
      </w:r>
      <w:r w:rsidRPr="00173C98">
        <w:rPr>
          <w:lang w:val="en-US"/>
        </w:rPr>
        <w:t xml:space="preserve"> </w:t>
      </w:r>
      <w:r w:rsidR="00BA0C2D">
        <w:rPr>
          <w:lang w:val="en-US"/>
        </w:rPr>
        <w:t xml:space="preserve">fundamentally, </w:t>
      </w:r>
      <w:r w:rsidRPr="00173C98">
        <w:rPr>
          <w:lang w:val="en-US"/>
        </w:rPr>
        <w:t>knowledge is something that can be developed</w:t>
      </w:r>
      <w:r>
        <w:rPr>
          <w:lang w:val="en-US"/>
        </w:rPr>
        <w:t xml:space="preserve"> in communities</w:t>
      </w:r>
      <w:r w:rsidRPr="00173C98">
        <w:rPr>
          <w:lang w:val="en-US"/>
        </w:rPr>
        <w:t xml:space="preserve"> and is based on </w:t>
      </w:r>
      <w:r w:rsidR="00BA0C2D">
        <w:rPr>
          <w:lang w:val="en-US"/>
        </w:rPr>
        <w:t>thought</w:t>
      </w:r>
      <w:r w:rsidRPr="00173C98">
        <w:rPr>
          <w:lang w:val="en-US"/>
        </w:rPr>
        <w:t>, reflection, experimentation and science (Artique &amp; Blomhøj 2013: 799; Barrow 2006). In this way, inquiry means that the students must be engaged in scientific</w:t>
      </w:r>
      <w:r w:rsidR="00BA0C2D">
        <w:rPr>
          <w:lang w:val="en-US"/>
        </w:rPr>
        <w:t>ally-</w:t>
      </w:r>
      <w:r w:rsidRPr="00173C98">
        <w:rPr>
          <w:lang w:val="en-US"/>
        </w:rPr>
        <w:t>oriented questions</w:t>
      </w:r>
      <w:r w:rsidR="00485774">
        <w:rPr>
          <w:lang w:val="en-US"/>
        </w:rPr>
        <w:t>,</w:t>
      </w:r>
      <w:r w:rsidRPr="00173C98">
        <w:rPr>
          <w:lang w:val="en-US"/>
        </w:rPr>
        <w:t xml:space="preserve"> and that these questions must be of interest to the students in order </w:t>
      </w:r>
      <w:r>
        <w:rPr>
          <w:lang w:val="en-US"/>
        </w:rPr>
        <w:t xml:space="preserve">for them </w:t>
      </w:r>
      <w:r w:rsidRPr="00173C98">
        <w:rPr>
          <w:lang w:val="en-US"/>
        </w:rPr>
        <w:t xml:space="preserve">to develop ownership (Barrow 2016: 274). It follows that inquiry means both discovery and learning and implies both hands-on and </w:t>
      </w:r>
      <w:r w:rsidR="00485774">
        <w:rPr>
          <w:lang w:val="en-US"/>
        </w:rPr>
        <w:t>‘</w:t>
      </w:r>
      <w:r w:rsidRPr="00173C98">
        <w:rPr>
          <w:lang w:val="en-US"/>
        </w:rPr>
        <w:t>mind</w:t>
      </w:r>
      <w:r w:rsidR="00485774">
        <w:rPr>
          <w:lang w:val="en-US"/>
        </w:rPr>
        <w:t>s</w:t>
      </w:r>
      <w:r w:rsidRPr="00173C98">
        <w:rPr>
          <w:lang w:val="en-US"/>
        </w:rPr>
        <w:t>-on</w:t>
      </w:r>
      <w:r w:rsidR="00485774">
        <w:rPr>
          <w:lang w:val="en-US"/>
        </w:rPr>
        <w:t>’</w:t>
      </w:r>
      <w:r w:rsidRPr="00173C98">
        <w:rPr>
          <w:lang w:val="en-US"/>
        </w:rPr>
        <w:t xml:space="preserve"> </w:t>
      </w:r>
      <w:r w:rsidRPr="0043249F">
        <w:rPr>
          <w:lang w:val="en-US"/>
        </w:rPr>
        <w:t>and ‘research-based disposition’ towards teaching and learning</w:t>
      </w:r>
      <w:r>
        <w:rPr>
          <w:lang w:val="en-US"/>
        </w:rPr>
        <w:t xml:space="preserve"> (Wenger 1998</w:t>
      </w:r>
      <w:r w:rsidR="00BF160C">
        <w:rPr>
          <w:lang w:val="en-US"/>
        </w:rPr>
        <w:t>;</w:t>
      </w:r>
      <w:r>
        <w:rPr>
          <w:lang w:val="en-US"/>
        </w:rPr>
        <w:t xml:space="preserve"> Darling-Hammond 2004</w:t>
      </w:r>
      <w:r w:rsidR="00BF160C">
        <w:rPr>
          <w:lang w:val="en-US"/>
        </w:rPr>
        <w:t>;</w:t>
      </w:r>
      <w:r>
        <w:rPr>
          <w:lang w:val="en-US"/>
        </w:rPr>
        <w:t xml:space="preserve"> Hattie 20</w:t>
      </w:r>
      <w:r w:rsidR="00FA6DDE">
        <w:rPr>
          <w:lang w:val="en-US"/>
        </w:rPr>
        <w:t>05</w:t>
      </w:r>
      <w:r w:rsidR="00BF160C">
        <w:rPr>
          <w:lang w:val="en-US"/>
        </w:rPr>
        <w:t>;</w:t>
      </w:r>
      <w:r>
        <w:rPr>
          <w:lang w:val="en-US"/>
        </w:rPr>
        <w:t xml:space="preserve"> </w:t>
      </w:r>
      <w:r w:rsidRPr="007F0EE2">
        <w:rPr>
          <w:lang w:val="en-US"/>
        </w:rPr>
        <w:t>Stephenson</w:t>
      </w:r>
      <w:r>
        <w:rPr>
          <w:lang w:val="en-US"/>
        </w:rPr>
        <w:t xml:space="preserve"> 201</w:t>
      </w:r>
      <w:r w:rsidR="001A6654">
        <w:rPr>
          <w:lang w:val="en-US"/>
        </w:rPr>
        <w:t>2</w:t>
      </w:r>
      <w:r>
        <w:rPr>
          <w:lang w:val="en-US"/>
        </w:rPr>
        <w:t>)</w:t>
      </w:r>
      <w:r w:rsidRPr="0043249F">
        <w:rPr>
          <w:lang w:val="en-US"/>
        </w:rPr>
        <w:t xml:space="preserve">. </w:t>
      </w:r>
    </w:p>
    <w:p w14:paraId="49985DE8" w14:textId="77777777" w:rsidR="0076763B" w:rsidRDefault="0076763B" w:rsidP="0076763B">
      <w:pPr>
        <w:rPr>
          <w:lang w:val="en-US"/>
        </w:rPr>
      </w:pPr>
    </w:p>
    <w:p w14:paraId="75577102" w14:textId="789C03EE" w:rsidR="0076763B" w:rsidRDefault="0076763B" w:rsidP="0076763B">
      <w:pPr>
        <w:rPr>
          <w:lang w:val="en-US"/>
        </w:rPr>
      </w:pPr>
      <w:r>
        <w:rPr>
          <w:lang w:val="en-US"/>
        </w:rPr>
        <w:t xml:space="preserve">There </w:t>
      </w:r>
      <w:r w:rsidR="00485774">
        <w:rPr>
          <w:lang w:val="en-US"/>
        </w:rPr>
        <w:t>is</w:t>
      </w:r>
      <w:r>
        <w:rPr>
          <w:lang w:val="en-US"/>
        </w:rPr>
        <w:t xml:space="preserve"> a </w:t>
      </w:r>
      <w:r w:rsidR="00485774">
        <w:rPr>
          <w:lang w:val="en-US"/>
        </w:rPr>
        <w:t xml:space="preserve">close </w:t>
      </w:r>
      <w:r>
        <w:rPr>
          <w:lang w:val="en-US"/>
        </w:rPr>
        <w:t xml:space="preserve">connection to Lave &amp; Wenger’s understanding of learning as </w:t>
      </w:r>
      <w:r w:rsidR="00485774">
        <w:rPr>
          <w:lang w:val="en-US"/>
        </w:rPr>
        <w:t xml:space="preserve">being </w:t>
      </w:r>
      <w:r>
        <w:rPr>
          <w:lang w:val="en-US"/>
        </w:rPr>
        <w:t>fundamentally linked to participation in relevant and meaningful settings. According to Lave &amp; Wenger, learning is not just a cognitive process or the result of personal motivation</w:t>
      </w:r>
      <w:r w:rsidR="00485774">
        <w:rPr>
          <w:lang w:val="en-US"/>
        </w:rPr>
        <w:t>, it</w:t>
      </w:r>
      <w:r>
        <w:rPr>
          <w:lang w:val="en-US"/>
        </w:rPr>
        <w:t xml:space="preserve"> is </w:t>
      </w:r>
      <w:r w:rsidRPr="0043249F">
        <w:rPr>
          <w:lang w:val="en-GB"/>
        </w:rPr>
        <w:t>fundamentally linked to the social and cultural context</w:t>
      </w:r>
      <w:r>
        <w:rPr>
          <w:lang w:val="en-GB"/>
        </w:rPr>
        <w:t xml:space="preserve"> and </w:t>
      </w:r>
      <w:r w:rsidR="00485774">
        <w:rPr>
          <w:lang w:val="en-GB"/>
        </w:rPr>
        <w:t>they emphasise</w:t>
      </w:r>
      <w:r>
        <w:rPr>
          <w:lang w:val="en-GB"/>
        </w:rPr>
        <w:t xml:space="preserve"> that</w:t>
      </w:r>
      <w:r w:rsidRPr="0043249F">
        <w:rPr>
          <w:lang w:val="en-GB"/>
        </w:rPr>
        <w:t xml:space="preserve"> </w:t>
      </w:r>
      <w:r>
        <w:rPr>
          <w:lang w:val="en-GB"/>
        </w:rPr>
        <w:t xml:space="preserve">learning and </w:t>
      </w:r>
      <w:r w:rsidRPr="0043249F">
        <w:rPr>
          <w:lang w:val="en-GB"/>
        </w:rPr>
        <w:t>knowledge is situated within the community of practice (Lave &amp; Wenger 1991; Wenger 1998)</w:t>
      </w:r>
      <w:r>
        <w:rPr>
          <w:lang w:val="en-GB"/>
        </w:rPr>
        <w:t xml:space="preserve">. </w:t>
      </w:r>
      <w:r>
        <w:rPr>
          <w:lang w:val="en-US"/>
        </w:rPr>
        <w:t xml:space="preserve">The concept of IBE with its strong </w:t>
      </w:r>
      <w:r w:rsidR="00485774">
        <w:rPr>
          <w:lang w:val="en-US"/>
        </w:rPr>
        <w:t xml:space="preserve">connection </w:t>
      </w:r>
      <w:r>
        <w:rPr>
          <w:lang w:val="en-US"/>
        </w:rPr>
        <w:t xml:space="preserve">to Dewey and Lave &amp; Wenger allows us to move away from </w:t>
      </w:r>
      <w:r w:rsidR="00485774">
        <w:rPr>
          <w:lang w:val="en-US"/>
        </w:rPr>
        <w:t xml:space="preserve">the </w:t>
      </w:r>
      <w:r>
        <w:rPr>
          <w:lang w:val="en-US"/>
        </w:rPr>
        <w:t xml:space="preserve">view </w:t>
      </w:r>
      <w:r w:rsidR="00485774">
        <w:rPr>
          <w:lang w:val="en-US"/>
        </w:rPr>
        <w:t xml:space="preserve">of </w:t>
      </w:r>
      <w:r>
        <w:rPr>
          <w:lang w:val="en-US"/>
        </w:rPr>
        <w:t xml:space="preserve">learning as </w:t>
      </w:r>
      <w:r w:rsidR="00485774">
        <w:rPr>
          <w:lang w:val="en-US"/>
        </w:rPr>
        <w:t xml:space="preserve">being </w:t>
      </w:r>
      <w:r>
        <w:rPr>
          <w:lang w:val="en-US"/>
        </w:rPr>
        <w:t xml:space="preserve">a matter of </w:t>
      </w:r>
      <w:r w:rsidRPr="0043249F">
        <w:rPr>
          <w:lang w:val="en-US"/>
        </w:rPr>
        <w:t xml:space="preserve">what we </w:t>
      </w:r>
      <w:r>
        <w:rPr>
          <w:lang w:val="en-US"/>
        </w:rPr>
        <w:t xml:space="preserve">know, towards a view of learning as </w:t>
      </w:r>
      <w:r w:rsidR="00485774">
        <w:rPr>
          <w:lang w:val="en-US"/>
        </w:rPr>
        <w:t xml:space="preserve">being </w:t>
      </w:r>
      <w:r>
        <w:rPr>
          <w:lang w:val="en-US"/>
        </w:rPr>
        <w:t xml:space="preserve">a matter of what we </w:t>
      </w:r>
      <w:r w:rsidRPr="0043249F">
        <w:rPr>
          <w:lang w:val="en-US"/>
        </w:rPr>
        <w:t xml:space="preserve">are able to do with knowledge </w:t>
      </w:r>
      <w:r>
        <w:rPr>
          <w:lang w:val="en-US"/>
        </w:rPr>
        <w:t>in different contexts</w:t>
      </w:r>
      <w:r w:rsidR="00A07674">
        <w:rPr>
          <w:rStyle w:val="Fodnotehenvisning"/>
          <w:lang w:val="en-US"/>
        </w:rPr>
        <w:footnoteReference w:id="2"/>
      </w:r>
      <w:r>
        <w:rPr>
          <w:lang w:val="en-US"/>
        </w:rPr>
        <w:t xml:space="preserve"> and how to create inclusive learning environments.</w:t>
      </w:r>
      <w:r w:rsidRPr="008C10B8">
        <w:rPr>
          <w:rFonts w:ascii="Helvetica Neue Light" w:hAnsi="Helvetica Neue Light" w:cs="Helvetica Neue Light"/>
          <w:sz w:val="28"/>
          <w:szCs w:val="28"/>
          <w:lang w:val="en-US"/>
        </w:rPr>
        <w:t xml:space="preserve"> </w:t>
      </w:r>
    </w:p>
    <w:p w14:paraId="369750DD" w14:textId="77777777" w:rsidR="0076763B" w:rsidRDefault="0076763B" w:rsidP="0076763B">
      <w:pPr>
        <w:rPr>
          <w:lang w:val="en-US"/>
        </w:rPr>
      </w:pPr>
    </w:p>
    <w:p w14:paraId="0F5E91B7" w14:textId="73301EBA" w:rsidR="0076763B" w:rsidRDefault="00FC2AEF" w:rsidP="0076763B">
      <w:pPr>
        <w:rPr>
          <w:lang w:val="en-US"/>
        </w:rPr>
      </w:pPr>
      <w:r>
        <w:rPr>
          <w:lang w:val="en-US"/>
        </w:rPr>
        <w:t>B</w:t>
      </w:r>
      <w:r w:rsidR="0076763B">
        <w:rPr>
          <w:lang w:val="en-US"/>
        </w:rPr>
        <w:t>ased on the work of Dewey</w:t>
      </w:r>
      <w:r w:rsidR="0076763B" w:rsidRPr="00173C98">
        <w:rPr>
          <w:lang w:val="en-US"/>
        </w:rPr>
        <w:t xml:space="preserve">, the core educational question in IBE becomes a question about what types of activities </w:t>
      </w:r>
      <w:r w:rsidR="0079424E">
        <w:rPr>
          <w:lang w:val="en-US"/>
        </w:rPr>
        <w:t>i</w:t>
      </w:r>
      <w:r w:rsidR="00485774">
        <w:rPr>
          <w:lang w:val="en-US"/>
        </w:rPr>
        <w:t xml:space="preserve">n which </w:t>
      </w:r>
      <w:r w:rsidR="0076763B" w:rsidRPr="00173C98">
        <w:rPr>
          <w:lang w:val="en-US"/>
        </w:rPr>
        <w:t xml:space="preserve">the students should </w:t>
      </w:r>
      <w:r w:rsidR="00485774">
        <w:rPr>
          <w:lang w:val="en-US"/>
        </w:rPr>
        <w:t xml:space="preserve">be </w:t>
      </w:r>
      <w:r w:rsidR="0076763B" w:rsidRPr="00173C98">
        <w:rPr>
          <w:lang w:val="en-US"/>
        </w:rPr>
        <w:t>engage</w:t>
      </w:r>
      <w:r w:rsidR="00485774">
        <w:rPr>
          <w:lang w:val="en-US"/>
        </w:rPr>
        <w:t>d</w:t>
      </w:r>
      <w:r w:rsidR="0076763B" w:rsidRPr="00173C98">
        <w:rPr>
          <w:lang w:val="en-US"/>
        </w:rPr>
        <w:t xml:space="preserve"> in order to acquire and develop scientific knowled</w:t>
      </w:r>
      <w:r w:rsidR="0076763B">
        <w:rPr>
          <w:lang w:val="en-US"/>
        </w:rPr>
        <w:t>ge</w:t>
      </w:r>
      <w:r w:rsidR="00753E0D">
        <w:rPr>
          <w:lang w:val="en-US"/>
        </w:rPr>
        <w:t xml:space="preserve"> and </w:t>
      </w:r>
      <w:r w:rsidR="0076763B">
        <w:rPr>
          <w:lang w:val="en-US"/>
        </w:rPr>
        <w:t xml:space="preserve">democratic </w:t>
      </w:r>
      <w:r w:rsidR="0079424E">
        <w:rPr>
          <w:lang w:val="en-US"/>
        </w:rPr>
        <w:t>education</w:t>
      </w:r>
      <w:r w:rsidR="0076763B" w:rsidRPr="00FC2AEF">
        <w:rPr>
          <w:lang w:val="en-US"/>
        </w:rPr>
        <w:t>.</w:t>
      </w:r>
      <w:r w:rsidR="0076763B">
        <w:rPr>
          <w:lang w:val="en-US"/>
        </w:rPr>
        <w:t xml:space="preserve"> Based on the work of Lave &amp; Wenger, it bec</w:t>
      </w:r>
      <w:r w:rsidR="00DA6A23">
        <w:rPr>
          <w:lang w:val="en-US"/>
        </w:rPr>
        <w:t>omes essential that student</w:t>
      </w:r>
      <w:r w:rsidR="00983398">
        <w:rPr>
          <w:lang w:val="en-US"/>
        </w:rPr>
        <w:t>s are</w:t>
      </w:r>
      <w:r w:rsidR="0076763B">
        <w:rPr>
          <w:lang w:val="en-US"/>
        </w:rPr>
        <w:t xml:space="preserve"> </w:t>
      </w:r>
      <w:r w:rsidR="0076763B" w:rsidRPr="00173C98">
        <w:rPr>
          <w:lang w:val="en-US"/>
        </w:rPr>
        <w:t xml:space="preserve">invited to participate meaningfully </w:t>
      </w:r>
      <w:r w:rsidR="009A134D" w:rsidRPr="00173C98">
        <w:rPr>
          <w:lang w:val="en-US"/>
        </w:rPr>
        <w:t xml:space="preserve">as knowledge </w:t>
      </w:r>
      <w:r w:rsidR="009A134D">
        <w:rPr>
          <w:lang w:val="en-US"/>
        </w:rPr>
        <w:t xml:space="preserve">producers </w:t>
      </w:r>
      <w:r w:rsidR="0076763B" w:rsidRPr="00173C98">
        <w:rPr>
          <w:lang w:val="en-US"/>
        </w:rPr>
        <w:t>in activities rather than being pacified as k</w:t>
      </w:r>
      <w:r w:rsidR="00DA6A23">
        <w:rPr>
          <w:lang w:val="en-US"/>
        </w:rPr>
        <w:t>nowledge receiver</w:t>
      </w:r>
      <w:r w:rsidR="00983398">
        <w:rPr>
          <w:lang w:val="en-US"/>
        </w:rPr>
        <w:t>s</w:t>
      </w:r>
      <w:r w:rsidR="0076763B">
        <w:rPr>
          <w:lang w:val="en-US"/>
        </w:rPr>
        <w:t xml:space="preserve">. </w:t>
      </w:r>
      <w:r w:rsidR="00752529">
        <w:rPr>
          <w:lang w:val="en-US"/>
        </w:rPr>
        <w:t>In this sense receiving and producing represents different levels of knowledge, also relating to the learning process of the student going from novice to expert (Lave &amp; Wenger 1991). However, a</w:t>
      </w:r>
      <w:r w:rsidR="009A134D">
        <w:rPr>
          <w:lang w:val="en-US"/>
        </w:rPr>
        <w:t>dopting</w:t>
      </w:r>
      <w:r w:rsidR="0076763B">
        <w:rPr>
          <w:lang w:val="en-US"/>
        </w:rPr>
        <w:t xml:space="preserve"> an equality perspective implies that all students </w:t>
      </w:r>
      <w:r w:rsidR="00546719">
        <w:rPr>
          <w:lang w:val="en-US"/>
        </w:rPr>
        <w:t>are</w:t>
      </w:r>
      <w:r w:rsidR="00752529">
        <w:rPr>
          <w:lang w:val="en-US"/>
        </w:rPr>
        <w:t xml:space="preserve"> made to </w:t>
      </w:r>
      <w:r w:rsidR="009A134D">
        <w:rPr>
          <w:lang w:val="en-US"/>
        </w:rPr>
        <w:t xml:space="preserve">feel </w:t>
      </w:r>
      <w:r w:rsidR="0076763B">
        <w:rPr>
          <w:lang w:val="en-US"/>
        </w:rPr>
        <w:t xml:space="preserve">that they are </w:t>
      </w:r>
      <w:r w:rsidR="00546719">
        <w:rPr>
          <w:lang w:val="en-US"/>
        </w:rPr>
        <w:t>having</w:t>
      </w:r>
      <w:r w:rsidR="00F565E3">
        <w:rPr>
          <w:lang w:val="en-US"/>
        </w:rPr>
        <w:t xml:space="preserve"> </w:t>
      </w:r>
      <w:r w:rsidR="0076763B">
        <w:rPr>
          <w:lang w:val="en-US"/>
        </w:rPr>
        <w:t xml:space="preserve">given </w:t>
      </w:r>
      <w:r w:rsidR="009A134D">
        <w:rPr>
          <w:lang w:val="en-US"/>
        </w:rPr>
        <w:t xml:space="preserve">the opportunity </w:t>
      </w:r>
      <w:r w:rsidR="0076763B">
        <w:rPr>
          <w:lang w:val="en-US"/>
        </w:rPr>
        <w:t>to participate in the community of practice. Thus, IBE</w:t>
      </w:r>
      <w:r w:rsidR="0076763B" w:rsidRPr="00173C98">
        <w:rPr>
          <w:lang w:val="en-US"/>
        </w:rPr>
        <w:t xml:space="preserve"> </w:t>
      </w:r>
      <w:r w:rsidR="0076763B">
        <w:rPr>
          <w:lang w:val="en-US"/>
        </w:rPr>
        <w:t>requires</w:t>
      </w:r>
      <w:r w:rsidR="0076763B" w:rsidRPr="00173C98">
        <w:rPr>
          <w:lang w:val="en-US"/>
        </w:rPr>
        <w:t xml:space="preserve"> </w:t>
      </w:r>
      <w:r w:rsidR="0076763B">
        <w:rPr>
          <w:lang w:val="en-US"/>
        </w:rPr>
        <w:t>that t</w:t>
      </w:r>
      <w:r w:rsidR="0076763B" w:rsidRPr="00173C98">
        <w:rPr>
          <w:lang w:val="en-US"/>
        </w:rPr>
        <w:t xml:space="preserve">he teacher </w:t>
      </w:r>
      <w:r w:rsidR="0076763B">
        <w:rPr>
          <w:lang w:val="en-US"/>
        </w:rPr>
        <w:t>takes responsibility</w:t>
      </w:r>
      <w:r w:rsidR="0076763B" w:rsidRPr="00173C98">
        <w:rPr>
          <w:lang w:val="en-US"/>
        </w:rPr>
        <w:t xml:space="preserve"> for creating a </w:t>
      </w:r>
      <w:r w:rsidR="0076763B">
        <w:rPr>
          <w:lang w:val="en-US"/>
        </w:rPr>
        <w:t xml:space="preserve">learning </w:t>
      </w:r>
      <w:r w:rsidR="0076763B" w:rsidRPr="00173C98">
        <w:rPr>
          <w:lang w:val="en-US"/>
        </w:rPr>
        <w:t xml:space="preserve">environment </w:t>
      </w:r>
      <w:r w:rsidR="0076763B">
        <w:rPr>
          <w:lang w:val="en-US"/>
        </w:rPr>
        <w:t xml:space="preserve">where </w:t>
      </w:r>
      <w:r w:rsidR="0076763B" w:rsidRPr="00173C98">
        <w:rPr>
          <w:lang w:val="en-US"/>
        </w:rPr>
        <w:t>activities</w:t>
      </w:r>
      <w:r w:rsidR="0076763B">
        <w:rPr>
          <w:lang w:val="en-US"/>
        </w:rPr>
        <w:t xml:space="preserve"> are organized</w:t>
      </w:r>
      <w:r w:rsidR="0076763B" w:rsidRPr="00173C98">
        <w:rPr>
          <w:lang w:val="en-US"/>
        </w:rPr>
        <w:t xml:space="preserve"> with appropriate challenges to support and spur the </w:t>
      </w:r>
      <w:r w:rsidR="0076763B">
        <w:rPr>
          <w:lang w:val="en-US"/>
        </w:rPr>
        <w:t xml:space="preserve">individual </w:t>
      </w:r>
      <w:r w:rsidR="009A134D">
        <w:rPr>
          <w:lang w:val="en-US"/>
        </w:rPr>
        <w:t>student’s</w:t>
      </w:r>
      <w:r w:rsidR="009A134D" w:rsidRPr="00173C98">
        <w:rPr>
          <w:lang w:val="en-US"/>
        </w:rPr>
        <w:t xml:space="preserve"> </w:t>
      </w:r>
      <w:r w:rsidR="0076763B">
        <w:rPr>
          <w:lang w:val="en-US"/>
        </w:rPr>
        <w:t xml:space="preserve">motivation for </w:t>
      </w:r>
      <w:r w:rsidR="0076763B" w:rsidRPr="00173C98">
        <w:rPr>
          <w:lang w:val="en-US"/>
        </w:rPr>
        <w:t>discovery and inquiry</w:t>
      </w:r>
      <w:r w:rsidR="0076763B">
        <w:rPr>
          <w:lang w:val="en-US"/>
        </w:rPr>
        <w:t xml:space="preserve"> in a shared community</w:t>
      </w:r>
      <w:r w:rsidR="0076763B" w:rsidRPr="00173C98">
        <w:rPr>
          <w:lang w:val="en-US"/>
        </w:rPr>
        <w:t xml:space="preserve">. </w:t>
      </w:r>
      <w:r w:rsidR="0076763B">
        <w:rPr>
          <w:lang w:val="en-US"/>
        </w:rPr>
        <w:t>T</w:t>
      </w:r>
      <w:r w:rsidR="0076763B" w:rsidRPr="00173C98">
        <w:rPr>
          <w:lang w:val="en-US"/>
        </w:rPr>
        <w:t xml:space="preserve">his </w:t>
      </w:r>
      <w:r w:rsidR="0076763B">
        <w:rPr>
          <w:lang w:val="en-US"/>
        </w:rPr>
        <w:t xml:space="preserve">also </w:t>
      </w:r>
      <w:r w:rsidR="008D1BFE">
        <w:rPr>
          <w:lang w:val="en-US"/>
        </w:rPr>
        <w:t>means that</w:t>
      </w:r>
      <w:r w:rsidR="0076763B" w:rsidRPr="00173C98">
        <w:rPr>
          <w:lang w:val="en-US"/>
        </w:rPr>
        <w:t xml:space="preserve"> students </w:t>
      </w:r>
      <w:r w:rsidR="008D1BFE">
        <w:rPr>
          <w:lang w:val="en-US"/>
        </w:rPr>
        <w:t xml:space="preserve">are expected </w:t>
      </w:r>
      <w:r w:rsidR="0076763B" w:rsidRPr="00173C98">
        <w:rPr>
          <w:lang w:val="en-US"/>
        </w:rPr>
        <w:t xml:space="preserve">to </w:t>
      </w:r>
      <w:r w:rsidR="008D1BFE">
        <w:rPr>
          <w:lang w:val="en-US"/>
        </w:rPr>
        <w:t>participate actively</w:t>
      </w:r>
      <w:r w:rsidR="0076763B" w:rsidRPr="00173C98">
        <w:rPr>
          <w:lang w:val="en-US"/>
        </w:rPr>
        <w:t xml:space="preserve"> </w:t>
      </w:r>
      <w:r w:rsidR="0076763B">
        <w:rPr>
          <w:lang w:val="en-US"/>
        </w:rPr>
        <w:t xml:space="preserve">in studying and learning by </w:t>
      </w:r>
      <w:r w:rsidR="008D1BFE">
        <w:rPr>
          <w:lang w:val="en-US"/>
        </w:rPr>
        <w:t>conducting</w:t>
      </w:r>
      <w:r w:rsidR="008D1BFE" w:rsidRPr="00173C98">
        <w:rPr>
          <w:lang w:val="en-US"/>
        </w:rPr>
        <w:t xml:space="preserve"> </w:t>
      </w:r>
      <w:r w:rsidR="0076763B" w:rsidRPr="00173C98">
        <w:rPr>
          <w:lang w:val="en-US"/>
        </w:rPr>
        <w:lastRenderedPageBreak/>
        <w:t>their own inquiries</w:t>
      </w:r>
      <w:r w:rsidR="008D1BFE">
        <w:rPr>
          <w:lang w:val="en-US"/>
        </w:rPr>
        <w:t>, thereby</w:t>
      </w:r>
      <w:r w:rsidR="0076763B" w:rsidRPr="00173C98">
        <w:rPr>
          <w:lang w:val="en-US"/>
        </w:rPr>
        <w:t xml:space="preserve"> be</w:t>
      </w:r>
      <w:r w:rsidR="0076763B">
        <w:rPr>
          <w:lang w:val="en-US"/>
        </w:rPr>
        <w:t xml:space="preserve">coming partly </w:t>
      </w:r>
      <w:r w:rsidR="0076763B" w:rsidRPr="00173C98">
        <w:rPr>
          <w:lang w:val="en-US"/>
        </w:rPr>
        <w:t>responsi</w:t>
      </w:r>
      <w:r w:rsidR="0076763B">
        <w:rPr>
          <w:lang w:val="en-US"/>
        </w:rPr>
        <w:t xml:space="preserve">ble for their own learning. However, even though IBE in many ways can be seen as a kind of joint venture between teachers and students, the teacher is still the responsible facilitator </w:t>
      </w:r>
      <w:r w:rsidR="008D1BFE">
        <w:rPr>
          <w:lang w:val="en-US"/>
        </w:rPr>
        <w:t xml:space="preserve">who </w:t>
      </w:r>
      <w:r w:rsidR="0076763B">
        <w:rPr>
          <w:lang w:val="en-US"/>
        </w:rPr>
        <w:t>control</w:t>
      </w:r>
      <w:r w:rsidR="008D1BFE">
        <w:rPr>
          <w:lang w:val="en-US"/>
        </w:rPr>
        <w:t>s</w:t>
      </w:r>
      <w:r w:rsidR="0076763B">
        <w:rPr>
          <w:lang w:val="en-US"/>
        </w:rPr>
        <w:t xml:space="preserve"> possible and desirable learning processes </w:t>
      </w:r>
      <w:r w:rsidR="0076763B" w:rsidRPr="00173C98">
        <w:rPr>
          <w:lang w:val="en-US"/>
        </w:rPr>
        <w:t>(Artiqu</w:t>
      </w:r>
      <w:r w:rsidR="0076763B">
        <w:rPr>
          <w:lang w:val="en-US"/>
        </w:rPr>
        <w:t xml:space="preserve">e &amp; Blomhøj 2013: 799). </w:t>
      </w:r>
    </w:p>
    <w:p w14:paraId="0AD95DDA" w14:textId="308AD98A" w:rsidR="00AE36C0" w:rsidRPr="004C417A" w:rsidRDefault="005E3B8C" w:rsidP="00D47C68">
      <w:pPr>
        <w:pStyle w:val="Overskrift2"/>
        <w:rPr>
          <w:lang w:val="en-US"/>
        </w:rPr>
      </w:pPr>
      <w:r w:rsidRPr="001F355A">
        <w:rPr>
          <w:lang w:val="en-US"/>
        </w:rPr>
        <w:t xml:space="preserve">Case </w:t>
      </w:r>
      <w:r w:rsidR="00546719" w:rsidRPr="001F355A">
        <w:rPr>
          <w:lang w:val="en-US"/>
        </w:rPr>
        <w:t>study</w:t>
      </w:r>
      <w:r w:rsidR="00B26032" w:rsidRPr="004C417A">
        <w:rPr>
          <w:lang w:val="en-US"/>
        </w:rPr>
        <w:t xml:space="preserve"> as a method to address </w:t>
      </w:r>
      <w:r w:rsidR="00AE36C0" w:rsidRPr="001F355A">
        <w:rPr>
          <w:lang w:val="en-US"/>
        </w:rPr>
        <w:t xml:space="preserve">the </w:t>
      </w:r>
      <w:r w:rsidR="00AE36C0" w:rsidRPr="00BD7D6C">
        <w:rPr>
          <w:lang w:val="en-US"/>
        </w:rPr>
        <w:t xml:space="preserve">design of the </w:t>
      </w:r>
      <w:r w:rsidR="00546719" w:rsidRPr="00BD7D6C">
        <w:rPr>
          <w:lang w:val="en-US"/>
        </w:rPr>
        <w:t>learnings environment</w:t>
      </w:r>
      <w:r w:rsidR="00B26032" w:rsidRPr="004C417A">
        <w:rPr>
          <w:lang w:val="en-US"/>
        </w:rPr>
        <w:t xml:space="preserve"> </w:t>
      </w:r>
    </w:p>
    <w:p w14:paraId="0B22A547" w14:textId="6C8CB8F3" w:rsidR="00E878A3" w:rsidRDefault="00911C07" w:rsidP="00E878A3">
      <w:pPr>
        <w:rPr>
          <w:lang w:val="en-US"/>
        </w:rPr>
      </w:pPr>
      <w:r>
        <w:rPr>
          <w:lang w:val="en-US"/>
        </w:rPr>
        <w:t xml:space="preserve">The </w:t>
      </w:r>
      <w:r w:rsidR="00F565E3">
        <w:rPr>
          <w:lang w:val="en-US"/>
        </w:rPr>
        <w:t xml:space="preserve">main object </w:t>
      </w:r>
      <w:r>
        <w:rPr>
          <w:lang w:val="en-US"/>
        </w:rPr>
        <w:t>o</w:t>
      </w:r>
      <w:r w:rsidR="00F565E3">
        <w:rPr>
          <w:lang w:val="en-US"/>
        </w:rPr>
        <w:t>f the article is</w:t>
      </w:r>
      <w:r>
        <w:rPr>
          <w:lang w:val="en-US"/>
        </w:rPr>
        <w:t xml:space="preserve"> to </w:t>
      </w:r>
      <w:r w:rsidRPr="005E3B8C">
        <w:rPr>
          <w:lang w:val="en-US"/>
        </w:rPr>
        <w:t>observe and capture the complexity of the knowledge production</w:t>
      </w:r>
      <w:r w:rsidR="00F565E3">
        <w:rPr>
          <w:lang w:val="en-US"/>
        </w:rPr>
        <w:t xml:space="preserve"> and the student activity</w:t>
      </w:r>
      <w:r w:rsidRPr="005E3B8C">
        <w:rPr>
          <w:lang w:val="en-US"/>
        </w:rPr>
        <w:t xml:space="preserve"> in the learning environment</w:t>
      </w:r>
      <w:r>
        <w:rPr>
          <w:lang w:val="en-US"/>
        </w:rPr>
        <w:t xml:space="preserve"> in two very different IBE contexts. The value and possible impact of the analyses produced in the article on a macro level and across the different learning environments is beyond the scope of the article and is only indicated</w:t>
      </w:r>
      <w:r w:rsidRPr="005E3B8C">
        <w:rPr>
          <w:lang w:val="en-US"/>
        </w:rPr>
        <w:t xml:space="preserve">. </w:t>
      </w:r>
      <w:r w:rsidR="005E3B8C" w:rsidRPr="005E3B8C">
        <w:rPr>
          <w:lang w:val="en-US"/>
        </w:rPr>
        <w:t>The selection of methods is informed by our use of theory and we focus on observations of interactions that occur in the physical space: the class room. We build on Stake (199</w:t>
      </w:r>
      <w:r w:rsidR="005E3B8C">
        <w:rPr>
          <w:lang w:val="en-US"/>
        </w:rPr>
        <w:t>5</w:t>
      </w:r>
      <w:r w:rsidR="00BF160C">
        <w:rPr>
          <w:lang w:val="en-US"/>
        </w:rPr>
        <w:t xml:space="preserve">; </w:t>
      </w:r>
      <w:r w:rsidR="005E3B8C">
        <w:rPr>
          <w:lang w:val="en-US"/>
        </w:rPr>
        <w:t>199</w:t>
      </w:r>
      <w:r w:rsidR="005E3B8C" w:rsidRPr="005E3B8C">
        <w:rPr>
          <w:lang w:val="en-US"/>
        </w:rPr>
        <w:t>8) and h</w:t>
      </w:r>
      <w:r w:rsidR="005E3B8C">
        <w:rPr>
          <w:lang w:val="en-US"/>
        </w:rPr>
        <w:t>is</w:t>
      </w:r>
      <w:r w:rsidR="005E3B8C" w:rsidRPr="005E3B8C">
        <w:rPr>
          <w:lang w:val="en-US"/>
        </w:rPr>
        <w:t xml:space="preserve"> d</w:t>
      </w:r>
      <w:r w:rsidR="005E3B8C">
        <w:rPr>
          <w:lang w:val="en-US"/>
        </w:rPr>
        <w:t>efinitions</w:t>
      </w:r>
      <w:r w:rsidR="005E3B8C" w:rsidRPr="005E3B8C">
        <w:rPr>
          <w:lang w:val="en-US"/>
        </w:rPr>
        <w:t xml:space="preserve"> of the characteristics of case study and meaning making of experiences and observations within a bounded context.</w:t>
      </w:r>
      <w:r w:rsidR="005E3B8C">
        <w:rPr>
          <w:lang w:val="en-US"/>
        </w:rPr>
        <w:t xml:space="preserve"> </w:t>
      </w:r>
      <w:r w:rsidR="005E3B8C" w:rsidRPr="005E3B8C">
        <w:rPr>
          <w:lang w:val="en-US"/>
        </w:rPr>
        <w:t xml:space="preserve">As researchers we </w:t>
      </w:r>
      <w:r w:rsidR="005E3B8C">
        <w:rPr>
          <w:lang w:val="en-US"/>
        </w:rPr>
        <w:t xml:space="preserve">have worked with observations </w:t>
      </w:r>
      <w:r w:rsidR="004C417A">
        <w:rPr>
          <w:lang w:val="en-US"/>
        </w:rPr>
        <w:t xml:space="preserve">guides and focused on </w:t>
      </w:r>
      <w:r w:rsidR="005E3B8C" w:rsidRPr="005E3B8C">
        <w:rPr>
          <w:lang w:val="en-US"/>
        </w:rPr>
        <w:t>what is common and what is particular about the</w:t>
      </w:r>
      <w:r w:rsidR="004C417A">
        <w:rPr>
          <w:lang w:val="en-US"/>
        </w:rPr>
        <w:t xml:space="preserve"> different </w:t>
      </w:r>
      <w:r w:rsidR="005E3B8C" w:rsidRPr="005E3B8C">
        <w:rPr>
          <w:lang w:val="en-US"/>
        </w:rPr>
        <w:t>case</w:t>
      </w:r>
      <w:r w:rsidR="004C417A">
        <w:rPr>
          <w:lang w:val="en-US"/>
        </w:rPr>
        <w:t>s</w:t>
      </w:r>
      <w:r w:rsidR="005E3B8C" w:rsidRPr="005E3B8C">
        <w:rPr>
          <w:lang w:val="en-US"/>
        </w:rPr>
        <w:t>. Th</w:t>
      </w:r>
      <w:r w:rsidR="005E3B8C">
        <w:rPr>
          <w:lang w:val="en-US"/>
        </w:rPr>
        <w:t>is involves</w:t>
      </w:r>
      <w:r w:rsidR="005E3B8C" w:rsidRPr="005E3B8C">
        <w:rPr>
          <w:lang w:val="en-US"/>
        </w:rPr>
        <w:t xml:space="preserve"> consideration of </w:t>
      </w:r>
      <w:r w:rsidR="005E3B8C">
        <w:rPr>
          <w:lang w:val="en-US"/>
        </w:rPr>
        <w:t>the</w:t>
      </w:r>
      <w:r w:rsidR="005E3B8C" w:rsidRPr="005E3B8C">
        <w:rPr>
          <w:lang w:val="en-US"/>
        </w:rPr>
        <w:t xml:space="preserve"> physical setting, </w:t>
      </w:r>
      <w:r w:rsidR="005E3B8C">
        <w:rPr>
          <w:lang w:val="en-US"/>
        </w:rPr>
        <w:t>reflections on the communication and questions</w:t>
      </w:r>
      <w:r w:rsidR="004C417A">
        <w:rPr>
          <w:lang w:val="en-US"/>
        </w:rPr>
        <w:t xml:space="preserve"> from both teachers and students</w:t>
      </w:r>
      <w:r w:rsidR="005E3B8C">
        <w:rPr>
          <w:lang w:val="en-US"/>
        </w:rPr>
        <w:t xml:space="preserve">, </w:t>
      </w:r>
      <w:r w:rsidR="005E3B8C" w:rsidRPr="005E3B8C">
        <w:rPr>
          <w:lang w:val="en-US"/>
        </w:rPr>
        <w:t>and other institutional and polit</w:t>
      </w:r>
      <w:r w:rsidR="005E3B8C">
        <w:rPr>
          <w:lang w:val="en-US"/>
        </w:rPr>
        <w:t>ical contextual factors</w:t>
      </w:r>
      <w:r w:rsidR="005E3B8C" w:rsidRPr="005E3B8C">
        <w:rPr>
          <w:lang w:val="en-US"/>
        </w:rPr>
        <w:t xml:space="preserve">. </w:t>
      </w:r>
      <w:r w:rsidR="004C417A">
        <w:rPr>
          <w:lang w:val="en-US"/>
        </w:rPr>
        <w:t xml:space="preserve">But our observations focus’ on the </w:t>
      </w:r>
      <w:r w:rsidR="00546719">
        <w:rPr>
          <w:lang w:val="en-US"/>
        </w:rPr>
        <w:t>micro level</w:t>
      </w:r>
      <w:r w:rsidR="004C417A">
        <w:rPr>
          <w:lang w:val="en-US"/>
        </w:rPr>
        <w:t xml:space="preserve"> and t</w:t>
      </w:r>
      <w:r w:rsidR="005E3B8C" w:rsidRPr="00E878A3">
        <w:rPr>
          <w:lang w:val="en-US"/>
        </w:rPr>
        <w:t>he design of the learning environment</w:t>
      </w:r>
      <w:r w:rsidR="004C417A">
        <w:rPr>
          <w:lang w:val="en-US"/>
        </w:rPr>
        <w:t xml:space="preserve">. </w:t>
      </w:r>
      <w:r w:rsidR="006C07E8">
        <w:rPr>
          <w:lang w:val="en-US"/>
        </w:rPr>
        <w:t>With t</w:t>
      </w:r>
      <w:r w:rsidR="005E3B8C">
        <w:rPr>
          <w:lang w:val="en-US"/>
        </w:rPr>
        <w:t>he qualitative based observations in classrooms</w:t>
      </w:r>
      <w:r w:rsidR="006C07E8">
        <w:rPr>
          <w:lang w:val="en-US"/>
        </w:rPr>
        <w:t>, we give</w:t>
      </w:r>
      <w:r w:rsidR="005E3B8C">
        <w:rPr>
          <w:lang w:val="en-US"/>
        </w:rPr>
        <w:t xml:space="preserve"> </w:t>
      </w:r>
      <w:r w:rsidR="00546719">
        <w:rPr>
          <w:lang w:val="en-US"/>
        </w:rPr>
        <w:t>priority</w:t>
      </w:r>
      <w:r w:rsidR="006C07E8">
        <w:rPr>
          <w:lang w:val="en-US"/>
        </w:rPr>
        <w:t xml:space="preserve"> </w:t>
      </w:r>
      <w:r w:rsidR="004C417A">
        <w:rPr>
          <w:lang w:val="en-US"/>
        </w:rPr>
        <w:t xml:space="preserve">to </w:t>
      </w:r>
      <w:r w:rsidR="006C07E8">
        <w:rPr>
          <w:lang w:val="en-US"/>
        </w:rPr>
        <w:t xml:space="preserve">the </w:t>
      </w:r>
      <w:r w:rsidR="005E3B8C">
        <w:rPr>
          <w:lang w:val="en-US"/>
        </w:rPr>
        <w:t>understand</w:t>
      </w:r>
      <w:r w:rsidR="006C07E8">
        <w:rPr>
          <w:lang w:val="en-US"/>
        </w:rPr>
        <w:t>ing</w:t>
      </w:r>
      <w:r w:rsidR="005E3B8C">
        <w:rPr>
          <w:lang w:val="en-US"/>
        </w:rPr>
        <w:t xml:space="preserve"> </w:t>
      </w:r>
      <w:r w:rsidR="006C07E8">
        <w:rPr>
          <w:lang w:val="en-US"/>
        </w:rPr>
        <w:t xml:space="preserve">of </w:t>
      </w:r>
      <w:r w:rsidR="005E3B8C" w:rsidRPr="00E878A3">
        <w:rPr>
          <w:lang w:val="en-US"/>
        </w:rPr>
        <w:t xml:space="preserve">the </w:t>
      </w:r>
      <w:r w:rsidR="004C417A">
        <w:rPr>
          <w:lang w:val="en-US"/>
        </w:rPr>
        <w:t xml:space="preserve">complex </w:t>
      </w:r>
      <w:r w:rsidR="005E3B8C" w:rsidRPr="00E878A3">
        <w:rPr>
          <w:lang w:val="en-US"/>
        </w:rPr>
        <w:t xml:space="preserve">structures </w:t>
      </w:r>
      <w:r w:rsidR="005E3B8C">
        <w:rPr>
          <w:lang w:val="en-US"/>
        </w:rPr>
        <w:t xml:space="preserve">of power and knowledge production </w:t>
      </w:r>
      <w:r w:rsidR="005E3B8C" w:rsidRPr="00E878A3">
        <w:rPr>
          <w:lang w:val="en-US"/>
        </w:rPr>
        <w:t xml:space="preserve">in the </w:t>
      </w:r>
      <w:r w:rsidR="005E3B8C">
        <w:rPr>
          <w:lang w:val="en-US"/>
        </w:rPr>
        <w:t>classroom</w:t>
      </w:r>
      <w:r w:rsidR="006C07E8">
        <w:rPr>
          <w:lang w:val="en-US"/>
        </w:rPr>
        <w:t xml:space="preserve"> (micro level), and thereby only </w:t>
      </w:r>
      <w:r w:rsidR="00546719">
        <w:rPr>
          <w:lang w:val="en-US"/>
        </w:rPr>
        <w:t>briefly</w:t>
      </w:r>
      <w:r w:rsidR="006C07E8">
        <w:rPr>
          <w:lang w:val="en-US"/>
        </w:rPr>
        <w:t xml:space="preserve"> touch on the school structures (meso level) and the national educational policy impact (macro level)</w:t>
      </w:r>
      <w:r w:rsidR="005E3B8C" w:rsidRPr="00E878A3">
        <w:rPr>
          <w:lang w:val="en-US"/>
        </w:rPr>
        <w:t>.</w:t>
      </w:r>
    </w:p>
    <w:p w14:paraId="23805602" w14:textId="77777777" w:rsidR="004C417A" w:rsidRPr="00E878A3" w:rsidRDefault="004C417A" w:rsidP="00E878A3">
      <w:pPr>
        <w:rPr>
          <w:lang w:val="en-GB"/>
        </w:rPr>
      </w:pPr>
    </w:p>
    <w:p w14:paraId="3A08D87F" w14:textId="30C313DC" w:rsidR="00FA1E7B" w:rsidRDefault="00FA1E7B" w:rsidP="00FA1E7B">
      <w:pPr>
        <w:rPr>
          <w:lang w:val="en-GB"/>
        </w:rPr>
      </w:pPr>
      <w:r>
        <w:rPr>
          <w:lang w:val="en-US"/>
        </w:rPr>
        <w:t xml:space="preserve">The first </w:t>
      </w:r>
      <w:r w:rsidR="008D1BFE">
        <w:rPr>
          <w:lang w:val="en-US"/>
        </w:rPr>
        <w:t xml:space="preserve">case </w:t>
      </w:r>
      <w:r>
        <w:rPr>
          <w:lang w:val="en-US"/>
        </w:rPr>
        <w:t>is a New York City High school</w:t>
      </w:r>
      <w:r w:rsidR="008D1BFE">
        <w:rPr>
          <w:lang w:val="en-US"/>
        </w:rPr>
        <w:t>, while t</w:t>
      </w:r>
      <w:r>
        <w:rPr>
          <w:lang w:val="en-US"/>
        </w:rPr>
        <w:t>he second is a Danish vocational education and training school</w:t>
      </w:r>
      <w:r w:rsidR="008C185D">
        <w:rPr>
          <w:lang w:val="en-US"/>
        </w:rPr>
        <w:t>.</w:t>
      </w:r>
      <w:r>
        <w:rPr>
          <w:lang w:val="en-US"/>
        </w:rPr>
        <w:t xml:space="preserve"> </w:t>
      </w:r>
      <w:r>
        <w:rPr>
          <w:lang w:val="en-GB"/>
        </w:rPr>
        <w:t xml:space="preserve">The point of introducing examples from two different nations is not to highlight specific </w:t>
      </w:r>
      <w:r w:rsidR="008D1BFE">
        <w:rPr>
          <w:lang w:val="en-GB"/>
        </w:rPr>
        <w:t>differences in the</w:t>
      </w:r>
      <w:r>
        <w:rPr>
          <w:lang w:val="en-GB"/>
        </w:rPr>
        <w:t xml:space="preserve"> national educational systems</w:t>
      </w:r>
      <w:r w:rsidR="006C07E8">
        <w:rPr>
          <w:lang w:val="en-GB"/>
        </w:rPr>
        <w:t xml:space="preserve"> (macro level)</w:t>
      </w:r>
      <w:r w:rsidR="008D1BFE">
        <w:rPr>
          <w:lang w:val="en-GB"/>
        </w:rPr>
        <w:t>, but rather</w:t>
      </w:r>
      <w:r>
        <w:rPr>
          <w:lang w:val="en-GB"/>
        </w:rPr>
        <w:t xml:space="preserve"> to understand</w:t>
      </w:r>
      <w:r w:rsidR="00AA41B5">
        <w:rPr>
          <w:lang w:val="en-GB"/>
        </w:rPr>
        <w:t xml:space="preserve"> similarities </w:t>
      </w:r>
      <w:r>
        <w:rPr>
          <w:lang w:val="en-GB"/>
        </w:rPr>
        <w:t>between educational approaches, pedagogical practice and students’ opportunities for success and inclusion across nations and specific educational systems</w:t>
      </w:r>
      <w:r w:rsidR="006C07E8">
        <w:rPr>
          <w:lang w:val="en-GB"/>
        </w:rPr>
        <w:t xml:space="preserve"> on the micro level</w:t>
      </w:r>
      <w:r>
        <w:rPr>
          <w:lang w:val="en-GB"/>
        </w:rPr>
        <w:t xml:space="preserve">. </w:t>
      </w:r>
      <w:r>
        <w:rPr>
          <w:lang w:val="en-US"/>
        </w:rPr>
        <w:t xml:space="preserve">In the two </w:t>
      </w:r>
      <w:r w:rsidR="000E4D82">
        <w:rPr>
          <w:lang w:val="en-US"/>
        </w:rPr>
        <w:t xml:space="preserve">cases, </w:t>
      </w:r>
      <w:r>
        <w:rPr>
          <w:lang w:val="en-US"/>
        </w:rPr>
        <w:t>the teachers</w:t>
      </w:r>
      <w:r w:rsidR="000E4D82">
        <w:rPr>
          <w:lang w:val="en-US"/>
        </w:rPr>
        <w:t>’</w:t>
      </w:r>
      <w:r>
        <w:rPr>
          <w:lang w:val="en-US"/>
        </w:rPr>
        <w:t xml:space="preserve"> settings and approaches are different</w:t>
      </w:r>
      <w:r w:rsidR="000E4D82">
        <w:rPr>
          <w:lang w:val="en-US"/>
        </w:rPr>
        <w:t xml:space="preserve">, </w:t>
      </w:r>
      <w:r>
        <w:rPr>
          <w:lang w:val="en-US"/>
        </w:rPr>
        <w:t xml:space="preserve">although some elements are the same. In both </w:t>
      </w:r>
      <w:r w:rsidR="000E4D82">
        <w:rPr>
          <w:lang w:val="en-US"/>
        </w:rPr>
        <w:t xml:space="preserve">cases, </w:t>
      </w:r>
      <w:r>
        <w:rPr>
          <w:lang w:val="en-US"/>
        </w:rPr>
        <w:t>t</w:t>
      </w:r>
      <w:r w:rsidRPr="00173C98">
        <w:rPr>
          <w:lang w:val="en-US"/>
        </w:rPr>
        <w:t xml:space="preserve">he teachers </w:t>
      </w:r>
      <w:r>
        <w:rPr>
          <w:lang w:val="en-US"/>
        </w:rPr>
        <w:t>create</w:t>
      </w:r>
      <w:r w:rsidRPr="00173C98">
        <w:rPr>
          <w:lang w:val="en-US"/>
        </w:rPr>
        <w:t xml:space="preserve"> a</w:t>
      </w:r>
      <w:r>
        <w:rPr>
          <w:lang w:val="en-US"/>
        </w:rPr>
        <w:t xml:space="preserve"> learning </w:t>
      </w:r>
      <w:r w:rsidRPr="00173C98">
        <w:rPr>
          <w:lang w:val="en-US"/>
        </w:rPr>
        <w:t xml:space="preserve">environment </w:t>
      </w:r>
      <w:r>
        <w:rPr>
          <w:lang w:val="en-US"/>
        </w:rPr>
        <w:t xml:space="preserve">where </w:t>
      </w:r>
      <w:r w:rsidRPr="00173C98">
        <w:rPr>
          <w:lang w:val="en-US"/>
        </w:rPr>
        <w:t xml:space="preserve">activities </w:t>
      </w:r>
      <w:r>
        <w:rPr>
          <w:lang w:val="en-US"/>
        </w:rPr>
        <w:t xml:space="preserve">are </w:t>
      </w:r>
      <w:r w:rsidRPr="00173C98">
        <w:rPr>
          <w:lang w:val="en-US"/>
        </w:rPr>
        <w:t>organiz</w:t>
      </w:r>
      <w:r>
        <w:rPr>
          <w:lang w:val="en-US"/>
        </w:rPr>
        <w:t>ed</w:t>
      </w:r>
      <w:r w:rsidRPr="00173C98">
        <w:rPr>
          <w:lang w:val="en-US"/>
        </w:rPr>
        <w:t xml:space="preserve"> </w:t>
      </w:r>
      <w:r>
        <w:rPr>
          <w:lang w:val="en-US"/>
        </w:rPr>
        <w:t xml:space="preserve">so that they can spur </w:t>
      </w:r>
      <w:r w:rsidRPr="00173C98">
        <w:rPr>
          <w:lang w:val="en-US"/>
        </w:rPr>
        <w:t xml:space="preserve">the students’ </w:t>
      </w:r>
      <w:r>
        <w:rPr>
          <w:lang w:val="en-US"/>
        </w:rPr>
        <w:t xml:space="preserve">motivation for </w:t>
      </w:r>
      <w:r w:rsidRPr="00173C98">
        <w:rPr>
          <w:lang w:val="en-US"/>
        </w:rPr>
        <w:t xml:space="preserve">discovery and inquiry. </w:t>
      </w:r>
      <w:r>
        <w:rPr>
          <w:lang w:val="en-US"/>
        </w:rPr>
        <w:t>However</w:t>
      </w:r>
      <w:r w:rsidR="000E4D82">
        <w:rPr>
          <w:lang w:val="en-US"/>
        </w:rPr>
        <w:t>,</w:t>
      </w:r>
      <w:r>
        <w:rPr>
          <w:lang w:val="en-US"/>
        </w:rPr>
        <w:t xml:space="preserve"> </w:t>
      </w:r>
      <w:r>
        <w:rPr>
          <w:lang w:val="en-US"/>
        </w:rPr>
        <w:lastRenderedPageBreak/>
        <w:t xml:space="preserve">this is done in different ways, as </w:t>
      </w:r>
      <w:r w:rsidR="000E4D82">
        <w:rPr>
          <w:lang w:val="en-US"/>
        </w:rPr>
        <w:t xml:space="preserve">discussed in </w:t>
      </w:r>
      <w:r>
        <w:rPr>
          <w:lang w:val="en-US"/>
        </w:rPr>
        <w:t xml:space="preserve">the following. </w:t>
      </w:r>
      <w:r>
        <w:rPr>
          <w:lang w:val="en-GB"/>
        </w:rPr>
        <w:t>Thus, t</w:t>
      </w:r>
      <w:r w:rsidRPr="00411025">
        <w:rPr>
          <w:lang w:val="en-GB"/>
        </w:rPr>
        <w:t xml:space="preserve">he primary </w:t>
      </w:r>
      <w:r w:rsidRPr="000A28B2">
        <w:rPr>
          <w:lang w:val="en-GB"/>
        </w:rPr>
        <w:t>concern i</w:t>
      </w:r>
      <w:r w:rsidR="006C07E8">
        <w:rPr>
          <w:lang w:val="en-GB"/>
        </w:rPr>
        <w:t>n the following analysis of the observations i</w:t>
      </w:r>
      <w:r w:rsidRPr="000A28B2">
        <w:rPr>
          <w:lang w:val="en-GB"/>
        </w:rPr>
        <w:t xml:space="preserve">s to understand how </w:t>
      </w:r>
      <w:r>
        <w:rPr>
          <w:lang w:val="en-GB"/>
        </w:rPr>
        <w:t xml:space="preserve">the concept of IBE </w:t>
      </w:r>
      <w:r w:rsidR="00BF160C">
        <w:rPr>
          <w:lang w:val="en-GB"/>
        </w:rPr>
        <w:t xml:space="preserve">as a </w:t>
      </w:r>
      <w:r w:rsidR="00546719">
        <w:rPr>
          <w:lang w:val="en-GB"/>
        </w:rPr>
        <w:t>theoretical</w:t>
      </w:r>
      <w:r w:rsidR="00BF160C">
        <w:rPr>
          <w:lang w:val="en-GB"/>
        </w:rPr>
        <w:t xml:space="preserve"> frame, </w:t>
      </w:r>
      <w:r>
        <w:rPr>
          <w:lang w:val="en-GB"/>
        </w:rPr>
        <w:t xml:space="preserve">can contribute </w:t>
      </w:r>
      <w:r w:rsidRPr="000A28B2">
        <w:rPr>
          <w:lang w:val="en-GB"/>
        </w:rPr>
        <w:t xml:space="preserve">to </w:t>
      </w:r>
      <w:r w:rsidR="000E4D82">
        <w:rPr>
          <w:lang w:val="en-GB"/>
        </w:rPr>
        <w:t xml:space="preserve">the </w:t>
      </w:r>
      <w:r w:rsidRPr="000A28B2">
        <w:rPr>
          <w:lang w:val="en-GB"/>
        </w:rPr>
        <w:t xml:space="preserve">inclusion of all students </w:t>
      </w:r>
      <w:r w:rsidR="00AA41B5">
        <w:rPr>
          <w:lang w:val="en-GB"/>
        </w:rPr>
        <w:t xml:space="preserve">while respecting the individual students situated practice in the classroom </w:t>
      </w:r>
      <w:r>
        <w:rPr>
          <w:lang w:val="en-GB"/>
        </w:rPr>
        <w:t xml:space="preserve">and to </w:t>
      </w:r>
      <w:r w:rsidR="000E4D82">
        <w:rPr>
          <w:lang w:val="en-GB"/>
        </w:rPr>
        <w:t xml:space="preserve">reaching </w:t>
      </w:r>
      <w:r>
        <w:rPr>
          <w:lang w:val="en-GB"/>
        </w:rPr>
        <w:t xml:space="preserve">the goal of </w:t>
      </w:r>
      <w:r w:rsidR="00DA6A23">
        <w:rPr>
          <w:lang w:val="en-GB"/>
        </w:rPr>
        <w:t>equality in education by giving all students the opportunity</w:t>
      </w:r>
      <w:r>
        <w:rPr>
          <w:lang w:val="en-GB"/>
        </w:rPr>
        <w:t xml:space="preserve"> to become </w:t>
      </w:r>
      <w:r w:rsidR="00AA41B5">
        <w:rPr>
          <w:lang w:val="en-GB"/>
        </w:rPr>
        <w:t>democratic, innovative</w:t>
      </w:r>
      <w:r>
        <w:rPr>
          <w:lang w:val="en-GB"/>
        </w:rPr>
        <w:t xml:space="preserve">. </w:t>
      </w:r>
    </w:p>
    <w:p w14:paraId="006650C4" w14:textId="77777777" w:rsidR="00FC2637" w:rsidRPr="00D37B25" w:rsidRDefault="00FC2637" w:rsidP="00FC2637">
      <w:pPr>
        <w:pStyle w:val="Overskrift4"/>
        <w:rPr>
          <w:lang w:val="en-GB"/>
        </w:rPr>
      </w:pPr>
      <w:r w:rsidRPr="00353ABB">
        <w:rPr>
          <w:lang w:val="en-GB"/>
        </w:rPr>
        <w:t>History lesson in a NYC high school</w:t>
      </w:r>
    </w:p>
    <w:p w14:paraId="70350D66" w14:textId="77777777" w:rsidR="00FC2637" w:rsidRDefault="00FA1E7B" w:rsidP="00AB729F">
      <w:pPr>
        <w:rPr>
          <w:lang w:val="en-GB"/>
        </w:rPr>
      </w:pPr>
      <w:r>
        <w:rPr>
          <w:lang w:val="en-GB"/>
        </w:rPr>
        <w:t xml:space="preserve">The </w:t>
      </w:r>
      <w:r w:rsidR="00FC2637">
        <w:rPr>
          <w:lang w:val="en-GB"/>
        </w:rPr>
        <w:t xml:space="preserve">first example is based on observations in a </w:t>
      </w:r>
      <w:r w:rsidR="00AB729F">
        <w:rPr>
          <w:lang w:val="en-GB"/>
        </w:rPr>
        <w:t>NYC High S</w:t>
      </w:r>
      <w:r w:rsidR="00FC2637">
        <w:rPr>
          <w:lang w:val="en-GB"/>
        </w:rPr>
        <w:t>chool</w:t>
      </w:r>
      <w:r w:rsidR="008C185D">
        <w:rPr>
          <w:lang w:val="en-GB"/>
        </w:rPr>
        <w:t>.</w:t>
      </w:r>
      <w:r w:rsidR="008C185D">
        <w:rPr>
          <w:rStyle w:val="Fodnotehenvisning"/>
          <w:lang w:val="en-US"/>
        </w:rPr>
        <w:footnoteReference w:id="3"/>
      </w:r>
      <w:r w:rsidR="008C185D">
        <w:rPr>
          <w:lang w:val="en-GB"/>
        </w:rPr>
        <w:t xml:space="preserve"> </w:t>
      </w:r>
      <w:r w:rsidR="00FC2637">
        <w:rPr>
          <w:lang w:val="en-GB"/>
        </w:rPr>
        <w:t xml:space="preserve">The students attending the history class are </w:t>
      </w:r>
      <w:r w:rsidR="000E4D82">
        <w:rPr>
          <w:lang w:val="en-GB"/>
        </w:rPr>
        <w:t xml:space="preserve">aged </w:t>
      </w:r>
      <w:r w:rsidR="00FC2637">
        <w:rPr>
          <w:lang w:val="en-GB"/>
        </w:rPr>
        <w:t xml:space="preserve">between 16 and 22 years and </w:t>
      </w:r>
      <w:r w:rsidR="000E4D82">
        <w:rPr>
          <w:lang w:val="en-GB"/>
        </w:rPr>
        <w:t xml:space="preserve">are </w:t>
      </w:r>
      <w:r w:rsidR="00FC2637">
        <w:rPr>
          <w:lang w:val="en-GB"/>
        </w:rPr>
        <w:t xml:space="preserve">of mixed gender and race. The </w:t>
      </w:r>
      <w:r w:rsidR="000E4D82">
        <w:rPr>
          <w:lang w:val="en-GB"/>
        </w:rPr>
        <w:t xml:space="preserve">topic </w:t>
      </w:r>
      <w:r w:rsidR="00A04E6F">
        <w:rPr>
          <w:lang w:val="en-GB"/>
        </w:rPr>
        <w:t>for</w:t>
      </w:r>
      <w:r w:rsidR="000E4D82">
        <w:rPr>
          <w:lang w:val="en-GB"/>
        </w:rPr>
        <w:t xml:space="preserve"> discussion in </w:t>
      </w:r>
      <w:r w:rsidR="00FC2637">
        <w:rPr>
          <w:lang w:val="en-GB"/>
        </w:rPr>
        <w:t xml:space="preserve">the lesson is: ‘Who or what is responsible for the end of legalised slavery in the USA?’ </w:t>
      </w:r>
      <w:r w:rsidR="00A04E6F">
        <w:rPr>
          <w:lang w:val="en-GB"/>
        </w:rPr>
        <w:t xml:space="preserve">Before </w:t>
      </w:r>
      <w:r w:rsidR="00FC2637">
        <w:rPr>
          <w:lang w:val="en-GB"/>
        </w:rPr>
        <w:t xml:space="preserve">the lesson, students </w:t>
      </w:r>
      <w:r w:rsidR="00A04E6F">
        <w:rPr>
          <w:lang w:val="en-GB"/>
        </w:rPr>
        <w:t xml:space="preserve">had to </w:t>
      </w:r>
      <w:r w:rsidR="00FC2637">
        <w:rPr>
          <w:lang w:val="en-GB"/>
        </w:rPr>
        <w:t xml:space="preserve">read four texts </w:t>
      </w:r>
      <w:r w:rsidR="00A04E6F">
        <w:rPr>
          <w:lang w:val="en-GB"/>
        </w:rPr>
        <w:t xml:space="preserve">by </w:t>
      </w:r>
      <w:r w:rsidR="00FC2637">
        <w:rPr>
          <w:lang w:val="en-GB"/>
        </w:rPr>
        <w:t>different historians who each offer their view on the topic. The teacher address</w:t>
      </w:r>
      <w:r w:rsidR="00A04E6F">
        <w:rPr>
          <w:lang w:val="en-GB"/>
        </w:rPr>
        <w:t>es</w:t>
      </w:r>
      <w:r w:rsidR="00FC2637">
        <w:rPr>
          <w:lang w:val="en-GB"/>
        </w:rPr>
        <w:t xml:space="preserve"> the question and invite</w:t>
      </w:r>
      <w:r w:rsidR="00A04E6F">
        <w:rPr>
          <w:lang w:val="en-GB"/>
        </w:rPr>
        <w:t>s</w:t>
      </w:r>
      <w:r w:rsidR="00FC2637">
        <w:rPr>
          <w:lang w:val="en-GB"/>
        </w:rPr>
        <w:t xml:space="preserve"> the students to present an argument that they find convincing. Three students present different arguments. The teacher acts as moderator and sums up the different arguments and invites other students to contribute. One student argues that the slaves themselves were the liberators, and that a legitimate part of their liberation process was to kill their white oppressors. Another student argues that the white farmers were a product of their time and not necessarily bad people </w:t>
      </w:r>
      <w:r w:rsidR="00A04E6F">
        <w:rPr>
          <w:lang w:val="en-GB"/>
        </w:rPr>
        <w:t xml:space="preserve">who </w:t>
      </w:r>
      <w:r w:rsidR="00FC2637">
        <w:rPr>
          <w:lang w:val="en-GB"/>
        </w:rPr>
        <w:t xml:space="preserve">should be killed. The teacher </w:t>
      </w:r>
      <w:proofErr w:type="gramStart"/>
      <w:r w:rsidR="007F1BAD">
        <w:rPr>
          <w:lang w:val="en-GB"/>
        </w:rPr>
        <w:t>stress</w:t>
      </w:r>
      <w:r w:rsidR="00A04E6F">
        <w:rPr>
          <w:lang w:val="en-GB"/>
        </w:rPr>
        <w:t>es</w:t>
      </w:r>
      <w:r w:rsidR="007F1BAD">
        <w:rPr>
          <w:lang w:val="en-GB"/>
        </w:rPr>
        <w:t xml:space="preserve"> that there </w:t>
      </w:r>
      <w:r w:rsidR="00A04E6F">
        <w:rPr>
          <w:lang w:val="en-GB"/>
        </w:rPr>
        <w:t xml:space="preserve">is </w:t>
      </w:r>
      <w:r w:rsidR="007F1BAD">
        <w:rPr>
          <w:lang w:val="en-GB"/>
        </w:rPr>
        <w:t>no right or wrong answer and asks</w:t>
      </w:r>
      <w:proofErr w:type="gramEnd"/>
      <w:r w:rsidR="00FC2637">
        <w:rPr>
          <w:lang w:val="en-GB"/>
        </w:rPr>
        <w:t xml:space="preserve"> the students to link their arguments to the different sources and views of the historians</w:t>
      </w:r>
      <w:r w:rsidR="00940EE8">
        <w:rPr>
          <w:lang w:val="en-GB"/>
        </w:rPr>
        <w:t xml:space="preserve"> they have read</w:t>
      </w:r>
      <w:r w:rsidR="00FC2637">
        <w:rPr>
          <w:lang w:val="en-GB"/>
        </w:rPr>
        <w:t xml:space="preserve">. A student argues that if she and her family had been raped and starved, the right thing to do would be to kill their oppressors. Another student asks her how she feels about giving ‘a license to kill’. The discussion moves on to the theme of whether killing is the right thing to do for the American soldiers in Iraq and Afghanistan. The teacher embraces this new theme, asking the class what can </w:t>
      </w:r>
      <w:r w:rsidR="00A04E6F">
        <w:rPr>
          <w:lang w:val="en-GB"/>
        </w:rPr>
        <w:t xml:space="preserve">legitimize </w:t>
      </w:r>
      <w:r w:rsidR="00FC2637">
        <w:rPr>
          <w:lang w:val="en-GB"/>
        </w:rPr>
        <w:t>the killing of another person. This brings new energy to the discussion and the teacher continuously challenges the students to defend their point</w:t>
      </w:r>
      <w:r w:rsidR="00A04E6F">
        <w:rPr>
          <w:lang w:val="en-GB"/>
        </w:rPr>
        <w:t>s</w:t>
      </w:r>
      <w:r w:rsidR="00FC2637">
        <w:rPr>
          <w:lang w:val="en-GB"/>
        </w:rPr>
        <w:t xml:space="preserve"> of view and find arguments in the texts they have read. At the end of the lesson, the teacher (supported by the students) sums up the various arguments and the process of the discussions, and outlines the context and the theme for the next lesson. Some students are not quite finished discussing and are still trying to make their point and </w:t>
      </w:r>
      <w:r w:rsidR="00FC2637">
        <w:rPr>
          <w:lang w:val="en-GB"/>
        </w:rPr>
        <w:lastRenderedPageBreak/>
        <w:t>defend their arguments, even though the teacher has stated it is time for a break</w:t>
      </w:r>
      <w:r w:rsidR="00C22F96">
        <w:rPr>
          <w:lang w:val="en-GB"/>
        </w:rPr>
        <w:t xml:space="preserve"> (</w:t>
      </w:r>
      <w:r w:rsidR="00AB729F">
        <w:rPr>
          <w:lang w:val="en-GB"/>
        </w:rPr>
        <w:t xml:space="preserve">NYC </w:t>
      </w:r>
      <w:r w:rsidR="00C22F96">
        <w:rPr>
          <w:lang w:val="en-GB"/>
        </w:rPr>
        <w:t>High School, 2010).</w:t>
      </w:r>
    </w:p>
    <w:p w14:paraId="3E4FE39D" w14:textId="77777777" w:rsidR="00FC2637" w:rsidRPr="00E20C98" w:rsidRDefault="00FC2637" w:rsidP="00FC2637">
      <w:pPr>
        <w:pStyle w:val="Overskrift4"/>
        <w:rPr>
          <w:lang w:val="en-US"/>
        </w:rPr>
      </w:pPr>
      <w:r>
        <w:rPr>
          <w:lang w:val="en-US"/>
        </w:rPr>
        <w:t>Construction theory lesson in vocational education and training in Copenhagen</w:t>
      </w:r>
      <w:r w:rsidRPr="00E20C98">
        <w:rPr>
          <w:lang w:val="en-US"/>
        </w:rPr>
        <w:t xml:space="preserve"> </w:t>
      </w:r>
    </w:p>
    <w:p w14:paraId="19DBD2EE" w14:textId="77777777" w:rsidR="00FC2637" w:rsidRDefault="00FC2637" w:rsidP="00FC2637">
      <w:pPr>
        <w:rPr>
          <w:lang w:val="en-GB"/>
        </w:rPr>
      </w:pPr>
      <w:r w:rsidRPr="00964F65">
        <w:rPr>
          <w:lang w:val="en-GB"/>
        </w:rPr>
        <w:t xml:space="preserve">The second example is based on observations </w:t>
      </w:r>
      <w:r w:rsidR="00A04E6F">
        <w:rPr>
          <w:lang w:val="en-GB"/>
        </w:rPr>
        <w:t>at</w:t>
      </w:r>
      <w:r w:rsidR="00A04E6F" w:rsidRPr="00964F65">
        <w:rPr>
          <w:lang w:val="en-GB"/>
        </w:rPr>
        <w:t xml:space="preserve"> </w:t>
      </w:r>
      <w:r w:rsidRPr="00964F65">
        <w:rPr>
          <w:lang w:val="en-GB"/>
        </w:rPr>
        <w:t xml:space="preserve">a vocational educational </w:t>
      </w:r>
      <w:r w:rsidR="00AB729F">
        <w:rPr>
          <w:lang w:val="en-GB"/>
        </w:rPr>
        <w:t xml:space="preserve">(VET) </w:t>
      </w:r>
      <w:r w:rsidRPr="00964F65">
        <w:rPr>
          <w:lang w:val="en-GB"/>
        </w:rPr>
        <w:t>school in Denmark in 2011</w:t>
      </w:r>
      <w:r w:rsidR="008C185D">
        <w:rPr>
          <w:lang w:val="en-GB"/>
        </w:rPr>
        <w:t>.</w:t>
      </w:r>
      <w:r w:rsidR="008C185D">
        <w:rPr>
          <w:rStyle w:val="Fodnotehenvisning"/>
          <w:lang w:val="en-US"/>
        </w:rPr>
        <w:footnoteReference w:id="4"/>
      </w:r>
      <w:r w:rsidRPr="00964F65">
        <w:rPr>
          <w:lang w:val="en-GB"/>
        </w:rPr>
        <w:t xml:space="preserve"> The students attending the class are</w:t>
      </w:r>
      <w:r w:rsidR="00A04E6F">
        <w:rPr>
          <w:lang w:val="en-GB"/>
        </w:rPr>
        <w:t xml:space="preserve"> aged</w:t>
      </w:r>
      <w:r w:rsidRPr="00964F65">
        <w:rPr>
          <w:lang w:val="en-GB"/>
        </w:rPr>
        <w:t xml:space="preserve"> between 16 and 30 years old, all male students and almost all Caucasian.</w:t>
      </w:r>
      <w:r>
        <w:rPr>
          <w:lang w:val="en-GB"/>
        </w:rPr>
        <w:t xml:space="preserve"> The </w:t>
      </w:r>
      <w:r w:rsidR="00A04E6F">
        <w:rPr>
          <w:lang w:val="en-GB"/>
        </w:rPr>
        <w:t>topic for discussion</w:t>
      </w:r>
      <w:r>
        <w:rPr>
          <w:lang w:val="en-GB"/>
        </w:rPr>
        <w:t xml:space="preserve"> is: ‘What </w:t>
      </w:r>
      <w:r w:rsidR="00A04E6F">
        <w:rPr>
          <w:lang w:val="en-GB"/>
        </w:rPr>
        <w:t>does</w:t>
      </w:r>
      <w:r>
        <w:rPr>
          <w:lang w:val="en-GB"/>
        </w:rPr>
        <w:t xml:space="preserve"> a carpenter </w:t>
      </w:r>
      <w:r w:rsidR="00A04E6F">
        <w:rPr>
          <w:lang w:val="en-GB"/>
        </w:rPr>
        <w:t xml:space="preserve">need </w:t>
      </w:r>
      <w:r>
        <w:rPr>
          <w:lang w:val="en-GB"/>
        </w:rPr>
        <w:t xml:space="preserve">to know about construction when building a house? </w:t>
      </w:r>
      <w:r w:rsidR="00A04E6F">
        <w:rPr>
          <w:lang w:val="en-GB"/>
        </w:rPr>
        <w:t>Before</w:t>
      </w:r>
      <w:r>
        <w:rPr>
          <w:lang w:val="en-GB"/>
        </w:rPr>
        <w:t xml:space="preserve"> the lesson, the students have </w:t>
      </w:r>
      <w:r w:rsidR="00A04E6F">
        <w:rPr>
          <w:lang w:val="en-GB"/>
        </w:rPr>
        <w:t>built</w:t>
      </w:r>
      <w:r>
        <w:rPr>
          <w:lang w:val="en-GB"/>
        </w:rPr>
        <w:t xml:space="preserve"> small wooden cabins from manuals</w:t>
      </w:r>
      <w:r w:rsidR="00A82EDB">
        <w:rPr>
          <w:lang w:val="en-GB"/>
        </w:rPr>
        <w:t xml:space="preserve"> in the workshop</w:t>
      </w:r>
      <w:r>
        <w:rPr>
          <w:lang w:val="en-GB"/>
        </w:rPr>
        <w:t>. The students</w:t>
      </w:r>
      <w:r w:rsidR="00A04E6F">
        <w:rPr>
          <w:lang w:val="en-GB"/>
        </w:rPr>
        <w:t>,</w:t>
      </w:r>
      <w:r>
        <w:rPr>
          <w:lang w:val="en-GB"/>
        </w:rPr>
        <w:t xml:space="preserve"> therefor</w:t>
      </w:r>
      <w:r w:rsidR="00AB729F">
        <w:rPr>
          <w:lang w:val="en-GB"/>
        </w:rPr>
        <w:t>e</w:t>
      </w:r>
      <w:r w:rsidR="00A04E6F">
        <w:rPr>
          <w:lang w:val="en-GB"/>
        </w:rPr>
        <w:t>,</w:t>
      </w:r>
      <w:r>
        <w:rPr>
          <w:lang w:val="en-GB"/>
        </w:rPr>
        <w:t xml:space="preserve"> have some practical experience</w:t>
      </w:r>
      <w:r w:rsidR="00A04E6F">
        <w:rPr>
          <w:lang w:val="en-GB"/>
        </w:rPr>
        <w:t>,</w:t>
      </w:r>
      <w:r>
        <w:rPr>
          <w:lang w:val="en-GB"/>
        </w:rPr>
        <w:t xml:space="preserve"> but </w:t>
      </w:r>
      <w:r w:rsidR="00A04E6F">
        <w:rPr>
          <w:lang w:val="en-GB"/>
        </w:rPr>
        <w:t xml:space="preserve">as yet no </w:t>
      </w:r>
      <w:r>
        <w:rPr>
          <w:lang w:val="en-GB"/>
        </w:rPr>
        <w:t xml:space="preserve">theoretical experience. The teacher addresses the question while he takes the students for a walk in the neighborhood. The class </w:t>
      </w:r>
      <w:r w:rsidR="00A04E6F">
        <w:rPr>
          <w:lang w:val="en-GB"/>
        </w:rPr>
        <w:t>stop to</w:t>
      </w:r>
      <w:r>
        <w:rPr>
          <w:lang w:val="en-GB"/>
        </w:rPr>
        <w:t xml:space="preserve"> study </w:t>
      </w:r>
      <w:r w:rsidRPr="00877FDC">
        <w:rPr>
          <w:lang w:val="en-GB"/>
        </w:rPr>
        <w:t>houses</w:t>
      </w:r>
      <w:r>
        <w:rPr>
          <w:lang w:val="en-GB"/>
        </w:rPr>
        <w:t xml:space="preserve"> on their way. The teacher uses specific </w:t>
      </w:r>
      <w:r w:rsidR="00A04E6F">
        <w:rPr>
          <w:lang w:val="en-GB"/>
        </w:rPr>
        <w:t xml:space="preserve">carpentry </w:t>
      </w:r>
      <w:r>
        <w:rPr>
          <w:lang w:val="en-GB"/>
        </w:rPr>
        <w:t xml:space="preserve">words and language as he </w:t>
      </w:r>
      <w:r w:rsidR="00A04E6F">
        <w:rPr>
          <w:lang w:val="en-GB"/>
        </w:rPr>
        <w:t>talks about</w:t>
      </w:r>
      <w:r>
        <w:rPr>
          <w:lang w:val="en-GB"/>
        </w:rPr>
        <w:t xml:space="preserve"> some of the </w:t>
      </w:r>
      <w:r w:rsidRPr="00877FDC">
        <w:rPr>
          <w:lang w:val="en-GB"/>
        </w:rPr>
        <w:t xml:space="preserve">houses </w:t>
      </w:r>
      <w:r>
        <w:rPr>
          <w:lang w:val="en-GB"/>
        </w:rPr>
        <w:t xml:space="preserve">and their specific construction, </w:t>
      </w:r>
      <w:r w:rsidR="006C17CA">
        <w:rPr>
          <w:lang w:val="en-GB"/>
        </w:rPr>
        <w:t xml:space="preserve">and the challenges they present. </w:t>
      </w:r>
      <w:r>
        <w:rPr>
          <w:lang w:val="en-GB"/>
        </w:rPr>
        <w:t xml:space="preserve">The students are invited to reflect and ask questions </w:t>
      </w:r>
      <w:r w:rsidR="00FD7A34">
        <w:rPr>
          <w:lang w:val="en-GB"/>
        </w:rPr>
        <w:t>and they are encouraged</w:t>
      </w:r>
      <w:r>
        <w:rPr>
          <w:lang w:val="en-GB"/>
        </w:rPr>
        <w:t xml:space="preserve"> to combine the knowledge they have </w:t>
      </w:r>
      <w:r w:rsidR="00FD7A34">
        <w:rPr>
          <w:lang w:val="en-GB"/>
        </w:rPr>
        <w:t xml:space="preserve">already gained </w:t>
      </w:r>
      <w:r>
        <w:rPr>
          <w:lang w:val="en-GB"/>
        </w:rPr>
        <w:t xml:space="preserve">from their </w:t>
      </w:r>
      <w:r w:rsidR="00FD7A34">
        <w:rPr>
          <w:lang w:val="en-GB"/>
        </w:rPr>
        <w:t xml:space="preserve">experience with </w:t>
      </w:r>
      <w:r>
        <w:rPr>
          <w:lang w:val="en-GB"/>
        </w:rPr>
        <w:t xml:space="preserve">building </w:t>
      </w:r>
      <w:r w:rsidR="00FD7A34">
        <w:rPr>
          <w:lang w:val="en-GB"/>
        </w:rPr>
        <w:t xml:space="preserve">the </w:t>
      </w:r>
      <w:r>
        <w:rPr>
          <w:lang w:val="en-GB"/>
        </w:rPr>
        <w:t>cabin</w:t>
      </w:r>
      <w:r w:rsidR="00940EE8">
        <w:rPr>
          <w:lang w:val="en-GB"/>
        </w:rPr>
        <w:t>s</w:t>
      </w:r>
      <w:r>
        <w:rPr>
          <w:lang w:val="en-GB"/>
        </w:rPr>
        <w:t xml:space="preserve"> </w:t>
      </w:r>
      <w:r w:rsidR="00FD7A34">
        <w:rPr>
          <w:lang w:val="en-GB"/>
        </w:rPr>
        <w:t xml:space="preserve">with </w:t>
      </w:r>
      <w:r>
        <w:rPr>
          <w:lang w:val="en-GB"/>
        </w:rPr>
        <w:t xml:space="preserve">the new knowledge </w:t>
      </w:r>
      <w:r w:rsidR="00FD7A34">
        <w:rPr>
          <w:lang w:val="en-GB"/>
        </w:rPr>
        <w:t>they have been given by</w:t>
      </w:r>
      <w:r>
        <w:rPr>
          <w:lang w:val="en-GB"/>
        </w:rPr>
        <w:t xml:space="preserve"> the teacher. T</w:t>
      </w:r>
      <w:r w:rsidRPr="00877FDC">
        <w:rPr>
          <w:lang w:val="en-GB"/>
        </w:rPr>
        <w:t xml:space="preserve">he teacher </w:t>
      </w:r>
      <w:r>
        <w:rPr>
          <w:lang w:val="en-GB"/>
        </w:rPr>
        <w:t>gives the students lots of time to address, reflect</w:t>
      </w:r>
      <w:r w:rsidRPr="00877FDC">
        <w:rPr>
          <w:lang w:val="en-GB"/>
        </w:rPr>
        <w:t xml:space="preserve"> </w:t>
      </w:r>
      <w:r>
        <w:rPr>
          <w:lang w:val="en-GB"/>
        </w:rPr>
        <w:t xml:space="preserve">and question </w:t>
      </w:r>
      <w:r w:rsidRPr="00877FDC">
        <w:rPr>
          <w:lang w:val="en-GB"/>
        </w:rPr>
        <w:t>var</w:t>
      </w:r>
      <w:r>
        <w:rPr>
          <w:lang w:val="en-GB"/>
        </w:rPr>
        <w:t>ious constructions. Sometimes he ask</w:t>
      </w:r>
      <w:r w:rsidR="00940EE8">
        <w:rPr>
          <w:lang w:val="en-GB"/>
        </w:rPr>
        <w:t>s</w:t>
      </w:r>
      <w:r>
        <w:rPr>
          <w:lang w:val="en-GB"/>
        </w:rPr>
        <w:t xml:space="preserve"> them to review a </w:t>
      </w:r>
      <w:r w:rsidR="00FD7A34">
        <w:rPr>
          <w:lang w:val="en-GB"/>
        </w:rPr>
        <w:t>building</w:t>
      </w:r>
      <w:r w:rsidRPr="00877FDC">
        <w:rPr>
          <w:lang w:val="en-GB"/>
        </w:rPr>
        <w:t xml:space="preserve"> and </w:t>
      </w:r>
      <w:r>
        <w:rPr>
          <w:lang w:val="en-GB"/>
        </w:rPr>
        <w:t xml:space="preserve">asks questions that can only be answered by using their practical experience and the new knowledge about </w:t>
      </w:r>
      <w:r w:rsidR="006C17CA">
        <w:rPr>
          <w:lang w:val="en-GB"/>
        </w:rPr>
        <w:t xml:space="preserve">constructions </w:t>
      </w:r>
      <w:r>
        <w:rPr>
          <w:lang w:val="en-GB"/>
        </w:rPr>
        <w:t xml:space="preserve">- and by </w:t>
      </w:r>
      <w:r w:rsidR="00FD7A34">
        <w:rPr>
          <w:lang w:val="en-GB"/>
        </w:rPr>
        <w:t xml:space="preserve">using language </w:t>
      </w:r>
      <w:r>
        <w:rPr>
          <w:lang w:val="en-GB"/>
        </w:rPr>
        <w:t xml:space="preserve">specific </w:t>
      </w:r>
      <w:r w:rsidR="00FD7A34">
        <w:rPr>
          <w:lang w:val="en-GB"/>
        </w:rPr>
        <w:t>to the carpentry trade</w:t>
      </w:r>
      <w:r>
        <w:rPr>
          <w:lang w:val="en-GB"/>
        </w:rPr>
        <w:t>. The teacher</w:t>
      </w:r>
      <w:r w:rsidR="00FD7A34">
        <w:rPr>
          <w:lang w:val="en-GB"/>
        </w:rPr>
        <w:t>’s enthusiasm for the subject is clear and it</w:t>
      </w:r>
      <w:r>
        <w:rPr>
          <w:lang w:val="en-GB"/>
        </w:rPr>
        <w:t xml:space="preserve"> rubs off on the students </w:t>
      </w:r>
      <w:r w:rsidR="003D3206">
        <w:rPr>
          <w:lang w:val="en-GB"/>
        </w:rPr>
        <w:t>who</w:t>
      </w:r>
      <w:r>
        <w:rPr>
          <w:lang w:val="en-GB"/>
        </w:rPr>
        <w:t xml:space="preserve"> seem </w:t>
      </w:r>
      <w:r w:rsidR="003D3206">
        <w:rPr>
          <w:lang w:val="en-GB"/>
        </w:rPr>
        <w:t>attentive and</w:t>
      </w:r>
      <w:r>
        <w:rPr>
          <w:lang w:val="en-GB"/>
        </w:rPr>
        <w:t xml:space="preserve"> curious. The teacher</w:t>
      </w:r>
      <w:r w:rsidRPr="00877FDC">
        <w:rPr>
          <w:lang w:val="en-GB"/>
        </w:rPr>
        <w:t xml:space="preserve"> reprimands students, who </w:t>
      </w:r>
      <w:r w:rsidR="00FD7A34">
        <w:rPr>
          <w:lang w:val="en-GB"/>
        </w:rPr>
        <w:t>disturb</w:t>
      </w:r>
      <w:r>
        <w:rPr>
          <w:lang w:val="en-GB"/>
        </w:rPr>
        <w:t xml:space="preserve"> the group,</w:t>
      </w:r>
      <w:r w:rsidRPr="00877FDC">
        <w:rPr>
          <w:lang w:val="en-GB"/>
        </w:rPr>
        <w:t xml:space="preserve"> but </w:t>
      </w:r>
      <w:r>
        <w:rPr>
          <w:lang w:val="en-GB"/>
        </w:rPr>
        <w:t xml:space="preserve">he keeps a positive attitude and almost all </w:t>
      </w:r>
      <w:r w:rsidR="00FD7A34">
        <w:rPr>
          <w:lang w:val="en-GB"/>
        </w:rPr>
        <w:t xml:space="preserve">the </w:t>
      </w:r>
      <w:r>
        <w:rPr>
          <w:lang w:val="en-GB"/>
        </w:rPr>
        <w:t xml:space="preserve">students </w:t>
      </w:r>
      <w:r w:rsidR="00FD7A34">
        <w:rPr>
          <w:lang w:val="en-GB"/>
        </w:rPr>
        <w:t>are attentive and engage in</w:t>
      </w:r>
      <w:r>
        <w:rPr>
          <w:lang w:val="en-GB"/>
        </w:rPr>
        <w:t xml:space="preserve"> the process of </w:t>
      </w:r>
      <w:r w:rsidR="00FD7A34">
        <w:rPr>
          <w:lang w:val="en-GB"/>
        </w:rPr>
        <w:t>observing</w:t>
      </w:r>
      <w:r>
        <w:rPr>
          <w:lang w:val="en-GB"/>
        </w:rPr>
        <w:t xml:space="preserve">, reflecting, questioning, finding </w:t>
      </w:r>
      <w:r w:rsidR="00FD7A34">
        <w:rPr>
          <w:lang w:val="en-GB"/>
        </w:rPr>
        <w:t xml:space="preserve">problems </w:t>
      </w:r>
      <w:r>
        <w:rPr>
          <w:lang w:val="en-GB"/>
        </w:rPr>
        <w:t xml:space="preserve">and analysing </w:t>
      </w:r>
      <w:r w:rsidR="00FD7A34">
        <w:rPr>
          <w:lang w:val="en-GB"/>
        </w:rPr>
        <w:t xml:space="preserve">the </w:t>
      </w:r>
      <w:r>
        <w:rPr>
          <w:lang w:val="en-GB"/>
        </w:rPr>
        <w:t xml:space="preserve">construction </w:t>
      </w:r>
      <w:r w:rsidR="00FD7A34">
        <w:rPr>
          <w:lang w:val="en-GB"/>
        </w:rPr>
        <w:t>of the</w:t>
      </w:r>
      <w:r>
        <w:rPr>
          <w:lang w:val="en-GB"/>
        </w:rPr>
        <w:t xml:space="preserve"> houses </w:t>
      </w:r>
      <w:r w:rsidR="00FD7A34">
        <w:rPr>
          <w:lang w:val="en-GB"/>
        </w:rPr>
        <w:t>while using carpentry language</w:t>
      </w:r>
      <w:r w:rsidRPr="00877FDC">
        <w:rPr>
          <w:lang w:val="en-GB"/>
        </w:rPr>
        <w:t xml:space="preserve">. </w:t>
      </w:r>
      <w:r>
        <w:rPr>
          <w:lang w:val="en-GB"/>
        </w:rPr>
        <w:t xml:space="preserve">The fact that the knowledge and experience they gain is needed to </w:t>
      </w:r>
      <w:r w:rsidR="003C598E">
        <w:rPr>
          <w:lang w:val="en-GB"/>
        </w:rPr>
        <w:t>complete the construction of their</w:t>
      </w:r>
      <w:r>
        <w:rPr>
          <w:lang w:val="en-GB"/>
        </w:rPr>
        <w:t xml:space="preserve"> wooden cabins is obviously a motivating element</w:t>
      </w:r>
      <w:r w:rsidRPr="00964F65">
        <w:rPr>
          <w:lang w:val="en-GB"/>
        </w:rPr>
        <w:t xml:space="preserve"> (VET school, Copenhagen, 2011)</w:t>
      </w:r>
      <w:r>
        <w:rPr>
          <w:lang w:val="en-GB"/>
        </w:rPr>
        <w:t>.</w:t>
      </w:r>
    </w:p>
    <w:p w14:paraId="2137C696" w14:textId="77777777" w:rsidR="00FE22AF" w:rsidRDefault="00FE22AF" w:rsidP="00FE22AF">
      <w:pPr>
        <w:pStyle w:val="Overskrift3"/>
        <w:rPr>
          <w:lang w:val="en-US"/>
        </w:rPr>
      </w:pPr>
      <w:r>
        <w:rPr>
          <w:lang w:val="en-US"/>
        </w:rPr>
        <w:lastRenderedPageBreak/>
        <w:t xml:space="preserve">Analyzing IBE learning environments - levels of inquiry </w:t>
      </w:r>
    </w:p>
    <w:p w14:paraId="73CA1EF6" w14:textId="77777777" w:rsidR="00D3003D" w:rsidRDefault="00FE22AF" w:rsidP="00B46C22">
      <w:pPr>
        <w:rPr>
          <w:lang w:val="en-US"/>
        </w:rPr>
      </w:pPr>
      <w:r w:rsidRPr="00511286">
        <w:rPr>
          <w:lang w:val="en-US"/>
        </w:rPr>
        <w:t xml:space="preserve">In the example from the Danish VET </w:t>
      </w:r>
      <w:proofErr w:type="gramStart"/>
      <w:r w:rsidRPr="00511286">
        <w:rPr>
          <w:lang w:val="en-US"/>
        </w:rPr>
        <w:t>school</w:t>
      </w:r>
      <w:proofErr w:type="gramEnd"/>
      <w:r w:rsidR="003C598E">
        <w:rPr>
          <w:lang w:val="en-US"/>
        </w:rPr>
        <w:t>,</w:t>
      </w:r>
      <w:r w:rsidRPr="00511286">
        <w:rPr>
          <w:lang w:val="en-US"/>
        </w:rPr>
        <w:t xml:space="preserve"> </w:t>
      </w:r>
      <w:r>
        <w:rPr>
          <w:lang w:val="en-US"/>
        </w:rPr>
        <w:t xml:space="preserve">the teacher seems to be </w:t>
      </w:r>
      <w:r w:rsidR="00506646">
        <w:rPr>
          <w:lang w:val="en-US"/>
        </w:rPr>
        <w:t xml:space="preserve">rather </w:t>
      </w:r>
      <w:r>
        <w:rPr>
          <w:lang w:val="en-US"/>
        </w:rPr>
        <w:t xml:space="preserve">instructional and </w:t>
      </w:r>
      <w:r w:rsidR="00ED2BD1">
        <w:rPr>
          <w:lang w:val="en-US"/>
        </w:rPr>
        <w:t xml:space="preserve">possibly </w:t>
      </w:r>
      <w:r>
        <w:rPr>
          <w:lang w:val="en-US"/>
        </w:rPr>
        <w:t xml:space="preserve">has a more detailed </w:t>
      </w:r>
      <w:r w:rsidR="00ED2BD1">
        <w:rPr>
          <w:lang w:val="en-US"/>
        </w:rPr>
        <w:t>subject-</w:t>
      </w:r>
      <w:r>
        <w:rPr>
          <w:lang w:val="en-US"/>
        </w:rPr>
        <w:t>orientated goal for the outcome</w:t>
      </w:r>
      <w:r w:rsidR="00CB711D">
        <w:rPr>
          <w:lang w:val="en-US"/>
        </w:rPr>
        <w:t xml:space="preserve"> of the session. There is a</w:t>
      </w:r>
      <w:r>
        <w:rPr>
          <w:lang w:val="en-US"/>
        </w:rPr>
        <w:t xml:space="preserve"> clear </w:t>
      </w:r>
      <w:r w:rsidR="00D3003D">
        <w:rPr>
          <w:lang w:val="en-US"/>
        </w:rPr>
        <w:t>demarcation</w:t>
      </w:r>
      <w:r>
        <w:rPr>
          <w:lang w:val="en-US"/>
        </w:rPr>
        <w:t xml:space="preserve"> </w:t>
      </w:r>
      <w:r w:rsidR="00CB711D">
        <w:rPr>
          <w:lang w:val="en-US"/>
        </w:rPr>
        <w:t>between</w:t>
      </w:r>
      <w:r>
        <w:rPr>
          <w:lang w:val="en-US"/>
        </w:rPr>
        <w:t xml:space="preserve"> the teacher’s and the students’ position. T</w:t>
      </w:r>
      <w:r w:rsidR="00CB711D">
        <w:rPr>
          <w:lang w:val="en-US"/>
        </w:rPr>
        <w:t>he students are</w:t>
      </w:r>
      <w:r w:rsidRPr="00511286">
        <w:rPr>
          <w:lang w:val="en-US"/>
        </w:rPr>
        <w:t xml:space="preserve"> positioned as knowledge receivers when the teacher shares his knowledge and experience </w:t>
      </w:r>
      <w:r w:rsidR="00ED2BD1">
        <w:rPr>
          <w:lang w:val="en-US"/>
        </w:rPr>
        <w:t>regarding the</w:t>
      </w:r>
      <w:r w:rsidR="00ED2BD1" w:rsidRPr="00511286">
        <w:rPr>
          <w:lang w:val="en-US"/>
        </w:rPr>
        <w:t xml:space="preserve"> </w:t>
      </w:r>
      <w:r w:rsidRPr="00511286">
        <w:rPr>
          <w:lang w:val="en-US"/>
        </w:rPr>
        <w:t xml:space="preserve">different construction </w:t>
      </w:r>
      <w:r w:rsidR="00ED2BD1">
        <w:rPr>
          <w:lang w:val="en-US"/>
        </w:rPr>
        <w:t>methods</w:t>
      </w:r>
      <w:r w:rsidR="00ED2BD1" w:rsidRPr="00511286">
        <w:rPr>
          <w:lang w:val="en-US"/>
        </w:rPr>
        <w:t xml:space="preserve"> </w:t>
      </w:r>
      <w:r w:rsidRPr="00511286">
        <w:rPr>
          <w:lang w:val="en-US"/>
        </w:rPr>
        <w:t xml:space="preserve">on the city walk. </w:t>
      </w:r>
      <w:r w:rsidR="00161C21">
        <w:rPr>
          <w:lang w:val="en-US"/>
        </w:rPr>
        <w:t>At first glance</w:t>
      </w:r>
      <w:r w:rsidR="00ED2BD1">
        <w:rPr>
          <w:lang w:val="en-US"/>
        </w:rPr>
        <w:t>,</w:t>
      </w:r>
      <w:r w:rsidR="00161C21">
        <w:rPr>
          <w:lang w:val="en-US"/>
        </w:rPr>
        <w:t xml:space="preserve"> this does not look much like IBE</w:t>
      </w:r>
      <w:r w:rsidR="00983398" w:rsidRPr="00983398">
        <w:rPr>
          <w:lang w:val="en-US"/>
        </w:rPr>
        <w:t xml:space="preserve"> </w:t>
      </w:r>
      <w:r w:rsidR="00983398">
        <w:rPr>
          <w:lang w:val="en-US"/>
        </w:rPr>
        <w:t>where students</w:t>
      </w:r>
      <w:r w:rsidR="00ED2BD1">
        <w:rPr>
          <w:lang w:val="en-US"/>
        </w:rPr>
        <w:t>’ role is to be</w:t>
      </w:r>
      <w:r w:rsidR="00096F10">
        <w:rPr>
          <w:lang w:val="en-US"/>
        </w:rPr>
        <w:t xml:space="preserve"> active</w:t>
      </w:r>
      <w:r w:rsidR="00983398">
        <w:rPr>
          <w:lang w:val="en-US"/>
        </w:rPr>
        <w:t xml:space="preserve"> knowledge producers. In the example</w:t>
      </w:r>
      <w:r w:rsidR="00ED2BD1">
        <w:rPr>
          <w:lang w:val="en-US"/>
        </w:rPr>
        <w:t>,</w:t>
      </w:r>
      <w:r w:rsidR="00983398">
        <w:rPr>
          <w:lang w:val="en-US"/>
        </w:rPr>
        <w:t xml:space="preserve"> the learning environment is</w:t>
      </w:r>
      <w:r w:rsidR="00161C21">
        <w:rPr>
          <w:lang w:val="en-US"/>
        </w:rPr>
        <w:t xml:space="preserve"> </w:t>
      </w:r>
      <w:r w:rsidR="00ED2BD1">
        <w:rPr>
          <w:lang w:val="en-US"/>
        </w:rPr>
        <w:t>similar to</w:t>
      </w:r>
      <w:r w:rsidR="00161C21">
        <w:rPr>
          <w:lang w:val="en-US"/>
        </w:rPr>
        <w:t xml:space="preserve"> a </w:t>
      </w:r>
      <w:r w:rsidR="00983398">
        <w:rPr>
          <w:lang w:val="en-US"/>
        </w:rPr>
        <w:t>traditional school setting where teacher–</w:t>
      </w:r>
      <w:r>
        <w:rPr>
          <w:lang w:val="en-US"/>
        </w:rPr>
        <w:t>student relation</w:t>
      </w:r>
      <w:r w:rsidR="00983398">
        <w:rPr>
          <w:lang w:val="en-US"/>
        </w:rPr>
        <w:t xml:space="preserve">s </w:t>
      </w:r>
      <w:r w:rsidR="00ED2BD1">
        <w:rPr>
          <w:lang w:val="en-US"/>
        </w:rPr>
        <w:t xml:space="preserve">are </w:t>
      </w:r>
      <w:r w:rsidR="00161C21">
        <w:rPr>
          <w:lang w:val="en-US"/>
        </w:rPr>
        <w:t>clear</w:t>
      </w:r>
      <w:r w:rsidR="00ED2BD1">
        <w:rPr>
          <w:lang w:val="en-US"/>
        </w:rPr>
        <w:t>ly</w:t>
      </w:r>
      <w:r w:rsidR="00161C21">
        <w:rPr>
          <w:lang w:val="en-US"/>
        </w:rPr>
        <w:t xml:space="preserve"> </w:t>
      </w:r>
      <w:r w:rsidR="00ED2BD1">
        <w:rPr>
          <w:lang w:val="en-US"/>
        </w:rPr>
        <w:t>demarcated</w:t>
      </w:r>
      <w:r w:rsidR="00161C21">
        <w:rPr>
          <w:lang w:val="en-US"/>
        </w:rPr>
        <w:t xml:space="preserve"> </w:t>
      </w:r>
      <w:r>
        <w:rPr>
          <w:lang w:val="en-US"/>
        </w:rPr>
        <w:t xml:space="preserve">without </w:t>
      </w:r>
      <w:r w:rsidR="00161C21">
        <w:rPr>
          <w:lang w:val="en-US"/>
        </w:rPr>
        <w:t>much opportunity</w:t>
      </w:r>
      <w:r>
        <w:rPr>
          <w:lang w:val="en-US"/>
        </w:rPr>
        <w:t xml:space="preserve"> for the students to </w:t>
      </w:r>
      <w:r>
        <w:rPr>
          <w:i/>
          <w:lang w:val="en-US"/>
        </w:rPr>
        <w:t xml:space="preserve">inquire </w:t>
      </w:r>
      <w:r>
        <w:rPr>
          <w:lang w:val="en-US"/>
        </w:rPr>
        <w:t xml:space="preserve">or construct knowledge. However, </w:t>
      </w:r>
      <w:r w:rsidR="00ED2BD1">
        <w:rPr>
          <w:lang w:val="en-US"/>
        </w:rPr>
        <w:t>on closer examination it is not so</w:t>
      </w:r>
      <w:r w:rsidR="00ED2BD1" w:rsidRPr="00ED2BD1">
        <w:rPr>
          <w:lang w:val="en-US"/>
        </w:rPr>
        <w:t xml:space="preserve"> </w:t>
      </w:r>
      <w:r w:rsidR="00ED2BD1">
        <w:rPr>
          <w:lang w:val="en-US"/>
        </w:rPr>
        <w:t>straightforward</w:t>
      </w:r>
      <w:r>
        <w:rPr>
          <w:lang w:val="en-US"/>
        </w:rPr>
        <w:t xml:space="preserve">. As </w:t>
      </w:r>
      <w:r w:rsidR="00ED2BD1">
        <w:rPr>
          <w:lang w:val="en-US"/>
        </w:rPr>
        <w:t xml:space="preserve">previously </w:t>
      </w:r>
      <w:r>
        <w:rPr>
          <w:lang w:val="en-US"/>
        </w:rPr>
        <w:t>mention</w:t>
      </w:r>
      <w:r w:rsidR="00826B84">
        <w:rPr>
          <w:lang w:val="en-US"/>
        </w:rPr>
        <w:t>ed</w:t>
      </w:r>
      <w:r w:rsidR="00ED2BD1">
        <w:rPr>
          <w:lang w:val="en-US"/>
        </w:rPr>
        <w:t>,</w:t>
      </w:r>
      <w:r>
        <w:rPr>
          <w:lang w:val="en-US"/>
        </w:rPr>
        <w:t xml:space="preserve"> IBE is not a </w:t>
      </w:r>
      <w:r w:rsidR="00ED2BD1">
        <w:rPr>
          <w:lang w:val="en-US"/>
        </w:rPr>
        <w:t xml:space="preserve">blueprint on </w:t>
      </w:r>
      <w:r>
        <w:rPr>
          <w:lang w:val="en-US"/>
        </w:rPr>
        <w:t>how to teach</w:t>
      </w:r>
      <w:r w:rsidR="00ED2BD1">
        <w:rPr>
          <w:lang w:val="en-US"/>
        </w:rPr>
        <w:t xml:space="preserve"> but should</w:t>
      </w:r>
      <w:r w:rsidR="00506646">
        <w:rPr>
          <w:lang w:val="en-US"/>
        </w:rPr>
        <w:t xml:space="preserve"> be understood as a </w:t>
      </w:r>
      <w:r w:rsidRPr="00E958ED">
        <w:rPr>
          <w:lang w:val="en-US"/>
        </w:rPr>
        <w:t xml:space="preserve">learning </w:t>
      </w:r>
      <w:r w:rsidR="00506646">
        <w:rPr>
          <w:lang w:val="en-US"/>
        </w:rPr>
        <w:t xml:space="preserve">approach </w:t>
      </w:r>
      <w:r w:rsidRPr="00E958ED">
        <w:rPr>
          <w:lang w:val="en-US"/>
        </w:rPr>
        <w:t>and a teaching methodology</w:t>
      </w:r>
      <w:r>
        <w:rPr>
          <w:lang w:val="en-US"/>
        </w:rPr>
        <w:t xml:space="preserve"> that can be adjusted to fit different contexts. </w:t>
      </w:r>
      <w:r w:rsidR="00ED2BD1">
        <w:rPr>
          <w:lang w:val="en-US"/>
        </w:rPr>
        <w:t xml:space="preserve">Furthermore, </w:t>
      </w:r>
      <w:r>
        <w:rPr>
          <w:lang w:val="en-US"/>
        </w:rPr>
        <w:t xml:space="preserve">even though IBE entails a blurring of the demarcation between teacher and students, it is essential to maintain the core educational objective </w:t>
      </w:r>
      <w:r w:rsidR="009713E0">
        <w:rPr>
          <w:lang w:val="en-US"/>
        </w:rPr>
        <w:t>which</w:t>
      </w:r>
      <w:r>
        <w:rPr>
          <w:lang w:val="en-US"/>
        </w:rPr>
        <w:t xml:space="preserve"> means that the teacher is ultimate</w:t>
      </w:r>
      <w:r w:rsidR="009713E0">
        <w:rPr>
          <w:lang w:val="en-US"/>
        </w:rPr>
        <w:t>ly</w:t>
      </w:r>
      <w:r>
        <w:rPr>
          <w:lang w:val="en-US"/>
        </w:rPr>
        <w:t xml:space="preserve"> responsible for the </w:t>
      </w:r>
      <w:r w:rsidRPr="00173C98">
        <w:rPr>
          <w:lang w:val="en-US"/>
        </w:rPr>
        <w:t xml:space="preserve">educational direction </w:t>
      </w:r>
      <w:r>
        <w:rPr>
          <w:lang w:val="en-US"/>
        </w:rPr>
        <w:t xml:space="preserve">and for providing the students </w:t>
      </w:r>
      <w:r w:rsidR="009713E0">
        <w:rPr>
          <w:lang w:val="en-US"/>
        </w:rPr>
        <w:t>with the opportunity to progressively accumulate</w:t>
      </w:r>
      <w:r>
        <w:rPr>
          <w:lang w:val="en-US"/>
        </w:rPr>
        <w:t xml:space="preserve"> </w:t>
      </w:r>
      <w:r w:rsidRPr="00173C98">
        <w:rPr>
          <w:lang w:val="en-US"/>
        </w:rPr>
        <w:t>relevant knowledge</w:t>
      </w:r>
      <w:r>
        <w:rPr>
          <w:lang w:val="en-US"/>
        </w:rPr>
        <w:t>. On a general level</w:t>
      </w:r>
      <w:r w:rsidR="009713E0">
        <w:rPr>
          <w:lang w:val="en-US"/>
        </w:rPr>
        <w:t>,</w:t>
      </w:r>
      <w:r>
        <w:rPr>
          <w:lang w:val="en-US"/>
        </w:rPr>
        <w:t xml:space="preserve"> this often implies a more controlling teacher in the beginning of a training course. </w:t>
      </w:r>
      <w:r w:rsidR="009713E0">
        <w:rPr>
          <w:lang w:val="en-US"/>
        </w:rPr>
        <w:t>However, a</w:t>
      </w:r>
      <w:r>
        <w:rPr>
          <w:lang w:val="en-US"/>
        </w:rPr>
        <w:t>s the course progresses</w:t>
      </w:r>
      <w:r w:rsidR="009713E0">
        <w:rPr>
          <w:lang w:val="en-US"/>
        </w:rPr>
        <w:t>,</w:t>
      </w:r>
      <w:r>
        <w:rPr>
          <w:lang w:val="en-US"/>
        </w:rPr>
        <w:t xml:space="preserve"> the teacher </w:t>
      </w:r>
      <w:r w:rsidR="009713E0">
        <w:rPr>
          <w:lang w:val="en-US"/>
        </w:rPr>
        <w:t xml:space="preserve">can </w:t>
      </w:r>
      <w:r w:rsidR="00506646">
        <w:rPr>
          <w:lang w:val="en-US"/>
        </w:rPr>
        <w:t xml:space="preserve">gradually </w:t>
      </w:r>
      <w:r w:rsidR="009713E0">
        <w:rPr>
          <w:lang w:val="en-US"/>
        </w:rPr>
        <w:t xml:space="preserve">give the students </w:t>
      </w:r>
      <w:r>
        <w:rPr>
          <w:lang w:val="en-US"/>
        </w:rPr>
        <w:t xml:space="preserve">more responsibility. </w:t>
      </w:r>
    </w:p>
    <w:p w14:paraId="2C12C598" w14:textId="77777777" w:rsidR="00D3003D" w:rsidRDefault="00D3003D" w:rsidP="00B46C22">
      <w:pPr>
        <w:rPr>
          <w:lang w:val="en-US"/>
        </w:rPr>
      </w:pPr>
    </w:p>
    <w:p w14:paraId="6733265E" w14:textId="77777777" w:rsidR="00C03139" w:rsidRDefault="00FE22AF" w:rsidP="00B46C22">
      <w:pPr>
        <w:rPr>
          <w:lang w:val="en-US"/>
        </w:rPr>
      </w:pPr>
      <w:r>
        <w:rPr>
          <w:lang w:val="en-US"/>
        </w:rPr>
        <w:t>This approach is also found in Banchi &amp;</w:t>
      </w:r>
      <w:r w:rsidRPr="00CB4D2A">
        <w:rPr>
          <w:lang w:val="en-US"/>
        </w:rPr>
        <w:t xml:space="preserve"> Bell (2008) </w:t>
      </w:r>
      <w:r w:rsidR="009713E0">
        <w:rPr>
          <w:lang w:val="en-US"/>
        </w:rPr>
        <w:t xml:space="preserve">who develop the following </w:t>
      </w:r>
      <w:r>
        <w:rPr>
          <w:lang w:val="en-US"/>
        </w:rPr>
        <w:t xml:space="preserve">analytical distinction between </w:t>
      </w:r>
      <w:r w:rsidRPr="00CB4D2A">
        <w:rPr>
          <w:lang w:val="en-US"/>
        </w:rPr>
        <w:t>four l</w:t>
      </w:r>
      <w:r>
        <w:rPr>
          <w:lang w:val="en-US"/>
        </w:rPr>
        <w:t xml:space="preserve">evels of inquiry: </w:t>
      </w:r>
      <w:r w:rsidRPr="00CB4D2A">
        <w:rPr>
          <w:lang w:val="en-US"/>
        </w:rPr>
        <w:t>confirmation,</w:t>
      </w:r>
      <w:r>
        <w:rPr>
          <w:lang w:val="en-US"/>
        </w:rPr>
        <w:t xml:space="preserve"> </w:t>
      </w:r>
      <w:r w:rsidRPr="00CB4D2A">
        <w:rPr>
          <w:lang w:val="en-US"/>
        </w:rPr>
        <w:t>structured, guided and</w:t>
      </w:r>
      <w:r>
        <w:rPr>
          <w:lang w:val="en-US"/>
        </w:rPr>
        <w:t xml:space="preserve"> </w:t>
      </w:r>
      <w:r w:rsidRPr="00CB4D2A">
        <w:rPr>
          <w:lang w:val="en-US"/>
        </w:rPr>
        <w:t>open inquiry.</w:t>
      </w:r>
      <w:r>
        <w:rPr>
          <w:lang w:val="en-US"/>
        </w:rPr>
        <w:t xml:space="preserve"> </w:t>
      </w:r>
      <w:r w:rsidR="009713E0">
        <w:rPr>
          <w:lang w:val="en-US"/>
        </w:rPr>
        <w:t xml:space="preserve">According to </w:t>
      </w:r>
      <w:r w:rsidR="00D3003D">
        <w:rPr>
          <w:lang w:val="en-US"/>
        </w:rPr>
        <w:t xml:space="preserve">Banchi &amp; Bell, </w:t>
      </w:r>
      <w:r>
        <w:rPr>
          <w:lang w:val="en-US"/>
        </w:rPr>
        <w:t>the first and second level (</w:t>
      </w:r>
      <w:r w:rsidRPr="00CB4D2A">
        <w:rPr>
          <w:lang w:val="en-US"/>
        </w:rPr>
        <w:t xml:space="preserve">confirmation </w:t>
      </w:r>
      <w:r>
        <w:rPr>
          <w:lang w:val="en-US"/>
        </w:rPr>
        <w:t xml:space="preserve">and structured inquiry) </w:t>
      </w:r>
      <w:r w:rsidR="00D3003D">
        <w:rPr>
          <w:lang w:val="en-US"/>
        </w:rPr>
        <w:t xml:space="preserve">provide </w:t>
      </w:r>
      <w:r>
        <w:rPr>
          <w:lang w:val="en-US"/>
        </w:rPr>
        <w:t xml:space="preserve">the students </w:t>
      </w:r>
      <w:r w:rsidRPr="00CB4D2A">
        <w:rPr>
          <w:lang w:val="en-US"/>
        </w:rPr>
        <w:t>with the question</w:t>
      </w:r>
      <w:r w:rsidR="009713E0">
        <w:rPr>
          <w:lang w:val="en-US"/>
        </w:rPr>
        <w:t>s</w:t>
      </w:r>
      <w:r w:rsidRPr="00CB4D2A">
        <w:rPr>
          <w:lang w:val="en-US"/>
        </w:rPr>
        <w:t xml:space="preserve"> and procedure</w:t>
      </w:r>
      <w:r w:rsidR="009713E0">
        <w:rPr>
          <w:lang w:val="en-US"/>
        </w:rPr>
        <w:t>s</w:t>
      </w:r>
      <w:r>
        <w:rPr>
          <w:lang w:val="en-US"/>
        </w:rPr>
        <w:t xml:space="preserve"> and the students are seen mostly as knowledge </w:t>
      </w:r>
      <w:r w:rsidR="00A82EDB">
        <w:rPr>
          <w:lang w:val="en-US"/>
        </w:rPr>
        <w:t>receivers</w:t>
      </w:r>
      <w:r>
        <w:rPr>
          <w:lang w:val="en-US"/>
        </w:rPr>
        <w:t xml:space="preserve">. These kinds of inquiry would make sense </w:t>
      </w:r>
      <w:r w:rsidR="00725734">
        <w:rPr>
          <w:lang w:val="en-US"/>
        </w:rPr>
        <w:t>to draw on</w:t>
      </w:r>
      <w:r>
        <w:rPr>
          <w:lang w:val="en-US"/>
        </w:rPr>
        <w:t xml:space="preserve"> when</w:t>
      </w:r>
      <w:r w:rsidR="009713E0">
        <w:rPr>
          <w:lang w:val="en-US"/>
        </w:rPr>
        <w:t>,</w:t>
      </w:r>
      <w:r>
        <w:rPr>
          <w:lang w:val="en-US"/>
        </w:rPr>
        <w:t xml:space="preserve"> </w:t>
      </w:r>
      <w:r w:rsidR="00D3003D">
        <w:rPr>
          <w:lang w:val="en-US"/>
        </w:rPr>
        <w:t xml:space="preserve">e.g. </w:t>
      </w:r>
      <w:r>
        <w:rPr>
          <w:lang w:val="en-US"/>
        </w:rPr>
        <w:t xml:space="preserve">carpenter students </w:t>
      </w:r>
      <w:r w:rsidR="00725734">
        <w:rPr>
          <w:lang w:val="en-US"/>
        </w:rPr>
        <w:t>are</w:t>
      </w:r>
      <w:r>
        <w:rPr>
          <w:lang w:val="en-US"/>
        </w:rPr>
        <w:t xml:space="preserve"> introduced to </w:t>
      </w:r>
      <w:r w:rsidR="00725734">
        <w:rPr>
          <w:lang w:val="en-US"/>
        </w:rPr>
        <w:t>a new subject</w:t>
      </w:r>
      <w:r w:rsidR="00C03139">
        <w:rPr>
          <w:lang w:val="en-US"/>
        </w:rPr>
        <w:t xml:space="preserve"> area</w:t>
      </w:r>
      <w:r w:rsidR="00D3003D">
        <w:rPr>
          <w:lang w:val="en-US"/>
        </w:rPr>
        <w:t xml:space="preserve"> like </w:t>
      </w:r>
      <w:r>
        <w:rPr>
          <w:lang w:val="en-US"/>
        </w:rPr>
        <w:t xml:space="preserve">building the wooden cabins and </w:t>
      </w:r>
      <w:r w:rsidR="00C03139">
        <w:rPr>
          <w:lang w:val="en-US"/>
        </w:rPr>
        <w:t xml:space="preserve">learning about construction </w:t>
      </w:r>
      <w:r w:rsidR="009713E0">
        <w:rPr>
          <w:lang w:val="en-US"/>
        </w:rPr>
        <w:t>during</w:t>
      </w:r>
      <w:r>
        <w:rPr>
          <w:lang w:val="en-US"/>
        </w:rPr>
        <w:t xml:space="preserve"> the city walk. </w:t>
      </w:r>
      <w:r w:rsidR="009713E0">
        <w:rPr>
          <w:lang w:val="en-US"/>
        </w:rPr>
        <w:t xml:space="preserve">When </w:t>
      </w:r>
      <w:r w:rsidR="00C03139">
        <w:rPr>
          <w:lang w:val="en-US"/>
        </w:rPr>
        <w:t>introducing the new subject areas</w:t>
      </w:r>
      <w:r w:rsidR="009713E0">
        <w:rPr>
          <w:lang w:val="en-US"/>
        </w:rPr>
        <w:t>,</w:t>
      </w:r>
      <w:r w:rsidR="00C03139">
        <w:rPr>
          <w:lang w:val="en-US"/>
        </w:rPr>
        <w:t xml:space="preserve"> the teacher reduces the complexity and outlines how to fulfill a tack and </w:t>
      </w:r>
      <w:r w:rsidR="009713E0">
        <w:rPr>
          <w:lang w:val="en-US"/>
        </w:rPr>
        <w:t xml:space="preserve">what </w:t>
      </w:r>
      <w:r w:rsidR="00C03139">
        <w:rPr>
          <w:lang w:val="en-US"/>
        </w:rPr>
        <w:t xml:space="preserve">the </w:t>
      </w:r>
      <w:r w:rsidR="009713E0">
        <w:rPr>
          <w:lang w:val="en-US"/>
        </w:rPr>
        <w:t xml:space="preserve">desired </w:t>
      </w:r>
      <w:r w:rsidRPr="00CB4D2A">
        <w:rPr>
          <w:lang w:val="en-US"/>
        </w:rPr>
        <w:t>results</w:t>
      </w:r>
      <w:r w:rsidR="00C03139">
        <w:rPr>
          <w:lang w:val="en-US"/>
        </w:rPr>
        <w:t xml:space="preserve"> look</w:t>
      </w:r>
      <w:r w:rsidR="00161C21">
        <w:rPr>
          <w:lang w:val="en-US"/>
        </w:rPr>
        <w:t xml:space="preserve"> like</w:t>
      </w:r>
      <w:r w:rsidR="00C03139">
        <w:rPr>
          <w:lang w:val="en-US"/>
        </w:rPr>
        <w:t>. In this phase</w:t>
      </w:r>
      <w:r w:rsidR="009713E0">
        <w:rPr>
          <w:lang w:val="en-US"/>
        </w:rPr>
        <w:t>,</w:t>
      </w:r>
      <w:r w:rsidR="00C03139">
        <w:rPr>
          <w:lang w:val="en-US"/>
        </w:rPr>
        <w:t xml:space="preserve"> c</w:t>
      </w:r>
      <w:r w:rsidRPr="00CB4D2A">
        <w:rPr>
          <w:lang w:val="en-US"/>
        </w:rPr>
        <w:t xml:space="preserve">onfirmation of the </w:t>
      </w:r>
      <w:r>
        <w:rPr>
          <w:lang w:val="en-US"/>
        </w:rPr>
        <w:t xml:space="preserve">process and </w:t>
      </w:r>
      <w:r w:rsidR="009713E0">
        <w:rPr>
          <w:lang w:val="en-US"/>
        </w:rPr>
        <w:t xml:space="preserve">the </w:t>
      </w:r>
      <w:r w:rsidRPr="00CB4D2A">
        <w:rPr>
          <w:lang w:val="en-US"/>
        </w:rPr>
        <w:t xml:space="preserve">results </w:t>
      </w:r>
      <w:r w:rsidR="009713E0">
        <w:rPr>
          <w:lang w:val="en-US"/>
        </w:rPr>
        <w:t>are</w:t>
      </w:r>
      <w:r w:rsidR="009713E0" w:rsidRPr="00CB4D2A">
        <w:rPr>
          <w:lang w:val="en-US"/>
        </w:rPr>
        <w:t xml:space="preserve"> </w:t>
      </w:r>
      <w:r w:rsidRPr="00CB4D2A">
        <w:rPr>
          <w:lang w:val="en-US"/>
        </w:rPr>
        <w:t xml:space="preserve">the </w:t>
      </w:r>
      <w:r w:rsidR="009713E0">
        <w:rPr>
          <w:lang w:val="en-US"/>
        </w:rPr>
        <w:t>aim</w:t>
      </w:r>
      <w:r w:rsidR="009713E0" w:rsidRPr="00CB4D2A">
        <w:rPr>
          <w:lang w:val="en-US"/>
        </w:rPr>
        <w:t xml:space="preserve"> </w:t>
      </w:r>
      <w:r w:rsidRPr="00CB4D2A">
        <w:rPr>
          <w:lang w:val="en-US"/>
        </w:rPr>
        <w:t xml:space="preserve">of the inquiry. </w:t>
      </w:r>
    </w:p>
    <w:p w14:paraId="3053CF4C" w14:textId="77777777" w:rsidR="00C03139" w:rsidRDefault="00C03139" w:rsidP="00B46C22">
      <w:pPr>
        <w:rPr>
          <w:lang w:val="en-US"/>
        </w:rPr>
      </w:pPr>
    </w:p>
    <w:p w14:paraId="1A4466B6" w14:textId="77777777" w:rsidR="00B46C22" w:rsidRDefault="00161C21" w:rsidP="00B46C22">
      <w:pPr>
        <w:rPr>
          <w:lang w:val="en-US"/>
        </w:rPr>
      </w:pPr>
      <w:r>
        <w:rPr>
          <w:lang w:val="en-US"/>
        </w:rPr>
        <w:lastRenderedPageBreak/>
        <w:t>On t</w:t>
      </w:r>
      <w:r w:rsidR="00FE22AF">
        <w:rPr>
          <w:lang w:val="en-US"/>
        </w:rPr>
        <w:t xml:space="preserve">he third and </w:t>
      </w:r>
      <w:r>
        <w:rPr>
          <w:lang w:val="en-US"/>
        </w:rPr>
        <w:t>fourth</w:t>
      </w:r>
      <w:r w:rsidR="00FE22AF">
        <w:rPr>
          <w:lang w:val="en-US"/>
        </w:rPr>
        <w:t xml:space="preserve"> level</w:t>
      </w:r>
      <w:r w:rsidR="00C03139">
        <w:rPr>
          <w:lang w:val="en-US"/>
        </w:rPr>
        <w:t xml:space="preserve"> of inquiry</w:t>
      </w:r>
      <w:r w:rsidR="00FE22AF">
        <w:rPr>
          <w:lang w:val="en-US"/>
        </w:rPr>
        <w:t xml:space="preserve"> (</w:t>
      </w:r>
      <w:r w:rsidR="00FE22AF" w:rsidRPr="00CB4D2A">
        <w:rPr>
          <w:lang w:val="en-US"/>
        </w:rPr>
        <w:t>guided inquiry</w:t>
      </w:r>
      <w:r w:rsidR="00FE22AF">
        <w:rPr>
          <w:lang w:val="en-US"/>
        </w:rPr>
        <w:t xml:space="preserve"> and open inquiry)</w:t>
      </w:r>
      <w:r w:rsidR="009713E0">
        <w:rPr>
          <w:lang w:val="en-US"/>
        </w:rPr>
        <w:t>,</w:t>
      </w:r>
      <w:r w:rsidR="00FE22AF">
        <w:rPr>
          <w:lang w:val="en-US"/>
        </w:rPr>
        <w:t xml:space="preserve"> the students </w:t>
      </w:r>
      <w:r w:rsidR="00C03139">
        <w:rPr>
          <w:lang w:val="en-US"/>
        </w:rPr>
        <w:t xml:space="preserve">create or </w:t>
      </w:r>
      <w:r w:rsidR="00FE22AF">
        <w:rPr>
          <w:lang w:val="en-US"/>
        </w:rPr>
        <w:t xml:space="preserve">are </w:t>
      </w:r>
      <w:r w:rsidR="00FE22AF" w:rsidRPr="00CB4D2A">
        <w:rPr>
          <w:lang w:val="en-US"/>
        </w:rPr>
        <w:t xml:space="preserve">provided with </w:t>
      </w:r>
      <w:r w:rsidR="00FE22AF">
        <w:rPr>
          <w:lang w:val="en-US"/>
        </w:rPr>
        <w:t>a</w:t>
      </w:r>
      <w:r w:rsidR="00FE22AF" w:rsidRPr="00CB4D2A">
        <w:rPr>
          <w:lang w:val="en-US"/>
        </w:rPr>
        <w:t xml:space="preserve"> </w:t>
      </w:r>
      <w:r w:rsidR="00FE22AF">
        <w:rPr>
          <w:lang w:val="en-US"/>
        </w:rPr>
        <w:t xml:space="preserve">more or less </w:t>
      </w:r>
      <w:r w:rsidR="009713E0">
        <w:rPr>
          <w:lang w:val="en-US"/>
        </w:rPr>
        <w:t xml:space="preserve">completed </w:t>
      </w:r>
      <w:r w:rsidR="00FE22AF" w:rsidRPr="00CB4D2A">
        <w:rPr>
          <w:lang w:val="en-US"/>
        </w:rPr>
        <w:t>research question</w:t>
      </w:r>
      <w:r w:rsidR="00FE22AF">
        <w:rPr>
          <w:lang w:val="en-US"/>
        </w:rPr>
        <w:t xml:space="preserve"> and their task is to</w:t>
      </w:r>
      <w:r w:rsidR="00FE22AF" w:rsidRPr="00CB4D2A">
        <w:rPr>
          <w:lang w:val="en-US"/>
        </w:rPr>
        <w:t xml:space="preserve"> </w:t>
      </w:r>
      <w:r w:rsidR="009713E0">
        <w:rPr>
          <w:lang w:val="en-US"/>
        </w:rPr>
        <w:t xml:space="preserve">conduct </w:t>
      </w:r>
      <w:r w:rsidR="00FE22AF">
        <w:rPr>
          <w:lang w:val="en-US"/>
        </w:rPr>
        <w:t>research and find explanations</w:t>
      </w:r>
      <w:r w:rsidR="00C03139">
        <w:rPr>
          <w:lang w:val="en-US"/>
        </w:rPr>
        <w:t>. This positions the students as knowledge developers</w:t>
      </w:r>
      <w:r w:rsidR="00506646">
        <w:rPr>
          <w:lang w:val="en-US"/>
        </w:rPr>
        <w:t xml:space="preserve"> and t</w:t>
      </w:r>
      <w:r w:rsidR="00C03139">
        <w:rPr>
          <w:lang w:val="en-US"/>
        </w:rPr>
        <w:t>he teacher</w:t>
      </w:r>
      <w:r w:rsidR="00506646">
        <w:rPr>
          <w:lang w:val="en-US"/>
        </w:rPr>
        <w:t xml:space="preserve"> as responsible for opening up complex </w:t>
      </w:r>
      <w:r w:rsidR="001A5E39" w:rsidRPr="00506646">
        <w:rPr>
          <w:i/>
          <w:lang w:val="en-US"/>
        </w:rPr>
        <w:t>subject areas</w:t>
      </w:r>
      <w:r w:rsidR="00506646">
        <w:rPr>
          <w:lang w:val="en-US"/>
        </w:rPr>
        <w:t xml:space="preserve"> for inquiry</w:t>
      </w:r>
      <w:r w:rsidR="009713E0">
        <w:rPr>
          <w:lang w:val="en-US"/>
        </w:rPr>
        <w:t>, which</w:t>
      </w:r>
      <w:r w:rsidR="001A5E39">
        <w:rPr>
          <w:lang w:val="en-US"/>
        </w:rPr>
        <w:t xml:space="preserve"> </w:t>
      </w:r>
      <w:r w:rsidR="009713E0">
        <w:rPr>
          <w:lang w:val="en-US"/>
        </w:rPr>
        <w:t xml:space="preserve">demands </w:t>
      </w:r>
      <w:r w:rsidR="001A5E39">
        <w:rPr>
          <w:lang w:val="en-US"/>
        </w:rPr>
        <w:t xml:space="preserve">that the students </w:t>
      </w:r>
      <w:r w:rsidR="00FE22AF" w:rsidRPr="00CB4D2A">
        <w:rPr>
          <w:lang w:val="en-US"/>
        </w:rPr>
        <w:t>have</w:t>
      </w:r>
      <w:r w:rsidR="00FE22AF">
        <w:rPr>
          <w:lang w:val="en-US"/>
        </w:rPr>
        <w:t xml:space="preserve"> </w:t>
      </w:r>
      <w:r>
        <w:rPr>
          <w:lang w:val="en-US"/>
        </w:rPr>
        <w:t xml:space="preserve">theoretical </w:t>
      </w:r>
      <w:r w:rsidR="00FE22AF">
        <w:rPr>
          <w:lang w:val="en-US"/>
        </w:rPr>
        <w:t xml:space="preserve">knowledge and </w:t>
      </w:r>
      <w:r>
        <w:rPr>
          <w:lang w:val="en-US"/>
        </w:rPr>
        <w:t xml:space="preserve">practical </w:t>
      </w:r>
      <w:r w:rsidR="00FE22AF">
        <w:rPr>
          <w:lang w:val="en-US"/>
        </w:rPr>
        <w:t xml:space="preserve">experience </w:t>
      </w:r>
      <w:r w:rsidR="009713E0">
        <w:rPr>
          <w:lang w:val="en-US"/>
        </w:rPr>
        <w:t xml:space="preserve">regarding </w:t>
      </w:r>
      <w:r w:rsidR="00FE22AF">
        <w:rPr>
          <w:lang w:val="en-US"/>
        </w:rPr>
        <w:t xml:space="preserve">the subject </w:t>
      </w:r>
      <w:r>
        <w:rPr>
          <w:lang w:val="en-US"/>
        </w:rPr>
        <w:t xml:space="preserve">matter. However, </w:t>
      </w:r>
      <w:r w:rsidR="009713E0">
        <w:rPr>
          <w:lang w:val="en-US"/>
        </w:rPr>
        <w:t xml:space="preserve">in the Danish example, </w:t>
      </w:r>
      <w:r>
        <w:rPr>
          <w:lang w:val="en-US"/>
        </w:rPr>
        <w:t>th</w:t>
      </w:r>
      <w:r w:rsidR="001A5E39">
        <w:rPr>
          <w:lang w:val="en-US"/>
        </w:rPr>
        <w:t>e teacher</w:t>
      </w:r>
      <w:r w:rsidR="00FE22AF">
        <w:rPr>
          <w:lang w:val="en-US"/>
        </w:rPr>
        <w:t xml:space="preserve"> </w:t>
      </w:r>
      <w:r w:rsidR="009713E0">
        <w:rPr>
          <w:lang w:val="en-US"/>
        </w:rPr>
        <w:t xml:space="preserve">provides </w:t>
      </w:r>
      <w:r>
        <w:rPr>
          <w:lang w:val="en-US"/>
        </w:rPr>
        <w:t xml:space="preserve">the students </w:t>
      </w:r>
      <w:r w:rsidR="009713E0">
        <w:rPr>
          <w:lang w:val="en-US"/>
        </w:rPr>
        <w:t xml:space="preserve">with the opportunity </w:t>
      </w:r>
      <w:r>
        <w:rPr>
          <w:lang w:val="en-US"/>
        </w:rPr>
        <w:t xml:space="preserve">to </w:t>
      </w:r>
      <w:r w:rsidR="009713E0">
        <w:rPr>
          <w:lang w:val="en-US"/>
        </w:rPr>
        <w:t xml:space="preserve">reflect </w:t>
      </w:r>
      <w:r w:rsidR="001A5E39">
        <w:rPr>
          <w:lang w:val="en-US"/>
        </w:rPr>
        <w:t xml:space="preserve">when he </w:t>
      </w:r>
      <w:r w:rsidR="009713E0">
        <w:rPr>
          <w:lang w:val="en-US"/>
        </w:rPr>
        <w:t xml:space="preserve">suggests areas of </w:t>
      </w:r>
      <w:r w:rsidR="00FE22AF" w:rsidRPr="001A5E39">
        <w:rPr>
          <w:lang w:val="en-US"/>
        </w:rPr>
        <w:t xml:space="preserve">inquiry </w:t>
      </w:r>
      <w:r w:rsidR="009713E0">
        <w:rPr>
          <w:lang w:val="en-US"/>
        </w:rPr>
        <w:t>which involve</w:t>
      </w:r>
      <w:r w:rsidR="00FE22AF">
        <w:rPr>
          <w:lang w:val="en-US"/>
        </w:rPr>
        <w:t xml:space="preserve"> different professional content</w:t>
      </w:r>
      <w:r w:rsidR="001A5E39">
        <w:rPr>
          <w:lang w:val="en-US"/>
        </w:rPr>
        <w:t xml:space="preserve"> </w:t>
      </w:r>
      <w:r w:rsidR="00FE22AF">
        <w:rPr>
          <w:lang w:val="en-US"/>
        </w:rPr>
        <w:t xml:space="preserve">based on knowledge and experiences the students have </w:t>
      </w:r>
      <w:r w:rsidR="00C126DE">
        <w:rPr>
          <w:lang w:val="en-US"/>
        </w:rPr>
        <w:t>gained</w:t>
      </w:r>
      <w:r w:rsidR="00FE22AF">
        <w:rPr>
          <w:lang w:val="en-US"/>
        </w:rPr>
        <w:t xml:space="preserve"> during the basic course</w:t>
      </w:r>
      <w:r>
        <w:rPr>
          <w:lang w:val="en-US"/>
        </w:rPr>
        <w:t xml:space="preserve">. This </w:t>
      </w:r>
      <w:r w:rsidR="00FE22AF">
        <w:rPr>
          <w:lang w:val="en-US"/>
        </w:rPr>
        <w:t xml:space="preserve">can be seen as </w:t>
      </w:r>
      <w:r>
        <w:rPr>
          <w:lang w:val="en-US"/>
        </w:rPr>
        <w:t xml:space="preserve">a way of </w:t>
      </w:r>
      <w:r w:rsidR="00C126DE">
        <w:rPr>
          <w:lang w:val="en-US"/>
        </w:rPr>
        <w:t xml:space="preserve">encouraging </w:t>
      </w:r>
      <w:r>
        <w:rPr>
          <w:lang w:val="en-US"/>
        </w:rPr>
        <w:t>t</w:t>
      </w:r>
      <w:r w:rsidR="00CB087D">
        <w:rPr>
          <w:lang w:val="en-US"/>
        </w:rPr>
        <w:t>he</w:t>
      </w:r>
      <w:r>
        <w:rPr>
          <w:lang w:val="en-US"/>
        </w:rPr>
        <w:t xml:space="preserve"> students to progress </w:t>
      </w:r>
      <w:r w:rsidR="00C126DE">
        <w:rPr>
          <w:lang w:val="en-US"/>
        </w:rPr>
        <w:t>and adopt</w:t>
      </w:r>
      <w:r>
        <w:rPr>
          <w:lang w:val="en-US"/>
        </w:rPr>
        <w:t xml:space="preserve"> more advanced </w:t>
      </w:r>
      <w:r w:rsidR="00C126DE">
        <w:rPr>
          <w:lang w:val="en-US"/>
        </w:rPr>
        <w:t xml:space="preserve">levels of </w:t>
      </w:r>
      <w:r>
        <w:rPr>
          <w:lang w:val="en-US"/>
        </w:rPr>
        <w:t>inquiry</w:t>
      </w:r>
      <w:r w:rsidR="00C126DE">
        <w:rPr>
          <w:lang w:val="en-US"/>
        </w:rPr>
        <w:t>;</w:t>
      </w:r>
      <w:r>
        <w:rPr>
          <w:lang w:val="en-US"/>
        </w:rPr>
        <w:t xml:space="preserve"> levels three </w:t>
      </w:r>
      <w:r w:rsidR="00C126DE">
        <w:rPr>
          <w:lang w:val="en-US"/>
        </w:rPr>
        <w:t xml:space="preserve">and </w:t>
      </w:r>
      <w:r w:rsidR="00FE22AF">
        <w:rPr>
          <w:lang w:val="en-US"/>
        </w:rPr>
        <w:t>four</w:t>
      </w:r>
      <w:r>
        <w:rPr>
          <w:lang w:val="en-US"/>
        </w:rPr>
        <w:t xml:space="preserve"> to put it in terms of Banchi &amp;</w:t>
      </w:r>
      <w:r w:rsidRPr="00CB4D2A">
        <w:rPr>
          <w:lang w:val="en-US"/>
        </w:rPr>
        <w:t xml:space="preserve"> Bell</w:t>
      </w:r>
      <w:r w:rsidR="00C126DE">
        <w:rPr>
          <w:lang w:val="en-US"/>
        </w:rPr>
        <w:t>’</w:t>
      </w:r>
      <w:r>
        <w:rPr>
          <w:lang w:val="en-US"/>
        </w:rPr>
        <w:t>s distinctions</w:t>
      </w:r>
      <w:r w:rsidR="00FE22AF">
        <w:rPr>
          <w:lang w:val="en-US"/>
        </w:rPr>
        <w:t xml:space="preserve">. </w:t>
      </w:r>
      <w:r w:rsidR="00C126DE">
        <w:rPr>
          <w:lang w:val="en-US"/>
        </w:rPr>
        <w:t>Students are thus expected to reflect</w:t>
      </w:r>
      <w:r w:rsidR="00FE22AF">
        <w:rPr>
          <w:lang w:val="en-US"/>
        </w:rPr>
        <w:t xml:space="preserve"> and </w:t>
      </w:r>
      <w:r w:rsidR="00C126DE">
        <w:rPr>
          <w:lang w:val="en-US"/>
        </w:rPr>
        <w:t>actively participate</w:t>
      </w:r>
      <w:r w:rsidR="00FE22AF">
        <w:rPr>
          <w:lang w:val="en-US"/>
        </w:rPr>
        <w:t xml:space="preserve"> in the </w:t>
      </w:r>
      <w:r w:rsidR="001A5E39">
        <w:rPr>
          <w:lang w:val="en-US"/>
        </w:rPr>
        <w:t>inquiry</w:t>
      </w:r>
      <w:r w:rsidR="00FE22AF">
        <w:rPr>
          <w:lang w:val="en-US"/>
        </w:rPr>
        <w:t xml:space="preserve">. </w:t>
      </w:r>
      <w:r w:rsidR="00C126DE">
        <w:rPr>
          <w:lang w:val="en-US"/>
        </w:rPr>
        <w:t>Therefore</w:t>
      </w:r>
      <w:r>
        <w:rPr>
          <w:lang w:val="en-US"/>
        </w:rPr>
        <w:t>, th</w:t>
      </w:r>
      <w:r w:rsidR="00B46C22">
        <w:rPr>
          <w:lang w:val="en-US"/>
        </w:rPr>
        <w:t xml:space="preserve">e Danish </w:t>
      </w:r>
      <w:r>
        <w:rPr>
          <w:lang w:val="en-US"/>
        </w:rPr>
        <w:t xml:space="preserve">example </w:t>
      </w:r>
      <w:r w:rsidR="00C126DE">
        <w:rPr>
          <w:lang w:val="en-US"/>
        </w:rPr>
        <w:t>highlights that</w:t>
      </w:r>
      <w:r w:rsidR="00506646">
        <w:rPr>
          <w:lang w:val="en-US"/>
        </w:rPr>
        <w:t xml:space="preserve"> </w:t>
      </w:r>
      <w:r w:rsidR="00B46C22">
        <w:rPr>
          <w:lang w:val="en-US"/>
        </w:rPr>
        <w:t xml:space="preserve">IBE implies different kinds of inquiry and </w:t>
      </w:r>
      <w:r w:rsidR="00C126DE">
        <w:rPr>
          <w:lang w:val="en-US"/>
        </w:rPr>
        <w:t xml:space="preserve">requires the teacher to adopt </w:t>
      </w:r>
      <w:r w:rsidR="00B46C22">
        <w:rPr>
          <w:lang w:val="en-US"/>
        </w:rPr>
        <w:t xml:space="preserve">different </w:t>
      </w:r>
      <w:r w:rsidR="00AA3806">
        <w:rPr>
          <w:lang w:val="en-US"/>
        </w:rPr>
        <w:t xml:space="preserve">instructional approaches </w:t>
      </w:r>
      <w:r w:rsidR="00B46C22">
        <w:rPr>
          <w:lang w:val="en-US"/>
        </w:rPr>
        <w:t xml:space="preserve">in different contexts and at different </w:t>
      </w:r>
      <w:r w:rsidR="00C126DE">
        <w:rPr>
          <w:lang w:val="en-US"/>
        </w:rPr>
        <w:t xml:space="preserve">phases </w:t>
      </w:r>
      <w:r w:rsidR="00B46C22">
        <w:rPr>
          <w:lang w:val="en-US"/>
        </w:rPr>
        <w:t xml:space="preserve">of the </w:t>
      </w:r>
      <w:r w:rsidR="00506646">
        <w:rPr>
          <w:lang w:val="en-US"/>
        </w:rPr>
        <w:t xml:space="preserve">students’ </w:t>
      </w:r>
      <w:r w:rsidR="00B46C22">
        <w:rPr>
          <w:lang w:val="en-US"/>
        </w:rPr>
        <w:t xml:space="preserve">learning </w:t>
      </w:r>
      <w:r w:rsidR="00506646">
        <w:rPr>
          <w:lang w:val="en-US"/>
        </w:rPr>
        <w:t>process.</w:t>
      </w:r>
    </w:p>
    <w:p w14:paraId="4D250E43" w14:textId="77777777" w:rsidR="00F150EC" w:rsidRPr="00D54033" w:rsidRDefault="00BE59B4" w:rsidP="00F150EC">
      <w:pPr>
        <w:pStyle w:val="Overskrift3"/>
        <w:rPr>
          <w:lang w:val="en-US"/>
        </w:rPr>
      </w:pPr>
      <w:r>
        <w:rPr>
          <w:lang w:val="en-US"/>
        </w:rPr>
        <w:t>Analyzing IBE learning environments</w:t>
      </w:r>
      <w:r w:rsidR="004836EB">
        <w:rPr>
          <w:lang w:val="en-US"/>
        </w:rPr>
        <w:t xml:space="preserve"> </w:t>
      </w:r>
      <w:r w:rsidR="00FE22AF">
        <w:rPr>
          <w:lang w:val="en-US"/>
        </w:rPr>
        <w:t>–</w:t>
      </w:r>
      <w:r w:rsidR="004A6EAB">
        <w:rPr>
          <w:lang w:val="en-US"/>
        </w:rPr>
        <w:t xml:space="preserve"> </w:t>
      </w:r>
      <w:r w:rsidR="00FE22AF">
        <w:rPr>
          <w:lang w:val="en-US"/>
        </w:rPr>
        <w:t xml:space="preserve">innovative and </w:t>
      </w:r>
      <w:r w:rsidR="004836EB">
        <w:rPr>
          <w:lang w:val="en-US"/>
        </w:rPr>
        <w:t>democratic</w:t>
      </w:r>
      <w:r w:rsidR="00FE22AF">
        <w:rPr>
          <w:lang w:val="en-US"/>
        </w:rPr>
        <w:t xml:space="preserve"> elements</w:t>
      </w:r>
      <w:r>
        <w:rPr>
          <w:lang w:val="en-US"/>
        </w:rPr>
        <w:t xml:space="preserve"> </w:t>
      </w:r>
    </w:p>
    <w:p w14:paraId="21A0F862" w14:textId="77777777" w:rsidR="00C7247F" w:rsidRDefault="00F150EC" w:rsidP="00F150EC">
      <w:pPr>
        <w:rPr>
          <w:lang w:val="en-US"/>
        </w:rPr>
      </w:pPr>
      <w:r>
        <w:rPr>
          <w:lang w:val="en-US"/>
        </w:rPr>
        <w:t>In both examples</w:t>
      </w:r>
      <w:r w:rsidR="00C126DE">
        <w:rPr>
          <w:lang w:val="en-US"/>
        </w:rPr>
        <w:t>,</w:t>
      </w:r>
      <w:r>
        <w:rPr>
          <w:lang w:val="en-US"/>
        </w:rPr>
        <w:t xml:space="preserve"> the </w:t>
      </w:r>
      <w:r w:rsidRPr="00CD54EE">
        <w:rPr>
          <w:lang w:val="en-US"/>
        </w:rPr>
        <w:t>students are invited to participate meaningfully in the activity</w:t>
      </w:r>
      <w:r>
        <w:rPr>
          <w:lang w:val="en-US"/>
        </w:rPr>
        <w:t xml:space="preserve"> based on their </w:t>
      </w:r>
      <w:r w:rsidRPr="00CD54EE">
        <w:rPr>
          <w:lang w:val="en-US"/>
        </w:rPr>
        <w:t>previous experience from reading texts or from building cabins</w:t>
      </w:r>
      <w:r w:rsidR="00C126DE">
        <w:rPr>
          <w:lang w:val="en-US"/>
        </w:rPr>
        <w:t xml:space="preserve"> and the students are</w:t>
      </w:r>
      <w:r w:rsidR="00C126DE" w:rsidRPr="00CD54EE">
        <w:rPr>
          <w:lang w:val="en-US"/>
        </w:rPr>
        <w:t xml:space="preserve"> </w:t>
      </w:r>
      <w:r w:rsidR="00C126DE">
        <w:rPr>
          <w:lang w:val="en-US"/>
        </w:rPr>
        <w:t xml:space="preserve">at some point </w:t>
      </w:r>
      <w:r w:rsidR="00C126DE" w:rsidRPr="00CD54EE">
        <w:rPr>
          <w:lang w:val="en-US"/>
        </w:rPr>
        <w:t>positioned as knowledge developers</w:t>
      </w:r>
      <w:r>
        <w:rPr>
          <w:lang w:val="en-US"/>
        </w:rPr>
        <w:t xml:space="preserve"> in both examples. However, the teachers</w:t>
      </w:r>
      <w:r w:rsidR="00C7247F">
        <w:rPr>
          <w:lang w:val="en-US"/>
        </w:rPr>
        <w:t>’</w:t>
      </w:r>
      <w:r w:rsidR="009F421E">
        <w:rPr>
          <w:lang w:val="en-US"/>
        </w:rPr>
        <w:t xml:space="preserve"> and the students’ position</w:t>
      </w:r>
      <w:r>
        <w:rPr>
          <w:lang w:val="en-US"/>
        </w:rPr>
        <w:t>s are slightly different in the two examples</w:t>
      </w:r>
      <w:r w:rsidR="001A5E39">
        <w:rPr>
          <w:lang w:val="en-US"/>
        </w:rPr>
        <w:t>. In the following</w:t>
      </w:r>
      <w:r w:rsidR="00C126DE">
        <w:rPr>
          <w:lang w:val="en-US"/>
        </w:rPr>
        <w:t>,</w:t>
      </w:r>
      <w:r w:rsidR="001A5E39">
        <w:rPr>
          <w:lang w:val="en-US"/>
        </w:rPr>
        <w:t xml:space="preserve"> we </w:t>
      </w:r>
      <w:r w:rsidR="00C7247F">
        <w:rPr>
          <w:lang w:val="en-US"/>
        </w:rPr>
        <w:t>highlight</w:t>
      </w:r>
      <w:r w:rsidR="001A5E39">
        <w:rPr>
          <w:lang w:val="en-US"/>
        </w:rPr>
        <w:t xml:space="preserve"> the</w:t>
      </w:r>
      <w:r w:rsidR="00C7247F">
        <w:rPr>
          <w:lang w:val="en-US"/>
        </w:rPr>
        <w:t xml:space="preserve"> significant aspects of </w:t>
      </w:r>
      <w:r w:rsidR="00C126DE">
        <w:rPr>
          <w:lang w:val="en-US"/>
        </w:rPr>
        <w:t xml:space="preserve">the </w:t>
      </w:r>
      <w:r w:rsidR="00C7247F">
        <w:rPr>
          <w:lang w:val="en-US"/>
        </w:rPr>
        <w:t>teacher – student engagement in learning activities</w:t>
      </w:r>
      <w:r w:rsidR="001A5E39">
        <w:rPr>
          <w:lang w:val="en-US"/>
        </w:rPr>
        <w:t xml:space="preserve"> when the goal is to develop innovative and democratic mindsets</w:t>
      </w:r>
      <w:r w:rsidR="00F159A0">
        <w:rPr>
          <w:lang w:val="en-US"/>
        </w:rPr>
        <w:t>, based on the example from NYC</w:t>
      </w:r>
      <w:r>
        <w:rPr>
          <w:lang w:val="en-US"/>
        </w:rPr>
        <w:t xml:space="preserve">. </w:t>
      </w:r>
    </w:p>
    <w:p w14:paraId="37658B7D" w14:textId="77777777" w:rsidR="00C7247F" w:rsidRDefault="00C7247F" w:rsidP="00F150EC">
      <w:pPr>
        <w:rPr>
          <w:lang w:val="en-US"/>
        </w:rPr>
      </w:pPr>
    </w:p>
    <w:p w14:paraId="4DA5039D" w14:textId="77777777" w:rsidR="00F150EC" w:rsidRDefault="00F150EC" w:rsidP="00F150EC">
      <w:pPr>
        <w:rPr>
          <w:lang w:val="en-US"/>
        </w:rPr>
      </w:pPr>
      <w:r>
        <w:rPr>
          <w:lang w:val="en-US"/>
        </w:rPr>
        <w:t>In the NY</w:t>
      </w:r>
      <w:r w:rsidR="009F421E">
        <w:rPr>
          <w:lang w:val="en-US"/>
        </w:rPr>
        <w:t>C</w:t>
      </w:r>
      <w:r>
        <w:rPr>
          <w:lang w:val="en-US"/>
        </w:rPr>
        <w:t xml:space="preserve"> </w:t>
      </w:r>
      <w:r w:rsidR="00F159A0">
        <w:rPr>
          <w:lang w:val="en-US"/>
        </w:rPr>
        <w:t>example</w:t>
      </w:r>
      <w:r w:rsidR="00C126DE">
        <w:rPr>
          <w:lang w:val="en-US"/>
        </w:rPr>
        <w:t>,</w:t>
      </w:r>
      <w:r w:rsidR="00F159A0">
        <w:rPr>
          <w:lang w:val="en-US"/>
        </w:rPr>
        <w:t xml:space="preserve"> </w:t>
      </w:r>
      <w:r>
        <w:rPr>
          <w:lang w:val="en-US"/>
        </w:rPr>
        <w:t xml:space="preserve">the students are invited to construct knowledge based on valid arguments they are able to bring to the discussion. The teacher is careful to support these constructions by letting the students know that there is no ultimate right or wrong </w:t>
      </w:r>
      <w:r w:rsidR="00C126DE">
        <w:rPr>
          <w:lang w:val="en-US"/>
        </w:rPr>
        <w:t xml:space="preserve">answer, </w:t>
      </w:r>
      <w:r>
        <w:rPr>
          <w:lang w:val="en-US"/>
        </w:rPr>
        <w:t xml:space="preserve">but </w:t>
      </w:r>
      <w:r w:rsidR="00C126DE">
        <w:rPr>
          <w:lang w:val="en-US"/>
        </w:rPr>
        <w:t xml:space="preserve">rather it </w:t>
      </w:r>
      <w:r>
        <w:rPr>
          <w:lang w:val="en-US"/>
        </w:rPr>
        <w:t xml:space="preserve">comes down to the good argument and how </w:t>
      </w:r>
      <w:r w:rsidR="005B6492">
        <w:rPr>
          <w:lang w:val="en-US"/>
        </w:rPr>
        <w:t xml:space="preserve">it </w:t>
      </w:r>
      <w:r>
        <w:rPr>
          <w:lang w:val="en-US"/>
        </w:rPr>
        <w:t>is defended in discussion. This does not imply that anything goes</w:t>
      </w:r>
      <w:r w:rsidR="005B6492">
        <w:rPr>
          <w:lang w:val="en-US"/>
        </w:rPr>
        <w:t>,</w:t>
      </w:r>
      <w:r>
        <w:rPr>
          <w:lang w:val="en-US"/>
        </w:rPr>
        <w:t xml:space="preserve"> or that the teacher does not have </w:t>
      </w:r>
      <w:r w:rsidR="005B6492">
        <w:rPr>
          <w:lang w:val="en-US"/>
        </w:rPr>
        <w:t>a</w:t>
      </w:r>
      <w:r w:rsidR="00326EBB">
        <w:rPr>
          <w:lang w:val="en-US"/>
        </w:rPr>
        <w:t xml:space="preserve"> </w:t>
      </w:r>
      <w:r>
        <w:rPr>
          <w:lang w:val="en-US"/>
        </w:rPr>
        <w:t xml:space="preserve">plan for the </w:t>
      </w:r>
      <w:r w:rsidR="00326EBB">
        <w:rPr>
          <w:lang w:val="en-US"/>
        </w:rPr>
        <w:t>students</w:t>
      </w:r>
      <w:r w:rsidR="005B6492">
        <w:rPr>
          <w:lang w:val="en-US"/>
        </w:rPr>
        <w:t>’</w:t>
      </w:r>
      <w:r w:rsidR="00326EBB">
        <w:rPr>
          <w:lang w:val="en-US"/>
        </w:rPr>
        <w:t xml:space="preserve"> learning</w:t>
      </w:r>
      <w:r w:rsidR="00F159A0">
        <w:rPr>
          <w:lang w:val="en-US"/>
        </w:rPr>
        <w:t xml:space="preserve"> processes and progression</w:t>
      </w:r>
      <w:r>
        <w:rPr>
          <w:lang w:val="en-US"/>
        </w:rPr>
        <w:t xml:space="preserve">. </w:t>
      </w:r>
      <w:r w:rsidR="005B6492">
        <w:rPr>
          <w:lang w:val="en-US"/>
        </w:rPr>
        <w:t xml:space="preserve">However, </w:t>
      </w:r>
      <w:r>
        <w:rPr>
          <w:lang w:val="en-US"/>
        </w:rPr>
        <w:t xml:space="preserve">it does imply that the students are given </w:t>
      </w:r>
      <w:r w:rsidR="005B6492">
        <w:rPr>
          <w:lang w:val="en-US"/>
        </w:rPr>
        <w:t xml:space="preserve">the opportunity </w:t>
      </w:r>
      <w:r>
        <w:rPr>
          <w:lang w:val="en-US"/>
        </w:rPr>
        <w:t xml:space="preserve">to participate in responsible and meaningful ways based on their textbook readings. This blurring of the </w:t>
      </w:r>
      <w:r w:rsidRPr="00173C98">
        <w:rPr>
          <w:lang w:val="en-US"/>
        </w:rPr>
        <w:t>demarcatio</w:t>
      </w:r>
      <w:r>
        <w:rPr>
          <w:lang w:val="en-US"/>
        </w:rPr>
        <w:t xml:space="preserve">n between teacher and student is, as mentioned, one of the core ideas </w:t>
      </w:r>
      <w:r w:rsidR="005B6492">
        <w:rPr>
          <w:lang w:val="en-US"/>
        </w:rPr>
        <w:t xml:space="preserve">of </w:t>
      </w:r>
      <w:r>
        <w:rPr>
          <w:lang w:val="en-US"/>
        </w:rPr>
        <w:t>IBE</w:t>
      </w:r>
      <w:r w:rsidR="005B6492">
        <w:rPr>
          <w:lang w:val="en-US"/>
        </w:rPr>
        <w:t>,</w:t>
      </w:r>
      <w:r>
        <w:rPr>
          <w:lang w:val="en-US"/>
        </w:rPr>
        <w:t xml:space="preserve"> and the example from NY</w:t>
      </w:r>
      <w:r w:rsidR="00326EBB">
        <w:rPr>
          <w:lang w:val="en-US"/>
        </w:rPr>
        <w:t>C</w:t>
      </w:r>
      <w:r>
        <w:rPr>
          <w:lang w:val="en-US"/>
        </w:rPr>
        <w:t xml:space="preserve"> underlines how this might support the students’ motivation for participation in </w:t>
      </w:r>
      <w:r>
        <w:rPr>
          <w:lang w:val="en-US"/>
        </w:rPr>
        <w:lastRenderedPageBreak/>
        <w:t xml:space="preserve">knowledge construction without losing the academic objective of the lesson. The students are given </w:t>
      </w:r>
      <w:r w:rsidR="005B6492">
        <w:rPr>
          <w:lang w:val="en-US"/>
        </w:rPr>
        <w:t xml:space="preserve">the </w:t>
      </w:r>
      <w:r>
        <w:rPr>
          <w:lang w:val="en-US"/>
        </w:rPr>
        <w:t>chance to</w:t>
      </w:r>
      <w:r w:rsidR="005449A6">
        <w:rPr>
          <w:lang w:val="en-US"/>
        </w:rPr>
        <w:t xml:space="preserve"> defend different </w:t>
      </w:r>
      <w:r>
        <w:rPr>
          <w:lang w:val="en-US"/>
        </w:rPr>
        <w:t>arguments in meaningful ways and the students</w:t>
      </w:r>
      <w:r w:rsidR="009403E4">
        <w:rPr>
          <w:lang w:val="en-US"/>
        </w:rPr>
        <w:t>’</w:t>
      </w:r>
      <w:r>
        <w:rPr>
          <w:lang w:val="en-US"/>
        </w:rPr>
        <w:t xml:space="preserve"> </w:t>
      </w:r>
      <w:r w:rsidR="005B6492">
        <w:rPr>
          <w:lang w:val="en-US"/>
        </w:rPr>
        <w:t xml:space="preserve">involvement </w:t>
      </w:r>
      <w:r>
        <w:rPr>
          <w:lang w:val="en-US"/>
        </w:rPr>
        <w:t>in the example underlines how this also develop</w:t>
      </w:r>
      <w:r w:rsidR="005B6492">
        <w:rPr>
          <w:lang w:val="en-US"/>
        </w:rPr>
        <w:t>s</w:t>
      </w:r>
      <w:r>
        <w:rPr>
          <w:lang w:val="en-US"/>
        </w:rPr>
        <w:t xml:space="preserve"> student ownership </w:t>
      </w:r>
      <w:r w:rsidR="005B6492">
        <w:rPr>
          <w:lang w:val="en-US"/>
        </w:rPr>
        <w:t>of the discussion regarding</w:t>
      </w:r>
      <w:r>
        <w:rPr>
          <w:lang w:val="en-US"/>
        </w:rPr>
        <w:t xml:space="preserve"> the societal dilemma presented by the teacher. </w:t>
      </w:r>
      <w:r w:rsidR="00FB6F81">
        <w:rPr>
          <w:lang w:val="en-US"/>
        </w:rPr>
        <w:t>In line with IBE</w:t>
      </w:r>
      <w:r w:rsidR="005B6492">
        <w:rPr>
          <w:lang w:val="en-US"/>
        </w:rPr>
        <w:t>,</w:t>
      </w:r>
      <w:r w:rsidR="00FB6F81">
        <w:rPr>
          <w:lang w:val="en-US"/>
        </w:rPr>
        <w:t xml:space="preserve"> the</w:t>
      </w:r>
      <w:r w:rsidR="00FB6F81" w:rsidRPr="00173C98">
        <w:rPr>
          <w:lang w:val="en-US"/>
        </w:rPr>
        <w:t xml:space="preserve"> </w:t>
      </w:r>
      <w:r w:rsidR="00FB6F81">
        <w:rPr>
          <w:lang w:val="en-US"/>
        </w:rPr>
        <w:t xml:space="preserve">learning </w:t>
      </w:r>
      <w:r w:rsidR="00FB6F81" w:rsidRPr="00173C98">
        <w:rPr>
          <w:lang w:val="en-US"/>
        </w:rPr>
        <w:t xml:space="preserve">environment </w:t>
      </w:r>
      <w:r w:rsidR="00FB6F81">
        <w:rPr>
          <w:lang w:val="en-US"/>
        </w:rPr>
        <w:t>is organized</w:t>
      </w:r>
      <w:r w:rsidR="00FB6F81" w:rsidRPr="00173C98">
        <w:rPr>
          <w:lang w:val="en-US"/>
        </w:rPr>
        <w:t xml:space="preserve"> </w:t>
      </w:r>
      <w:r w:rsidR="005B6492">
        <w:rPr>
          <w:lang w:val="en-US"/>
        </w:rPr>
        <w:t>to provide</w:t>
      </w:r>
      <w:r w:rsidR="005B6492" w:rsidRPr="00173C98">
        <w:rPr>
          <w:lang w:val="en-US"/>
        </w:rPr>
        <w:t xml:space="preserve"> </w:t>
      </w:r>
      <w:r w:rsidR="00FB6F81" w:rsidRPr="00173C98">
        <w:rPr>
          <w:lang w:val="en-US"/>
        </w:rPr>
        <w:t xml:space="preserve">appropriate challenges to support and spur the </w:t>
      </w:r>
      <w:r w:rsidR="00FB6F81">
        <w:rPr>
          <w:lang w:val="en-US"/>
        </w:rPr>
        <w:t xml:space="preserve">individual </w:t>
      </w:r>
      <w:r w:rsidR="005B6492">
        <w:rPr>
          <w:lang w:val="en-US"/>
        </w:rPr>
        <w:t xml:space="preserve">student’s </w:t>
      </w:r>
      <w:r w:rsidR="00FB6F81">
        <w:rPr>
          <w:lang w:val="en-US"/>
        </w:rPr>
        <w:t xml:space="preserve">motivation for </w:t>
      </w:r>
      <w:r w:rsidR="00FB6F81" w:rsidRPr="00173C98">
        <w:rPr>
          <w:lang w:val="en-US"/>
        </w:rPr>
        <w:t>discovery and inquiry</w:t>
      </w:r>
      <w:r w:rsidR="00FB6F81">
        <w:rPr>
          <w:lang w:val="en-US"/>
        </w:rPr>
        <w:t xml:space="preserve"> in a shared community</w:t>
      </w:r>
      <w:r w:rsidR="00FB6F81" w:rsidRPr="00173C98">
        <w:rPr>
          <w:lang w:val="en-US"/>
        </w:rPr>
        <w:t>.</w:t>
      </w:r>
      <w:r w:rsidR="00F733B3">
        <w:rPr>
          <w:lang w:val="en-US"/>
        </w:rPr>
        <w:t xml:space="preserve"> </w:t>
      </w:r>
    </w:p>
    <w:p w14:paraId="4E8889A2" w14:textId="77777777" w:rsidR="00F150EC" w:rsidRPr="00614308" w:rsidRDefault="00F150EC" w:rsidP="00F150EC">
      <w:pPr>
        <w:rPr>
          <w:lang w:val="en-US"/>
        </w:rPr>
      </w:pPr>
    </w:p>
    <w:p w14:paraId="6714DF65" w14:textId="07FD6895" w:rsidR="00F150EC" w:rsidRDefault="00F150EC" w:rsidP="00F150EC">
      <w:pPr>
        <w:rPr>
          <w:lang w:val="en-US"/>
        </w:rPr>
      </w:pPr>
      <w:r w:rsidRPr="00865E94">
        <w:rPr>
          <w:lang w:val="en-US"/>
        </w:rPr>
        <w:t xml:space="preserve">Thus, </w:t>
      </w:r>
      <w:r w:rsidR="00C7247F">
        <w:rPr>
          <w:lang w:val="en-US"/>
        </w:rPr>
        <w:t xml:space="preserve">in both </w:t>
      </w:r>
      <w:r w:rsidR="00F159A0">
        <w:rPr>
          <w:lang w:val="en-US"/>
        </w:rPr>
        <w:t>the Danish example and the example from NYC</w:t>
      </w:r>
      <w:r w:rsidR="005B6492">
        <w:rPr>
          <w:lang w:val="en-US"/>
        </w:rPr>
        <w:t>,</w:t>
      </w:r>
      <w:r w:rsidR="00F159A0">
        <w:rPr>
          <w:lang w:val="en-US"/>
        </w:rPr>
        <w:t xml:space="preserve"> </w:t>
      </w:r>
      <w:r w:rsidRPr="00865E94">
        <w:rPr>
          <w:lang w:val="en-US"/>
        </w:rPr>
        <w:t xml:space="preserve">the students </w:t>
      </w:r>
      <w:r w:rsidR="005B6492">
        <w:rPr>
          <w:lang w:val="en-US"/>
        </w:rPr>
        <w:t xml:space="preserve">are expected </w:t>
      </w:r>
      <w:r w:rsidRPr="00865E94">
        <w:rPr>
          <w:lang w:val="en-US"/>
        </w:rPr>
        <w:t xml:space="preserve">to </w:t>
      </w:r>
      <w:r w:rsidR="005B6492">
        <w:rPr>
          <w:lang w:val="en-US"/>
        </w:rPr>
        <w:t>actively participate</w:t>
      </w:r>
      <w:r w:rsidRPr="00865E94">
        <w:rPr>
          <w:lang w:val="en-US"/>
        </w:rPr>
        <w:t xml:space="preserve"> in the activity by </w:t>
      </w:r>
      <w:r w:rsidR="005B6492">
        <w:rPr>
          <w:lang w:val="en-US"/>
        </w:rPr>
        <w:t>conducting</w:t>
      </w:r>
      <w:r w:rsidR="005B6492" w:rsidRPr="00865E94">
        <w:rPr>
          <w:lang w:val="en-US"/>
        </w:rPr>
        <w:t xml:space="preserve"> </w:t>
      </w:r>
      <w:r w:rsidRPr="00865E94">
        <w:rPr>
          <w:lang w:val="en-US"/>
        </w:rPr>
        <w:t>their own inquiries</w:t>
      </w:r>
      <w:r w:rsidR="005B6492">
        <w:rPr>
          <w:lang w:val="en-US"/>
        </w:rPr>
        <w:t>, thereby</w:t>
      </w:r>
      <w:r w:rsidRPr="00865E94">
        <w:rPr>
          <w:lang w:val="en-US"/>
        </w:rPr>
        <w:t xml:space="preserve"> </w:t>
      </w:r>
      <w:r w:rsidR="005B6492">
        <w:rPr>
          <w:lang w:val="en-US"/>
        </w:rPr>
        <w:t>becoming</w:t>
      </w:r>
      <w:r w:rsidR="005A78F5">
        <w:rPr>
          <w:lang w:val="en-US"/>
        </w:rPr>
        <w:t xml:space="preserve"> </w:t>
      </w:r>
      <w:r w:rsidRPr="00865E94">
        <w:rPr>
          <w:lang w:val="en-US"/>
        </w:rPr>
        <w:t xml:space="preserve">responsible for </w:t>
      </w:r>
      <w:r w:rsidR="005B6492">
        <w:rPr>
          <w:lang w:val="en-US"/>
        </w:rPr>
        <w:t xml:space="preserve">their </w:t>
      </w:r>
      <w:r w:rsidRPr="00865E94">
        <w:rPr>
          <w:lang w:val="en-US"/>
        </w:rPr>
        <w:t>own learning</w:t>
      </w:r>
      <w:r w:rsidR="00C7247F">
        <w:rPr>
          <w:lang w:val="en-US"/>
        </w:rPr>
        <w:t xml:space="preserve"> and </w:t>
      </w:r>
      <w:r w:rsidR="005B6492">
        <w:rPr>
          <w:lang w:val="en-US"/>
        </w:rPr>
        <w:t>knowledge construction to some degree</w:t>
      </w:r>
      <w:r w:rsidRPr="00865E94">
        <w:rPr>
          <w:lang w:val="en-US"/>
        </w:rPr>
        <w:t xml:space="preserve">. In the </w:t>
      </w:r>
      <w:r w:rsidR="00F159A0">
        <w:rPr>
          <w:lang w:val="en-US"/>
        </w:rPr>
        <w:t xml:space="preserve">NYC </w:t>
      </w:r>
      <w:r w:rsidRPr="00865E94">
        <w:rPr>
          <w:lang w:val="en-US"/>
        </w:rPr>
        <w:t>example</w:t>
      </w:r>
      <w:r w:rsidR="007056D6">
        <w:rPr>
          <w:lang w:val="en-US"/>
        </w:rPr>
        <w:t>,</w:t>
      </w:r>
      <w:r w:rsidRPr="00865E94">
        <w:rPr>
          <w:lang w:val="en-US"/>
        </w:rPr>
        <w:t xml:space="preserve"> the teacher positions himself as a facilitator </w:t>
      </w:r>
      <w:r w:rsidR="007056D6">
        <w:rPr>
          <w:lang w:val="en-US"/>
        </w:rPr>
        <w:t>who helps</w:t>
      </w:r>
      <w:r w:rsidR="007056D6" w:rsidRPr="00865E94">
        <w:rPr>
          <w:lang w:val="en-US"/>
        </w:rPr>
        <w:t xml:space="preserve"> </w:t>
      </w:r>
      <w:r w:rsidRPr="00865E94">
        <w:rPr>
          <w:lang w:val="en-US"/>
        </w:rPr>
        <w:t xml:space="preserve">the students </w:t>
      </w:r>
      <w:r w:rsidR="007056D6">
        <w:rPr>
          <w:lang w:val="en-US"/>
        </w:rPr>
        <w:t>construct their</w:t>
      </w:r>
      <w:r w:rsidRPr="00865E94">
        <w:rPr>
          <w:lang w:val="en-US"/>
        </w:rPr>
        <w:t xml:space="preserve"> arguments</w:t>
      </w:r>
      <w:r w:rsidR="007056D6">
        <w:rPr>
          <w:lang w:val="en-US"/>
        </w:rPr>
        <w:t xml:space="preserve"> and</w:t>
      </w:r>
      <w:r w:rsidRPr="00865E94">
        <w:rPr>
          <w:lang w:val="en-US"/>
        </w:rPr>
        <w:t xml:space="preserve"> </w:t>
      </w:r>
      <w:r w:rsidR="007056D6">
        <w:rPr>
          <w:lang w:val="en-US"/>
        </w:rPr>
        <w:t xml:space="preserve">encourages them to </w:t>
      </w:r>
      <w:r w:rsidRPr="00865E94">
        <w:rPr>
          <w:lang w:val="en-US"/>
        </w:rPr>
        <w:t xml:space="preserve">listen </w:t>
      </w:r>
      <w:r w:rsidR="007056D6">
        <w:rPr>
          <w:lang w:val="en-US"/>
        </w:rPr>
        <w:t xml:space="preserve">to </w:t>
      </w:r>
      <w:r w:rsidRPr="00865E94">
        <w:rPr>
          <w:lang w:val="en-US"/>
        </w:rPr>
        <w:t>and respect</w:t>
      </w:r>
      <w:r w:rsidR="007056D6">
        <w:rPr>
          <w:lang w:val="en-US"/>
        </w:rPr>
        <w:t xml:space="preserve"> the</w:t>
      </w:r>
      <w:r w:rsidRPr="00865E94">
        <w:rPr>
          <w:lang w:val="en-US"/>
        </w:rPr>
        <w:t xml:space="preserve"> other students’ points of view</w:t>
      </w:r>
      <w:r w:rsidR="00F733B3">
        <w:rPr>
          <w:lang w:val="en-US"/>
        </w:rPr>
        <w:t xml:space="preserve">. There is a high degree of subject complexity and </w:t>
      </w:r>
      <w:r w:rsidR="007056D6">
        <w:rPr>
          <w:lang w:val="en-US"/>
        </w:rPr>
        <w:t xml:space="preserve">a </w:t>
      </w:r>
      <w:r w:rsidR="00F733B3">
        <w:rPr>
          <w:lang w:val="en-US"/>
        </w:rPr>
        <w:t>focus on a democratic mind set</w:t>
      </w:r>
      <w:r w:rsidRPr="00865E94">
        <w:rPr>
          <w:lang w:val="en-US"/>
        </w:rPr>
        <w:t xml:space="preserve">. In </w:t>
      </w:r>
      <w:r w:rsidR="00F159A0">
        <w:rPr>
          <w:lang w:val="en-US"/>
        </w:rPr>
        <w:t xml:space="preserve">the Danish </w:t>
      </w:r>
      <w:r w:rsidRPr="00865E94">
        <w:rPr>
          <w:lang w:val="en-US"/>
        </w:rPr>
        <w:t>example</w:t>
      </w:r>
      <w:r w:rsidR="007056D6">
        <w:rPr>
          <w:lang w:val="en-US"/>
        </w:rPr>
        <w:t>,</w:t>
      </w:r>
      <w:r w:rsidRPr="00865E94">
        <w:rPr>
          <w:lang w:val="en-US"/>
        </w:rPr>
        <w:t xml:space="preserve"> the teacher position</w:t>
      </w:r>
      <w:r w:rsidR="007056D6">
        <w:rPr>
          <w:lang w:val="en-US"/>
        </w:rPr>
        <w:t>s</w:t>
      </w:r>
      <w:r w:rsidRPr="00865E94">
        <w:rPr>
          <w:lang w:val="en-US"/>
        </w:rPr>
        <w:t xml:space="preserve"> himself more </w:t>
      </w:r>
      <w:r w:rsidR="00C7247F">
        <w:rPr>
          <w:lang w:val="en-US"/>
        </w:rPr>
        <w:t xml:space="preserve">directly in the center of the activity </w:t>
      </w:r>
      <w:r>
        <w:rPr>
          <w:lang w:val="en-US"/>
        </w:rPr>
        <w:t>and</w:t>
      </w:r>
      <w:r w:rsidR="005A78F5">
        <w:rPr>
          <w:lang w:val="en-US"/>
        </w:rPr>
        <w:t xml:space="preserve"> maintains strong control of the communication</w:t>
      </w:r>
      <w:r w:rsidR="005A78F5" w:rsidDel="005A78F5">
        <w:rPr>
          <w:lang w:val="en-US"/>
        </w:rPr>
        <w:t xml:space="preserve"> </w:t>
      </w:r>
      <w:r>
        <w:rPr>
          <w:lang w:val="en-US"/>
        </w:rPr>
        <w:t>(Bernstein 2000)</w:t>
      </w:r>
      <w:r w:rsidR="00C7247F">
        <w:rPr>
          <w:lang w:val="en-US"/>
        </w:rPr>
        <w:t xml:space="preserve">. However, </w:t>
      </w:r>
      <w:r>
        <w:rPr>
          <w:lang w:val="en-US"/>
        </w:rPr>
        <w:t>at the same time</w:t>
      </w:r>
      <w:r w:rsidR="007056D6">
        <w:rPr>
          <w:lang w:val="en-US"/>
        </w:rPr>
        <w:t>,</w:t>
      </w:r>
      <w:r>
        <w:rPr>
          <w:lang w:val="en-US"/>
        </w:rPr>
        <w:t xml:space="preserve"> </w:t>
      </w:r>
      <w:r w:rsidR="00C7247F">
        <w:rPr>
          <w:lang w:val="en-US"/>
        </w:rPr>
        <w:t xml:space="preserve">the teacher </w:t>
      </w:r>
      <w:r w:rsidR="00F733B3">
        <w:rPr>
          <w:lang w:val="en-US"/>
        </w:rPr>
        <w:t>gradually opens up for subject complexity</w:t>
      </w:r>
      <w:r w:rsidR="007056D6">
        <w:rPr>
          <w:lang w:val="en-US"/>
        </w:rPr>
        <w:t xml:space="preserve"> and</w:t>
      </w:r>
      <w:r w:rsidR="00F733B3">
        <w:rPr>
          <w:lang w:val="en-US"/>
        </w:rPr>
        <w:t xml:space="preserve"> </w:t>
      </w:r>
      <w:r w:rsidRPr="00F150EC">
        <w:rPr>
          <w:lang w:val="en-US"/>
        </w:rPr>
        <w:t>encourages</w:t>
      </w:r>
      <w:r w:rsidRPr="00865E94">
        <w:rPr>
          <w:lang w:val="en-US"/>
        </w:rPr>
        <w:t xml:space="preserve"> the students to make professional reflections</w:t>
      </w:r>
      <w:r>
        <w:rPr>
          <w:lang w:val="en-US"/>
        </w:rPr>
        <w:t xml:space="preserve"> about </w:t>
      </w:r>
      <w:r w:rsidR="00026F74">
        <w:rPr>
          <w:lang w:val="en-US"/>
        </w:rPr>
        <w:t xml:space="preserve">the </w:t>
      </w:r>
      <w:r>
        <w:rPr>
          <w:lang w:val="en-US"/>
        </w:rPr>
        <w:t xml:space="preserve">different construction </w:t>
      </w:r>
      <w:r w:rsidR="00026F74">
        <w:rPr>
          <w:lang w:val="en-US"/>
        </w:rPr>
        <w:t xml:space="preserve">methods </w:t>
      </w:r>
      <w:r>
        <w:rPr>
          <w:lang w:val="en-US"/>
        </w:rPr>
        <w:t xml:space="preserve">of the city houses </w:t>
      </w:r>
      <w:r w:rsidR="001378A0">
        <w:rPr>
          <w:lang w:val="en-US"/>
        </w:rPr>
        <w:t xml:space="preserve">and relates this </w:t>
      </w:r>
      <w:r>
        <w:rPr>
          <w:lang w:val="en-US"/>
        </w:rPr>
        <w:t>to their work in the workshop</w:t>
      </w:r>
      <w:r w:rsidR="00F733B3">
        <w:rPr>
          <w:lang w:val="en-US"/>
        </w:rPr>
        <w:t xml:space="preserve">. With a positive attitude and </w:t>
      </w:r>
      <w:r w:rsidR="00026F74">
        <w:rPr>
          <w:lang w:val="en-US"/>
        </w:rPr>
        <w:t xml:space="preserve">an </w:t>
      </w:r>
      <w:r w:rsidR="00F733B3">
        <w:rPr>
          <w:lang w:val="en-US"/>
        </w:rPr>
        <w:t>open mind</w:t>
      </w:r>
      <w:r w:rsidR="00026F74">
        <w:rPr>
          <w:lang w:val="en-US"/>
        </w:rPr>
        <w:t>,</w:t>
      </w:r>
      <w:r w:rsidR="00F733B3">
        <w:rPr>
          <w:lang w:val="en-US"/>
        </w:rPr>
        <w:t xml:space="preserve"> the teacher</w:t>
      </w:r>
      <w:r w:rsidR="001378A0">
        <w:rPr>
          <w:lang w:val="en-US"/>
        </w:rPr>
        <w:t xml:space="preserve"> </w:t>
      </w:r>
      <w:r w:rsidR="00026F74">
        <w:rPr>
          <w:lang w:val="en-US"/>
        </w:rPr>
        <w:t xml:space="preserve">establishes </w:t>
      </w:r>
      <w:r w:rsidR="001378A0">
        <w:rPr>
          <w:lang w:val="en-US"/>
        </w:rPr>
        <w:t xml:space="preserve">an inclusive learning environment </w:t>
      </w:r>
      <w:r w:rsidR="00026F74">
        <w:rPr>
          <w:lang w:val="en-US"/>
        </w:rPr>
        <w:t xml:space="preserve">for </w:t>
      </w:r>
      <w:r w:rsidR="001378A0">
        <w:rPr>
          <w:lang w:val="en-US"/>
        </w:rPr>
        <w:t>all the students in his class</w:t>
      </w:r>
      <w:r w:rsidR="00026F74">
        <w:rPr>
          <w:lang w:val="en-US"/>
        </w:rPr>
        <w:t>,</w:t>
      </w:r>
      <w:r w:rsidR="00C7247F">
        <w:rPr>
          <w:lang w:val="en-US"/>
        </w:rPr>
        <w:t xml:space="preserve"> </w:t>
      </w:r>
      <w:r w:rsidR="00F733B3">
        <w:rPr>
          <w:lang w:val="en-US"/>
        </w:rPr>
        <w:t xml:space="preserve">encouraging </w:t>
      </w:r>
      <w:r w:rsidR="00026F74">
        <w:rPr>
          <w:lang w:val="en-US"/>
        </w:rPr>
        <w:t>them to think creatively</w:t>
      </w:r>
      <w:r w:rsidR="00F733B3">
        <w:rPr>
          <w:lang w:val="en-US"/>
        </w:rPr>
        <w:t xml:space="preserve"> when reflecting </w:t>
      </w:r>
      <w:r w:rsidR="00026F74">
        <w:rPr>
          <w:lang w:val="en-US"/>
        </w:rPr>
        <w:t xml:space="preserve">on the </w:t>
      </w:r>
      <w:r w:rsidR="00870269">
        <w:rPr>
          <w:lang w:val="en-US"/>
        </w:rPr>
        <w:t xml:space="preserve">different constructions of the </w:t>
      </w:r>
      <w:r w:rsidR="00F733B3">
        <w:rPr>
          <w:lang w:val="en-US"/>
        </w:rPr>
        <w:t>hous</w:t>
      </w:r>
      <w:r w:rsidR="00870269">
        <w:rPr>
          <w:lang w:val="en-US"/>
        </w:rPr>
        <w:t>es</w:t>
      </w:r>
      <w:r w:rsidR="00F733B3">
        <w:rPr>
          <w:lang w:val="en-US"/>
        </w:rPr>
        <w:t xml:space="preserve"> </w:t>
      </w:r>
      <w:r w:rsidR="00C7247F">
        <w:rPr>
          <w:lang w:val="en-US"/>
        </w:rPr>
        <w:t>(see also Louw 2013</w:t>
      </w:r>
      <w:r w:rsidR="0058766D">
        <w:rPr>
          <w:lang w:val="en-US"/>
        </w:rPr>
        <w:t>a</w:t>
      </w:r>
      <w:r w:rsidR="00C7247F">
        <w:rPr>
          <w:lang w:val="en-US"/>
        </w:rPr>
        <w:t xml:space="preserve"> for a </w:t>
      </w:r>
      <w:r w:rsidR="00C7247F" w:rsidRPr="00C7247F">
        <w:rPr>
          <w:lang w:val="en-US"/>
        </w:rPr>
        <w:t>thorough</w:t>
      </w:r>
      <w:r w:rsidR="00C7247F">
        <w:rPr>
          <w:lang w:val="en-US"/>
        </w:rPr>
        <w:t xml:space="preserve"> discussion of the teacher</w:t>
      </w:r>
      <w:r w:rsidR="00026F74">
        <w:rPr>
          <w:lang w:val="en-US"/>
        </w:rPr>
        <w:t>’s</w:t>
      </w:r>
      <w:r w:rsidR="00C7247F">
        <w:rPr>
          <w:lang w:val="en-US"/>
        </w:rPr>
        <w:t xml:space="preserve"> role </w:t>
      </w:r>
      <w:r w:rsidR="00026F74">
        <w:rPr>
          <w:lang w:val="en-US"/>
        </w:rPr>
        <w:t xml:space="preserve">in </w:t>
      </w:r>
      <w:r w:rsidR="00C7247F" w:rsidRPr="00D47C68">
        <w:rPr>
          <w:i/>
          <w:lang w:val="en-US"/>
        </w:rPr>
        <w:t xml:space="preserve">direct and indirect </w:t>
      </w:r>
      <w:r w:rsidR="00BD1FC9" w:rsidRPr="00D47C68">
        <w:rPr>
          <w:i/>
          <w:lang w:val="en-US"/>
        </w:rPr>
        <w:t xml:space="preserve">teacher </w:t>
      </w:r>
      <w:r w:rsidR="00C7247F" w:rsidRPr="00D47C68">
        <w:rPr>
          <w:i/>
          <w:lang w:val="en-US"/>
        </w:rPr>
        <w:t>approaches</w:t>
      </w:r>
      <w:r w:rsidR="00C7247F">
        <w:rPr>
          <w:lang w:val="en-US"/>
        </w:rPr>
        <w:t>).</w:t>
      </w:r>
    </w:p>
    <w:p w14:paraId="26CB13D6" w14:textId="77777777" w:rsidR="004836EB" w:rsidRPr="00D54033" w:rsidRDefault="004836EB" w:rsidP="004836EB">
      <w:pPr>
        <w:pStyle w:val="Overskrift3"/>
        <w:rPr>
          <w:lang w:val="en-US"/>
        </w:rPr>
      </w:pPr>
      <w:r>
        <w:rPr>
          <w:lang w:val="en-US"/>
        </w:rPr>
        <w:t xml:space="preserve">Analyzing IBE learning environments </w:t>
      </w:r>
      <w:r w:rsidR="00FE22AF">
        <w:rPr>
          <w:lang w:val="en-US"/>
        </w:rPr>
        <w:t xml:space="preserve">– </w:t>
      </w:r>
      <w:r w:rsidR="00B46C22">
        <w:rPr>
          <w:lang w:val="en-US"/>
        </w:rPr>
        <w:t xml:space="preserve">inclusion </w:t>
      </w:r>
      <w:r w:rsidR="00FE22AF">
        <w:rPr>
          <w:lang w:val="en-US"/>
        </w:rPr>
        <w:t>and equality in education</w:t>
      </w:r>
      <w:r>
        <w:rPr>
          <w:lang w:val="en-US"/>
        </w:rPr>
        <w:t xml:space="preserve"> </w:t>
      </w:r>
    </w:p>
    <w:p w14:paraId="57C4D308" w14:textId="77777777" w:rsidR="00AD2F93" w:rsidRDefault="00AD2F93" w:rsidP="00AD2F93">
      <w:pPr>
        <w:rPr>
          <w:lang w:val="en-US"/>
        </w:rPr>
      </w:pPr>
      <w:r>
        <w:rPr>
          <w:lang w:val="en-US"/>
        </w:rPr>
        <w:t>In the following</w:t>
      </w:r>
      <w:r w:rsidR="00026F74">
        <w:rPr>
          <w:lang w:val="en-US"/>
        </w:rPr>
        <w:t>,</w:t>
      </w:r>
      <w:r>
        <w:rPr>
          <w:lang w:val="en-US"/>
        </w:rPr>
        <w:t xml:space="preserve"> we discuss </w:t>
      </w:r>
      <w:r w:rsidR="00026F74">
        <w:rPr>
          <w:lang w:val="en-US"/>
        </w:rPr>
        <w:t xml:space="preserve">the potential for student </w:t>
      </w:r>
      <w:r>
        <w:rPr>
          <w:lang w:val="en-US"/>
        </w:rPr>
        <w:t xml:space="preserve">learning </w:t>
      </w:r>
      <w:r w:rsidR="00026F74">
        <w:rPr>
          <w:lang w:val="en-US"/>
        </w:rPr>
        <w:t xml:space="preserve">and the extent of student inclusion </w:t>
      </w:r>
      <w:r>
        <w:rPr>
          <w:lang w:val="en-US"/>
        </w:rPr>
        <w:t xml:space="preserve">in the two examples. </w:t>
      </w:r>
    </w:p>
    <w:p w14:paraId="34E0AF07" w14:textId="77777777" w:rsidR="00AD2F93" w:rsidRPr="005D2C3D" w:rsidRDefault="00AD2F93" w:rsidP="00AD2F93">
      <w:pPr>
        <w:rPr>
          <w:lang w:val="en-US"/>
        </w:rPr>
      </w:pPr>
    </w:p>
    <w:p w14:paraId="2AA76035" w14:textId="77777777" w:rsidR="0036191C" w:rsidRDefault="00870269" w:rsidP="00AD2F93">
      <w:pPr>
        <w:rPr>
          <w:lang w:val="en-US"/>
        </w:rPr>
      </w:pPr>
      <w:r>
        <w:rPr>
          <w:lang w:val="en-US"/>
        </w:rPr>
        <w:t>T</w:t>
      </w:r>
      <w:r w:rsidR="00F207C0">
        <w:rPr>
          <w:lang w:val="en-US"/>
        </w:rPr>
        <w:t>he students at the NYC high school</w:t>
      </w:r>
      <w:r>
        <w:rPr>
          <w:lang w:val="en-US"/>
        </w:rPr>
        <w:t xml:space="preserve"> are</w:t>
      </w:r>
      <w:r w:rsidR="00AD2F93">
        <w:rPr>
          <w:lang w:val="en-US"/>
        </w:rPr>
        <w:t xml:space="preserve"> active participa</w:t>
      </w:r>
      <w:r>
        <w:rPr>
          <w:lang w:val="en-US"/>
        </w:rPr>
        <w:t>nts</w:t>
      </w:r>
      <w:r w:rsidR="00AD2F93">
        <w:rPr>
          <w:lang w:val="en-US"/>
        </w:rPr>
        <w:t xml:space="preserve"> in </w:t>
      </w:r>
      <w:r>
        <w:rPr>
          <w:lang w:val="en-US"/>
        </w:rPr>
        <w:t>the discussion</w:t>
      </w:r>
      <w:r w:rsidR="00AD2F93">
        <w:rPr>
          <w:lang w:val="en-US"/>
        </w:rPr>
        <w:t xml:space="preserve"> about freedom, the justice system and the social impact on the individual</w:t>
      </w:r>
      <w:r w:rsidR="00D31579">
        <w:rPr>
          <w:lang w:val="en-US"/>
        </w:rPr>
        <w:t xml:space="preserve"> citizen</w:t>
      </w:r>
      <w:r w:rsidR="00AD2F93">
        <w:rPr>
          <w:lang w:val="en-US"/>
        </w:rPr>
        <w:t xml:space="preserve">. The texts </w:t>
      </w:r>
      <w:r w:rsidR="00026F74">
        <w:rPr>
          <w:lang w:val="en-US"/>
        </w:rPr>
        <w:t xml:space="preserve">which </w:t>
      </w:r>
      <w:r w:rsidR="00AD2F93">
        <w:rPr>
          <w:lang w:val="en-US"/>
        </w:rPr>
        <w:t xml:space="preserve">the students read </w:t>
      </w:r>
      <w:r w:rsidR="00026F74">
        <w:rPr>
          <w:lang w:val="en-US"/>
        </w:rPr>
        <w:t>before</w:t>
      </w:r>
      <w:r w:rsidR="00AD2F93">
        <w:rPr>
          <w:lang w:val="en-US"/>
        </w:rPr>
        <w:t xml:space="preserve"> the lesson are brought to </w:t>
      </w:r>
      <w:r w:rsidR="00026F74">
        <w:rPr>
          <w:lang w:val="en-US"/>
        </w:rPr>
        <w:t xml:space="preserve">life </w:t>
      </w:r>
      <w:r w:rsidR="00AD2F93">
        <w:rPr>
          <w:lang w:val="en-US"/>
        </w:rPr>
        <w:t xml:space="preserve">in the discussions </w:t>
      </w:r>
      <w:r w:rsidR="00026F74">
        <w:rPr>
          <w:lang w:val="en-US"/>
        </w:rPr>
        <w:t xml:space="preserve">so that </w:t>
      </w:r>
      <w:r w:rsidR="00AD2F93">
        <w:rPr>
          <w:lang w:val="en-US"/>
        </w:rPr>
        <w:t xml:space="preserve">the students are given </w:t>
      </w:r>
      <w:r w:rsidR="00026F74">
        <w:rPr>
          <w:lang w:val="en-US"/>
        </w:rPr>
        <w:t xml:space="preserve">the opportunity </w:t>
      </w:r>
      <w:r>
        <w:rPr>
          <w:lang w:val="en-US"/>
        </w:rPr>
        <w:t>not just to learn about</w:t>
      </w:r>
      <w:r w:rsidR="00AD2F93">
        <w:rPr>
          <w:lang w:val="en-US"/>
        </w:rPr>
        <w:t xml:space="preserve"> </w:t>
      </w:r>
      <w:r w:rsidR="00D31579">
        <w:rPr>
          <w:lang w:val="en-US"/>
        </w:rPr>
        <w:t xml:space="preserve">their </w:t>
      </w:r>
      <w:r>
        <w:rPr>
          <w:lang w:val="en-US"/>
        </w:rPr>
        <w:t xml:space="preserve">country’s </w:t>
      </w:r>
      <w:r w:rsidR="00AD2F93">
        <w:rPr>
          <w:lang w:val="en-US"/>
        </w:rPr>
        <w:t>history</w:t>
      </w:r>
      <w:r>
        <w:rPr>
          <w:lang w:val="en-US"/>
        </w:rPr>
        <w:t>, but also to learn</w:t>
      </w:r>
      <w:r w:rsidR="00AD2F93">
        <w:rPr>
          <w:lang w:val="en-US"/>
        </w:rPr>
        <w:t xml:space="preserve"> </w:t>
      </w:r>
      <w:r w:rsidR="00026F74">
        <w:rPr>
          <w:lang w:val="en-US"/>
        </w:rPr>
        <w:t xml:space="preserve">about </w:t>
      </w:r>
      <w:r w:rsidR="00AD2F93">
        <w:rPr>
          <w:lang w:val="en-US"/>
        </w:rPr>
        <w:t xml:space="preserve">how </w:t>
      </w:r>
      <w:r w:rsidR="00167B0A">
        <w:rPr>
          <w:lang w:val="en-US"/>
        </w:rPr>
        <w:t>history</w:t>
      </w:r>
      <w:r>
        <w:rPr>
          <w:lang w:val="en-US"/>
        </w:rPr>
        <w:t xml:space="preserve"> can be analyzed and </w:t>
      </w:r>
      <w:r w:rsidR="00AD2F93">
        <w:rPr>
          <w:lang w:val="en-US"/>
        </w:rPr>
        <w:t xml:space="preserve">understood differently </w:t>
      </w:r>
      <w:r w:rsidR="00026F74">
        <w:rPr>
          <w:lang w:val="en-US"/>
        </w:rPr>
        <w:t xml:space="preserve">according to </w:t>
      </w:r>
      <w:r w:rsidR="00AD2F93">
        <w:rPr>
          <w:lang w:val="en-US"/>
        </w:rPr>
        <w:t xml:space="preserve">different </w:t>
      </w:r>
      <w:r w:rsidR="00167B0A">
        <w:rPr>
          <w:lang w:val="en-US"/>
        </w:rPr>
        <w:t xml:space="preserve">theoretical and political </w:t>
      </w:r>
      <w:r w:rsidR="00AD2F93">
        <w:rPr>
          <w:lang w:val="en-US"/>
        </w:rPr>
        <w:lastRenderedPageBreak/>
        <w:t>persp</w:t>
      </w:r>
      <w:r w:rsidR="00167B0A">
        <w:rPr>
          <w:lang w:val="en-US"/>
        </w:rPr>
        <w:t>ectives. The</w:t>
      </w:r>
      <w:r w:rsidR="00AD2F93">
        <w:rPr>
          <w:lang w:val="en-US"/>
        </w:rPr>
        <w:t xml:space="preserve"> </w:t>
      </w:r>
      <w:r w:rsidR="00167B0A">
        <w:rPr>
          <w:lang w:val="en-US"/>
        </w:rPr>
        <w:t xml:space="preserve">inquiry </w:t>
      </w:r>
      <w:r w:rsidR="00026F74">
        <w:rPr>
          <w:lang w:val="en-US"/>
        </w:rPr>
        <w:t>is</w:t>
      </w:r>
      <w:r w:rsidR="00D31579">
        <w:rPr>
          <w:lang w:val="en-US"/>
        </w:rPr>
        <w:t xml:space="preserve"> </w:t>
      </w:r>
      <w:r w:rsidR="00167B0A">
        <w:rPr>
          <w:lang w:val="en-US"/>
        </w:rPr>
        <w:t xml:space="preserve">facilitated by the teacher </w:t>
      </w:r>
      <w:r w:rsidR="00026F74">
        <w:rPr>
          <w:lang w:val="en-US"/>
        </w:rPr>
        <w:t>with respect</w:t>
      </w:r>
      <w:r w:rsidR="00AD2F93">
        <w:rPr>
          <w:lang w:val="en-US"/>
        </w:rPr>
        <w:t xml:space="preserve"> for arguments</w:t>
      </w:r>
      <w:r w:rsidR="00167B0A">
        <w:rPr>
          <w:lang w:val="en-US"/>
        </w:rPr>
        <w:t>, listening and reflection</w:t>
      </w:r>
      <w:r w:rsidR="00026F74">
        <w:rPr>
          <w:lang w:val="en-US"/>
        </w:rPr>
        <w:t>, which can be interpreted as</w:t>
      </w:r>
      <w:r w:rsidR="00AD2F93">
        <w:rPr>
          <w:lang w:val="en-US"/>
        </w:rPr>
        <w:t xml:space="preserve"> supporting the students’ democratic understanding and their ability to </w:t>
      </w:r>
      <w:r w:rsidR="00026F74">
        <w:rPr>
          <w:lang w:val="en-US"/>
        </w:rPr>
        <w:t xml:space="preserve">appreciate </w:t>
      </w:r>
      <w:r w:rsidR="00167B0A">
        <w:rPr>
          <w:lang w:val="en-US"/>
        </w:rPr>
        <w:t xml:space="preserve">the complexity of </w:t>
      </w:r>
      <w:r w:rsidR="0036191C">
        <w:rPr>
          <w:lang w:val="en-US"/>
        </w:rPr>
        <w:t xml:space="preserve">power relations and policy in </w:t>
      </w:r>
      <w:r w:rsidR="00AD2F93" w:rsidRPr="00BF306D">
        <w:rPr>
          <w:lang w:val="en-US"/>
        </w:rPr>
        <w:t>societies</w:t>
      </w:r>
      <w:r w:rsidR="0036191C">
        <w:rPr>
          <w:lang w:val="en-US"/>
        </w:rPr>
        <w:t>. The teacher</w:t>
      </w:r>
      <w:r w:rsidR="00AD2F93">
        <w:rPr>
          <w:lang w:val="en-US"/>
        </w:rPr>
        <w:t xml:space="preserve"> </w:t>
      </w:r>
      <w:r w:rsidR="0036191C">
        <w:rPr>
          <w:lang w:val="en-US"/>
        </w:rPr>
        <w:t>does</w:t>
      </w:r>
      <w:r w:rsidR="00AD2F93">
        <w:rPr>
          <w:lang w:val="en-US"/>
        </w:rPr>
        <w:t xml:space="preserve"> not </w:t>
      </w:r>
      <w:r w:rsidR="0036191C">
        <w:rPr>
          <w:lang w:val="en-US"/>
        </w:rPr>
        <w:t>evaluate or dismiss</w:t>
      </w:r>
      <w:r w:rsidR="00AD2F93">
        <w:rPr>
          <w:lang w:val="en-US"/>
        </w:rPr>
        <w:t xml:space="preserve"> the students’ contribution</w:t>
      </w:r>
      <w:r w:rsidR="00026F74">
        <w:rPr>
          <w:lang w:val="en-US"/>
        </w:rPr>
        <w:t>s</w:t>
      </w:r>
      <w:r w:rsidR="00AD2F93">
        <w:rPr>
          <w:lang w:val="en-US"/>
        </w:rPr>
        <w:t xml:space="preserve"> </w:t>
      </w:r>
      <w:r w:rsidR="00026F74">
        <w:rPr>
          <w:lang w:val="en-US"/>
        </w:rPr>
        <w:t>as being either</w:t>
      </w:r>
      <w:r w:rsidR="00AD2F93">
        <w:rPr>
          <w:lang w:val="en-US"/>
        </w:rPr>
        <w:t xml:space="preserve"> right </w:t>
      </w:r>
      <w:r w:rsidR="00026F74">
        <w:rPr>
          <w:lang w:val="en-US"/>
        </w:rPr>
        <w:t>or</w:t>
      </w:r>
      <w:r w:rsidR="00AD2F93">
        <w:rPr>
          <w:lang w:val="en-US"/>
        </w:rPr>
        <w:t xml:space="preserve"> wrong</w:t>
      </w:r>
      <w:r w:rsidR="0036191C">
        <w:rPr>
          <w:lang w:val="en-US"/>
        </w:rPr>
        <w:t xml:space="preserve">. </w:t>
      </w:r>
      <w:r w:rsidR="00026F74">
        <w:rPr>
          <w:lang w:val="en-US"/>
        </w:rPr>
        <w:t>Instead h</w:t>
      </w:r>
      <w:r w:rsidR="0036191C">
        <w:rPr>
          <w:lang w:val="en-US"/>
        </w:rPr>
        <w:t xml:space="preserve">e deliberately chooses to </w:t>
      </w:r>
      <w:r w:rsidR="00AD2F93">
        <w:rPr>
          <w:lang w:val="en-US"/>
        </w:rPr>
        <w:t>encourage the students to defend their arguments based on the texts</w:t>
      </w:r>
      <w:r w:rsidR="0036191C">
        <w:rPr>
          <w:lang w:val="en-US"/>
        </w:rPr>
        <w:t xml:space="preserve"> and </w:t>
      </w:r>
      <w:r w:rsidR="00026F74">
        <w:rPr>
          <w:lang w:val="en-US"/>
        </w:rPr>
        <w:t>their</w:t>
      </w:r>
      <w:r w:rsidR="0036191C">
        <w:rPr>
          <w:lang w:val="en-US"/>
        </w:rPr>
        <w:t xml:space="preserve"> opinion</w:t>
      </w:r>
      <w:r w:rsidR="00026F74">
        <w:rPr>
          <w:lang w:val="en-US"/>
        </w:rPr>
        <w:t>s</w:t>
      </w:r>
      <w:r w:rsidR="0036191C">
        <w:rPr>
          <w:lang w:val="en-US"/>
        </w:rPr>
        <w:t xml:space="preserve"> and personal thoughts. This supports the</w:t>
      </w:r>
      <w:r w:rsidR="00AD2F93">
        <w:rPr>
          <w:lang w:val="en-US"/>
        </w:rPr>
        <w:t xml:space="preserve"> </w:t>
      </w:r>
      <w:r w:rsidR="00675DF8">
        <w:rPr>
          <w:lang w:val="en-US"/>
        </w:rPr>
        <w:t>democratic</w:t>
      </w:r>
      <w:r w:rsidR="005A78F5">
        <w:rPr>
          <w:lang w:val="en-US"/>
        </w:rPr>
        <w:t xml:space="preserve"> education</w:t>
      </w:r>
      <w:r w:rsidR="00675DF8">
        <w:rPr>
          <w:lang w:val="en-US"/>
        </w:rPr>
        <w:t xml:space="preserve"> of the students </w:t>
      </w:r>
      <w:r w:rsidR="00026F74">
        <w:rPr>
          <w:lang w:val="en-US"/>
        </w:rPr>
        <w:t>and</w:t>
      </w:r>
      <w:r w:rsidR="00AD2F93">
        <w:rPr>
          <w:lang w:val="en-US"/>
        </w:rPr>
        <w:t xml:space="preserve"> </w:t>
      </w:r>
      <w:r w:rsidR="00026F74">
        <w:rPr>
          <w:lang w:val="en-US"/>
        </w:rPr>
        <w:t xml:space="preserve">creates </w:t>
      </w:r>
      <w:r w:rsidR="00AD2F93">
        <w:rPr>
          <w:lang w:val="en-US"/>
        </w:rPr>
        <w:t xml:space="preserve">an inclusive learning environment for all the students in the class. </w:t>
      </w:r>
      <w:r w:rsidR="00676C29">
        <w:rPr>
          <w:lang w:val="en-US"/>
        </w:rPr>
        <w:t xml:space="preserve">These aspects are all central to the </w:t>
      </w:r>
      <w:r w:rsidR="00026F74">
        <w:rPr>
          <w:lang w:val="en-US"/>
        </w:rPr>
        <w:t xml:space="preserve">IBE </w:t>
      </w:r>
      <w:r w:rsidR="00676C29">
        <w:rPr>
          <w:lang w:val="en-US"/>
        </w:rPr>
        <w:t xml:space="preserve">approach to education. </w:t>
      </w:r>
    </w:p>
    <w:p w14:paraId="7222A1B9" w14:textId="77777777" w:rsidR="0036191C" w:rsidRDefault="0036191C" w:rsidP="00AD2F93">
      <w:pPr>
        <w:rPr>
          <w:lang w:val="en-US"/>
        </w:rPr>
      </w:pPr>
    </w:p>
    <w:p w14:paraId="35A3398F" w14:textId="1FA1E03E" w:rsidR="006B4916" w:rsidRDefault="00CE6F46" w:rsidP="00AD2F93">
      <w:pPr>
        <w:rPr>
          <w:lang w:val="en-US"/>
        </w:rPr>
      </w:pPr>
      <w:r>
        <w:rPr>
          <w:lang w:val="en-US"/>
        </w:rPr>
        <w:t>If we leave</w:t>
      </w:r>
      <w:r w:rsidR="00675DF8">
        <w:rPr>
          <w:lang w:val="en-US"/>
        </w:rPr>
        <w:t xml:space="preserve"> the issue of democratic</w:t>
      </w:r>
      <w:r w:rsidR="005A78F5">
        <w:rPr>
          <w:lang w:val="en-US"/>
        </w:rPr>
        <w:t xml:space="preserve"> education</w:t>
      </w:r>
      <w:r w:rsidR="00675DF8">
        <w:rPr>
          <w:lang w:val="en-US"/>
        </w:rPr>
        <w:t xml:space="preserve"> and </w:t>
      </w:r>
      <w:r>
        <w:rPr>
          <w:lang w:val="en-US"/>
        </w:rPr>
        <w:t>examine</w:t>
      </w:r>
      <w:r w:rsidR="00675DF8">
        <w:rPr>
          <w:lang w:val="en-US"/>
        </w:rPr>
        <w:t xml:space="preserve"> the learning environment </w:t>
      </w:r>
      <w:r>
        <w:rPr>
          <w:lang w:val="en-US"/>
        </w:rPr>
        <w:t xml:space="preserve">in </w:t>
      </w:r>
      <w:r w:rsidR="00675DF8">
        <w:rPr>
          <w:lang w:val="en-US"/>
        </w:rPr>
        <w:t>the classroom</w:t>
      </w:r>
      <w:r>
        <w:rPr>
          <w:lang w:val="en-US"/>
        </w:rPr>
        <w:t>,</w:t>
      </w:r>
      <w:r w:rsidR="00675DF8">
        <w:rPr>
          <w:lang w:val="en-US"/>
        </w:rPr>
        <w:t xml:space="preserve"> one might argue </w:t>
      </w:r>
      <w:r w:rsidR="00AD2F93">
        <w:rPr>
          <w:lang w:val="en-US"/>
        </w:rPr>
        <w:t xml:space="preserve">that </w:t>
      </w:r>
      <w:r>
        <w:rPr>
          <w:lang w:val="en-US"/>
        </w:rPr>
        <w:t>right or wrong judgments are still applied during</w:t>
      </w:r>
      <w:r w:rsidR="00AD2F93">
        <w:rPr>
          <w:lang w:val="en-US"/>
        </w:rPr>
        <w:t xml:space="preserve"> the discussion</w:t>
      </w:r>
      <w:r>
        <w:rPr>
          <w:lang w:val="en-US"/>
        </w:rPr>
        <w:t xml:space="preserve"> in that s</w:t>
      </w:r>
      <w:r w:rsidR="0036191C">
        <w:rPr>
          <w:lang w:val="en-US"/>
        </w:rPr>
        <w:t xml:space="preserve">ome arguments are </w:t>
      </w:r>
      <w:r>
        <w:rPr>
          <w:lang w:val="en-US"/>
        </w:rPr>
        <w:t>encouraged,</w:t>
      </w:r>
      <w:r w:rsidR="0036191C">
        <w:rPr>
          <w:lang w:val="en-US"/>
        </w:rPr>
        <w:t xml:space="preserve"> while others are </w:t>
      </w:r>
      <w:r>
        <w:rPr>
          <w:lang w:val="en-US"/>
        </w:rPr>
        <w:t>not</w:t>
      </w:r>
      <w:r w:rsidR="0036191C">
        <w:rPr>
          <w:lang w:val="en-US"/>
        </w:rPr>
        <w:t xml:space="preserve">. The facilitator </w:t>
      </w:r>
      <w:r>
        <w:rPr>
          <w:lang w:val="en-US"/>
        </w:rPr>
        <w:t>decides</w:t>
      </w:r>
      <w:r w:rsidR="00D31579">
        <w:rPr>
          <w:lang w:val="en-US"/>
        </w:rPr>
        <w:t xml:space="preserve"> which </w:t>
      </w:r>
      <w:r>
        <w:rPr>
          <w:lang w:val="en-US"/>
        </w:rPr>
        <w:t>avenues for</w:t>
      </w:r>
      <w:r w:rsidR="00B7792B">
        <w:rPr>
          <w:lang w:val="en-US"/>
        </w:rPr>
        <w:t xml:space="preserve"> discussion to follow and </w:t>
      </w:r>
      <w:r>
        <w:rPr>
          <w:lang w:val="en-US"/>
        </w:rPr>
        <w:t xml:space="preserve">behind such choices </w:t>
      </w:r>
      <w:r w:rsidR="00B7792B">
        <w:rPr>
          <w:lang w:val="en-US"/>
        </w:rPr>
        <w:t xml:space="preserve">there </w:t>
      </w:r>
      <w:r w:rsidR="00E23834">
        <w:rPr>
          <w:lang w:val="en-US"/>
        </w:rPr>
        <w:t xml:space="preserve">will always be </w:t>
      </w:r>
      <w:r>
        <w:rPr>
          <w:lang w:val="en-US"/>
        </w:rPr>
        <w:t xml:space="preserve">some sort of </w:t>
      </w:r>
      <w:r w:rsidR="00494740">
        <w:rPr>
          <w:lang w:val="en-US"/>
        </w:rPr>
        <w:t xml:space="preserve">value judgment </w:t>
      </w:r>
      <w:r w:rsidR="00AD2F93">
        <w:rPr>
          <w:lang w:val="en-US"/>
        </w:rPr>
        <w:t xml:space="preserve">(Bernstein </w:t>
      </w:r>
      <w:r w:rsidR="001201A8">
        <w:rPr>
          <w:lang w:val="en-US"/>
        </w:rPr>
        <w:t>2003</w:t>
      </w:r>
      <w:r w:rsidR="00230629">
        <w:rPr>
          <w:lang w:val="en-US"/>
        </w:rPr>
        <w:t>;</w:t>
      </w:r>
      <w:r w:rsidR="001D363C">
        <w:rPr>
          <w:lang w:val="en-US"/>
        </w:rPr>
        <w:t xml:space="preserve"> Ulriksen 1997</w:t>
      </w:r>
      <w:r w:rsidR="00B7792B">
        <w:rPr>
          <w:lang w:val="en-US"/>
        </w:rPr>
        <w:t xml:space="preserve">). This </w:t>
      </w:r>
      <w:r w:rsidR="00E23834">
        <w:rPr>
          <w:lang w:val="en-US"/>
        </w:rPr>
        <w:t>fact</w:t>
      </w:r>
      <w:r w:rsidR="00AD2F93">
        <w:rPr>
          <w:lang w:val="en-US"/>
        </w:rPr>
        <w:t xml:space="preserve"> </w:t>
      </w:r>
      <w:r w:rsidR="00494740">
        <w:rPr>
          <w:lang w:val="en-US"/>
        </w:rPr>
        <w:t>highlights</w:t>
      </w:r>
      <w:r w:rsidR="00AD2F93">
        <w:rPr>
          <w:lang w:val="en-US"/>
        </w:rPr>
        <w:t xml:space="preserve"> the important issue of how the teacher frame</w:t>
      </w:r>
      <w:r w:rsidR="00B7792B">
        <w:rPr>
          <w:lang w:val="en-US"/>
        </w:rPr>
        <w:t>s the</w:t>
      </w:r>
      <w:r w:rsidR="00AD2F93">
        <w:rPr>
          <w:lang w:val="en-US"/>
        </w:rPr>
        <w:t xml:space="preserve"> learning activities</w:t>
      </w:r>
      <w:r w:rsidR="00B7792B">
        <w:rPr>
          <w:lang w:val="en-US"/>
        </w:rPr>
        <w:t xml:space="preserve">. </w:t>
      </w:r>
      <w:r w:rsidR="00AD1CFC">
        <w:rPr>
          <w:lang w:val="en-US"/>
        </w:rPr>
        <w:t xml:space="preserve">Following </w:t>
      </w:r>
      <w:r w:rsidR="00B7792B">
        <w:rPr>
          <w:lang w:val="en-US"/>
        </w:rPr>
        <w:t>Bourdieu’s thinking</w:t>
      </w:r>
      <w:r w:rsidR="00F2313C">
        <w:rPr>
          <w:lang w:val="en-US"/>
        </w:rPr>
        <w:t xml:space="preserve">, </w:t>
      </w:r>
      <w:r w:rsidR="00B7792B">
        <w:rPr>
          <w:lang w:val="en-US"/>
        </w:rPr>
        <w:t xml:space="preserve">it is worth </w:t>
      </w:r>
      <w:r w:rsidR="00E23834">
        <w:rPr>
          <w:lang w:val="en-US"/>
        </w:rPr>
        <w:t>stressing the point that the educational system</w:t>
      </w:r>
      <w:r w:rsidR="00B7792B">
        <w:rPr>
          <w:lang w:val="en-US"/>
        </w:rPr>
        <w:t xml:space="preserve"> has a tendency to reproduce existing power relations in society</w:t>
      </w:r>
      <w:r w:rsidR="00E23834">
        <w:rPr>
          <w:lang w:val="en-US"/>
        </w:rPr>
        <w:t>, where m</w:t>
      </w:r>
      <w:r w:rsidR="00B7792B">
        <w:rPr>
          <w:lang w:val="en-US"/>
        </w:rPr>
        <w:t>iddle</w:t>
      </w:r>
      <w:r w:rsidR="00494740">
        <w:rPr>
          <w:lang w:val="en-US"/>
        </w:rPr>
        <w:t>-</w:t>
      </w:r>
      <w:r w:rsidR="00B7792B">
        <w:rPr>
          <w:lang w:val="en-US"/>
        </w:rPr>
        <w:t>class norms and culture</w:t>
      </w:r>
      <w:r w:rsidR="00DD67A6">
        <w:rPr>
          <w:lang w:val="en-US"/>
        </w:rPr>
        <w:t xml:space="preserve"> are dominant</w:t>
      </w:r>
      <w:r w:rsidR="00BD1FC9">
        <w:rPr>
          <w:lang w:val="en-US"/>
        </w:rPr>
        <w:t xml:space="preserve"> (Bourdieu 2000)</w:t>
      </w:r>
      <w:r w:rsidR="001B7D22">
        <w:rPr>
          <w:lang w:val="en-US"/>
        </w:rPr>
        <w:t xml:space="preserve">. In line with Bourdieu’s thinking, </w:t>
      </w:r>
      <w:r w:rsidR="006B4916" w:rsidRPr="00411025">
        <w:rPr>
          <w:lang w:val="en-GB"/>
        </w:rPr>
        <w:t>Bernstein, in his later work</w:t>
      </w:r>
      <w:r w:rsidR="006B4916">
        <w:rPr>
          <w:lang w:val="en-GB"/>
        </w:rPr>
        <w:t xml:space="preserve">, </w:t>
      </w:r>
      <w:r w:rsidR="006B4916" w:rsidRPr="00411025">
        <w:rPr>
          <w:lang w:val="en-GB"/>
        </w:rPr>
        <w:t>developed concepts and models that transform relations of power and control into pedagogical codes</w:t>
      </w:r>
      <w:r w:rsidR="006B4916">
        <w:rPr>
          <w:lang w:val="en-GB"/>
        </w:rPr>
        <w:t>,</w:t>
      </w:r>
      <w:r w:rsidR="006B4916" w:rsidRPr="00411025">
        <w:rPr>
          <w:lang w:val="en-GB"/>
        </w:rPr>
        <w:t xml:space="preserve"> and </w:t>
      </w:r>
      <w:r w:rsidR="006B4916">
        <w:rPr>
          <w:lang w:val="en-GB"/>
        </w:rPr>
        <w:t>pedagogical modalities</w:t>
      </w:r>
      <w:r w:rsidR="006B4916" w:rsidRPr="00411025">
        <w:rPr>
          <w:lang w:val="en-GB"/>
        </w:rPr>
        <w:t xml:space="preserve"> (Bernstein 19</w:t>
      </w:r>
      <w:r w:rsidR="00AD1CFC">
        <w:rPr>
          <w:lang w:val="en-GB"/>
        </w:rPr>
        <w:t>7</w:t>
      </w:r>
      <w:r w:rsidR="006B4916" w:rsidRPr="00411025">
        <w:rPr>
          <w:lang w:val="en-GB"/>
        </w:rPr>
        <w:t>7</w:t>
      </w:r>
      <w:r w:rsidR="00AD1CFC">
        <w:rPr>
          <w:lang w:val="en-GB"/>
        </w:rPr>
        <w:t xml:space="preserve">; </w:t>
      </w:r>
      <w:r w:rsidR="001201A8">
        <w:rPr>
          <w:lang w:val="en-GB"/>
        </w:rPr>
        <w:t>2003</w:t>
      </w:r>
      <w:r w:rsidR="006B4916" w:rsidRPr="00411025">
        <w:rPr>
          <w:lang w:val="en-GB"/>
        </w:rPr>
        <w:t xml:space="preserve">; Sadovnik 2001). </w:t>
      </w:r>
      <w:r w:rsidR="006B4916">
        <w:rPr>
          <w:lang w:val="en-GB"/>
        </w:rPr>
        <w:t>In</w:t>
      </w:r>
      <w:r w:rsidR="006B4916" w:rsidRPr="00411025">
        <w:rPr>
          <w:lang w:val="en-GB"/>
        </w:rPr>
        <w:t xml:space="preserve"> this work</w:t>
      </w:r>
      <w:r w:rsidR="006B4916">
        <w:rPr>
          <w:lang w:val="en-GB"/>
        </w:rPr>
        <w:t>,</w:t>
      </w:r>
      <w:r w:rsidR="006B4916" w:rsidRPr="00411025">
        <w:rPr>
          <w:lang w:val="en-GB"/>
        </w:rPr>
        <w:t xml:space="preserve"> the </w:t>
      </w:r>
      <w:r w:rsidR="006B4916" w:rsidRPr="00245E61">
        <w:rPr>
          <w:lang w:val="en-GB"/>
        </w:rPr>
        <w:t>terms classification and framing are constructed</w:t>
      </w:r>
      <w:r w:rsidR="006B4916" w:rsidRPr="00411025">
        <w:rPr>
          <w:lang w:val="en-GB"/>
        </w:rPr>
        <w:t xml:space="preserve"> </w:t>
      </w:r>
      <w:r w:rsidR="006B4916">
        <w:rPr>
          <w:lang w:val="en-GB"/>
        </w:rPr>
        <w:t>on a scale</w:t>
      </w:r>
      <w:r w:rsidR="006B4916" w:rsidRPr="00411025">
        <w:rPr>
          <w:lang w:val="en-GB"/>
        </w:rPr>
        <w:t xml:space="preserve"> from weak to strong</w:t>
      </w:r>
      <w:r w:rsidR="006B4916">
        <w:rPr>
          <w:lang w:val="en-GB"/>
        </w:rPr>
        <w:t>,</w:t>
      </w:r>
      <w:r w:rsidR="006B4916" w:rsidRPr="00411025">
        <w:rPr>
          <w:lang w:val="en-GB"/>
        </w:rPr>
        <w:t xml:space="preserve"> </w:t>
      </w:r>
      <w:r w:rsidR="00494740">
        <w:rPr>
          <w:lang w:val="en-GB"/>
        </w:rPr>
        <w:t>which facilitates the</w:t>
      </w:r>
      <w:r w:rsidR="00494740" w:rsidRPr="00411025">
        <w:rPr>
          <w:lang w:val="en-GB"/>
        </w:rPr>
        <w:t xml:space="preserve"> </w:t>
      </w:r>
      <w:r w:rsidR="006B4916" w:rsidRPr="00411025">
        <w:rPr>
          <w:lang w:val="en-GB"/>
        </w:rPr>
        <w:t xml:space="preserve">analysis of different forms of learning environment. Classification conceptualizes relations of power that regulate relations between contexts or categories, </w:t>
      </w:r>
      <w:r w:rsidR="00494740">
        <w:rPr>
          <w:lang w:val="en-GB"/>
        </w:rPr>
        <w:t>while</w:t>
      </w:r>
      <w:r w:rsidR="00494740" w:rsidRPr="00411025">
        <w:rPr>
          <w:lang w:val="en-GB"/>
        </w:rPr>
        <w:t xml:space="preserve"> </w:t>
      </w:r>
      <w:r w:rsidR="006B4916" w:rsidRPr="00411025">
        <w:rPr>
          <w:lang w:val="en-GB"/>
        </w:rPr>
        <w:t>framing concep</w:t>
      </w:r>
      <w:r w:rsidR="006B4916">
        <w:rPr>
          <w:lang w:val="en-GB"/>
        </w:rPr>
        <w:t>tualizes relations of control within these contexts or categories.</w:t>
      </w:r>
      <w:r w:rsidR="006B4916" w:rsidRPr="00411025">
        <w:rPr>
          <w:szCs w:val="20"/>
          <w:lang w:val="en-GB"/>
        </w:rPr>
        <w:t xml:space="preserve"> </w:t>
      </w:r>
      <w:r w:rsidR="006B4916" w:rsidRPr="00411025">
        <w:rPr>
          <w:lang w:val="en-GB"/>
        </w:rPr>
        <w:t>Using these terms</w:t>
      </w:r>
      <w:r w:rsidR="006B4916">
        <w:rPr>
          <w:lang w:val="en-GB"/>
        </w:rPr>
        <w:t>,</w:t>
      </w:r>
      <w:r w:rsidR="006B4916" w:rsidRPr="00411025">
        <w:rPr>
          <w:lang w:val="en-GB"/>
        </w:rPr>
        <w:t xml:space="preserve"> the analytic</w:t>
      </w:r>
      <w:r w:rsidR="00494740">
        <w:rPr>
          <w:lang w:val="en-GB"/>
        </w:rPr>
        <w:t>al</w:t>
      </w:r>
      <w:r w:rsidR="006B4916" w:rsidRPr="00411025">
        <w:rPr>
          <w:lang w:val="en-GB"/>
        </w:rPr>
        <w:t xml:space="preserve"> </w:t>
      </w:r>
      <w:r w:rsidR="00494740">
        <w:rPr>
          <w:lang w:val="en-GB"/>
        </w:rPr>
        <w:t xml:space="preserve">focus </w:t>
      </w:r>
      <w:r w:rsidR="006B4916">
        <w:rPr>
          <w:lang w:val="en-GB"/>
        </w:rPr>
        <w:t xml:space="preserve">is on </w:t>
      </w:r>
      <w:r w:rsidR="006B4916" w:rsidRPr="00411025">
        <w:rPr>
          <w:lang w:val="en-GB"/>
        </w:rPr>
        <w:t>how organizational structures</w:t>
      </w:r>
      <w:r w:rsidR="006B4916">
        <w:rPr>
          <w:lang w:val="en-GB"/>
        </w:rPr>
        <w:t>,</w:t>
      </w:r>
      <w:r w:rsidR="006B4916" w:rsidRPr="00411025">
        <w:rPr>
          <w:lang w:val="en-GB"/>
        </w:rPr>
        <w:t xml:space="preserve"> social relations and dynamics in the classroom are reflected in certain forms of pedagogy. </w:t>
      </w:r>
      <w:r w:rsidR="00300F4D" w:rsidRPr="00300F4D">
        <w:rPr>
          <w:lang w:val="en-US"/>
        </w:rPr>
        <w:t>Bernstein (</w:t>
      </w:r>
      <w:r w:rsidR="001201A8">
        <w:rPr>
          <w:lang w:val="en-US"/>
        </w:rPr>
        <w:t>2003</w:t>
      </w:r>
      <w:r w:rsidR="00CC5F3C" w:rsidRPr="00300F4D">
        <w:rPr>
          <w:lang w:val="en-US"/>
        </w:rPr>
        <w:t>)</w:t>
      </w:r>
      <w:r w:rsidR="006B4916" w:rsidRPr="00300F4D">
        <w:rPr>
          <w:lang w:val="en-US"/>
        </w:rPr>
        <w:t xml:space="preserve"> introduces</w:t>
      </w:r>
      <w:r w:rsidR="006B4916">
        <w:rPr>
          <w:lang w:val="en-US"/>
        </w:rPr>
        <w:t xml:space="preserve"> the concepts of visible and invisible pedagogy that </w:t>
      </w:r>
      <w:r w:rsidR="00494740">
        <w:rPr>
          <w:lang w:val="en-US"/>
        </w:rPr>
        <w:t xml:space="preserve">may </w:t>
      </w:r>
      <w:r w:rsidR="006B4916">
        <w:rPr>
          <w:lang w:val="en-US"/>
        </w:rPr>
        <w:t xml:space="preserve">be of interest </w:t>
      </w:r>
      <w:r w:rsidR="00494740">
        <w:rPr>
          <w:lang w:val="en-US"/>
        </w:rPr>
        <w:t xml:space="preserve">for </w:t>
      </w:r>
      <w:r w:rsidR="006B4916">
        <w:rPr>
          <w:lang w:val="en-US"/>
        </w:rPr>
        <w:t>f</w:t>
      </w:r>
      <w:r w:rsidR="002358C7">
        <w:rPr>
          <w:lang w:val="en-US"/>
        </w:rPr>
        <w:t xml:space="preserve">urther research </w:t>
      </w:r>
      <w:r w:rsidR="00494740">
        <w:rPr>
          <w:lang w:val="en-US"/>
        </w:rPr>
        <w:t xml:space="preserve">on the subject matter of </w:t>
      </w:r>
      <w:r w:rsidR="006B4916">
        <w:rPr>
          <w:lang w:val="en-US"/>
        </w:rPr>
        <w:t xml:space="preserve">this </w:t>
      </w:r>
      <w:r w:rsidR="00091F5C">
        <w:rPr>
          <w:lang w:val="en-US"/>
        </w:rPr>
        <w:t>article</w:t>
      </w:r>
      <w:r w:rsidR="006B4916">
        <w:rPr>
          <w:lang w:val="en-US"/>
        </w:rPr>
        <w:t>.</w:t>
      </w:r>
      <w:r w:rsidR="00CC5F3C">
        <w:rPr>
          <w:lang w:val="en-US"/>
        </w:rPr>
        <w:t xml:space="preserve"> </w:t>
      </w:r>
      <w:r w:rsidR="00494740">
        <w:rPr>
          <w:lang w:val="en-US"/>
        </w:rPr>
        <w:t>Within the context of</w:t>
      </w:r>
      <w:r w:rsidR="002358C7">
        <w:rPr>
          <w:lang w:val="en-US"/>
        </w:rPr>
        <w:t xml:space="preserve"> </w:t>
      </w:r>
      <w:r w:rsidR="00CC5F3C">
        <w:rPr>
          <w:lang w:val="en-US"/>
        </w:rPr>
        <w:t>Bernstein’s theory</w:t>
      </w:r>
      <w:r w:rsidR="00494740">
        <w:rPr>
          <w:lang w:val="en-US"/>
        </w:rPr>
        <w:t>,</w:t>
      </w:r>
      <w:r w:rsidR="00CC5F3C">
        <w:rPr>
          <w:lang w:val="en-US"/>
        </w:rPr>
        <w:t xml:space="preserve"> the invisible pedagogy is present when the classification and framing </w:t>
      </w:r>
      <w:r w:rsidR="00494740">
        <w:rPr>
          <w:lang w:val="en-US"/>
        </w:rPr>
        <w:t xml:space="preserve">are </w:t>
      </w:r>
      <w:r w:rsidR="00CC5F3C">
        <w:rPr>
          <w:lang w:val="en-US"/>
        </w:rPr>
        <w:t>weak</w:t>
      </w:r>
      <w:r w:rsidR="00494740">
        <w:rPr>
          <w:lang w:val="en-US"/>
        </w:rPr>
        <w:t>, which</w:t>
      </w:r>
      <w:r w:rsidR="00CC5F3C">
        <w:rPr>
          <w:lang w:val="en-US"/>
        </w:rPr>
        <w:t xml:space="preserve"> allows the students to be innovative and participate on many levels in the educational setting</w:t>
      </w:r>
      <w:r w:rsidR="00494740">
        <w:rPr>
          <w:lang w:val="en-US"/>
        </w:rPr>
        <w:t>. However,</w:t>
      </w:r>
      <w:r w:rsidR="00CC5F3C">
        <w:rPr>
          <w:lang w:val="en-US"/>
        </w:rPr>
        <w:t xml:space="preserve"> it can also </w:t>
      </w:r>
      <w:r w:rsidR="00091F5C">
        <w:rPr>
          <w:lang w:val="en-US"/>
        </w:rPr>
        <w:t xml:space="preserve">contribute to </w:t>
      </w:r>
      <w:r w:rsidR="002358C7">
        <w:rPr>
          <w:lang w:val="en-US"/>
        </w:rPr>
        <w:t>a pedagogic practice</w:t>
      </w:r>
      <w:r w:rsidR="00091F5C">
        <w:rPr>
          <w:lang w:val="en-US"/>
        </w:rPr>
        <w:t xml:space="preserve">, where the students are measured </w:t>
      </w:r>
      <w:r w:rsidR="002358C7">
        <w:rPr>
          <w:lang w:val="en-US"/>
        </w:rPr>
        <w:t>by</w:t>
      </w:r>
      <w:r w:rsidR="00091F5C">
        <w:rPr>
          <w:lang w:val="en-US"/>
        </w:rPr>
        <w:t xml:space="preserve"> standards </w:t>
      </w:r>
      <w:r w:rsidR="00494740">
        <w:rPr>
          <w:lang w:val="en-US"/>
        </w:rPr>
        <w:t xml:space="preserve">of which </w:t>
      </w:r>
      <w:r w:rsidR="00091F5C">
        <w:rPr>
          <w:lang w:val="en-US"/>
        </w:rPr>
        <w:t xml:space="preserve">they </w:t>
      </w:r>
      <w:r w:rsidR="00494740">
        <w:rPr>
          <w:lang w:val="en-US"/>
        </w:rPr>
        <w:t>have not been made</w:t>
      </w:r>
      <w:r w:rsidR="002358C7">
        <w:rPr>
          <w:lang w:val="en-US"/>
        </w:rPr>
        <w:t xml:space="preserve"> </w:t>
      </w:r>
      <w:r w:rsidR="00091F5C">
        <w:rPr>
          <w:lang w:val="en-US"/>
        </w:rPr>
        <w:t xml:space="preserve">aware. For </w:t>
      </w:r>
      <w:r w:rsidR="00091F5C">
        <w:rPr>
          <w:lang w:val="en-US"/>
        </w:rPr>
        <w:lastRenderedPageBreak/>
        <w:t>example</w:t>
      </w:r>
      <w:r w:rsidR="00494740">
        <w:rPr>
          <w:lang w:val="en-US"/>
        </w:rPr>
        <w:t>,</w:t>
      </w:r>
      <w:r w:rsidR="00091F5C">
        <w:rPr>
          <w:lang w:val="en-US"/>
        </w:rPr>
        <w:t xml:space="preserve"> the teacher </w:t>
      </w:r>
      <w:r w:rsidR="00494740">
        <w:rPr>
          <w:lang w:val="en-US"/>
        </w:rPr>
        <w:t xml:space="preserve">deciding </w:t>
      </w:r>
      <w:r w:rsidR="00091F5C">
        <w:rPr>
          <w:lang w:val="en-US"/>
        </w:rPr>
        <w:t xml:space="preserve">to </w:t>
      </w:r>
      <w:r w:rsidR="00494740">
        <w:rPr>
          <w:lang w:val="en-US"/>
        </w:rPr>
        <w:t xml:space="preserve">encourage </w:t>
      </w:r>
      <w:r w:rsidR="00091F5C">
        <w:rPr>
          <w:lang w:val="en-US"/>
        </w:rPr>
        <w:t xml:space="preserve">one argument </w:t>
      </w:r>
      <w:r w:rsidR="00067D9C">
        <w:rPr>
          <w:lang w:val="en-US"/>
        </w:rPr>
        <w:t xml:space="preserve">instead of </w:t>
      </w:r>
      <w:r w:rsidR="00091F5C">
        <w:rPr>
          <w:lang w:val="en-US"/>
        </w:rPr>
        <w:t>another</w:t>
      </w:r>
      <w:r w:rsidR="00494740">
        <w:rPr>
          <w:lang w:val="en-US"/>
        </w:rPr>
        <w:t xml:space="preserve"> may be due to</w:t>
      </w:r>
      <w:r w:rsidR="00091F5C">
        <w:rPr>
          <w:lang w:val="en-US"/>
        </w:rPr>
        <w:t xml:space="preserve"> how </w:t>
      </w:r>
      <w:r w:rsidR="00494740">
        <w:rPr>
          <w:lang w:val="en-US"/>
        </w:rPr>
        <w:t xml:space="preserve">a particular </w:t>
      </w:r>
      <w:r w:rsidR="00091F5C">
        <w:rPr>
          <w:lang w:val="en-US"/>
        </w:rPr>
        <w:t xml:space="preserve">student </w:t>
      </w:r>
      <w:r w:rsidR="00494740">
        <w:rPr>
          <w:lang w:val="en-US"/>
        </w:rPr>
        <w:t xml:space="preserve">has </w:t>
      </w:r>
      <w:r w:rsidR="00091F5C">
        <w:rPr>
          <w:lang w:val="en-US"/>
        </w:rPr>
        <w:t>address</w:t>
      </w:r>
      <w:r w:rsidR="00494740">
        <w:rPr>
          <w:lang w:val="en-US"/>
        </w:rPr>
        <w:t>ed</w:t>
      </w:r>
      <w:r w:rsidR="00091F5C">
        <w:rPr>
          <w:lang w:val="en-US"/>
        </w:rPr>
        <w:t xml:space="preserve"> </w:t>
      </w:r>
      <w:r w:rsidR="00AD1CFC">
        <w:rPr>
          <w:lang w:val="en-US"/>
        </w:rPr>
        <w:t xml:space="preserve">and </w:t>
      </w:r>
      <w:r w:rsidR="006604D5">
        <w:rPr>
          <w:lang w:val="en-US"/>
        </w:rPr>
        <w:t>presented</w:t>
      </w:r>
      <w:r w:rsidR="00AD1CFC">
        <w:rPr>
          <w:lang w:val="en-US"/>
        </w:rPr>
        <w:t xml:space="preserve"> </w:t>
      </w:r>
      <w:r w:rsidR="00091F5C">
        <w:rPr>
          <w:lang w:val="en-US"/>
        </w:rPr>
        <w:t>a certain problem</w:t>
      </w:r>
      <w:r w:rsidR="00067D9C">
        <w:rPr>
          <w:lang w:val="en-US"/>
        </w:rPr>
        <w:t xml:space="preserve">. Here the student’s </w:t>
      </w:r>
      <w:r w:rsidR="00091F5C">
        <w:rPr>
          <w:lang w:val="en-US"/>
        </w:rPr>
        <w:t xml:space="preserve">prior knowledge </w:t>
      </w:r>
      <w:r w:rsidR="006604D5">
        <w:rPr>
          <w:lang w:val="en-US"/>
        </w:rPr>
        <w:t>and skill in</w:t>
      </w:r>
      <w:r w:rsidR="00091F5C">
        <w:rPr>
          <w:lang w:val="en-US"/>
        </w:rPr>
        <w:t xml:space="preserve"> express</w:t>
      </w:r>
      <w:r w:rsidR="006604D5">
        <w:rPr>
          <w:lang w:val="en-US"/>
        </w:rPr>
        <w:t>ing</w:t>
      </w:r>
      <w:r w:rsidR="00091F5C">
        <w:rPr>
          <w:lang w:val="en-US"/>
        </w:rPr>
        <w:t xml:space="preserve"> </w:t>
      </w:r>
      <w:r w:rsidR="006604D5">
        <w:rPr>
          <w:lang w:val="en-US"/>
        </w:rPr>
        <w:t xml:space="preserve">himself </w:t>
      </w:r>
      <w:r w:rsidR="00091F5C">
        <w:rPr>
          <w:lang w:val="en-US"/>
        </w:rPr>
        <w:t>in ways that catch the teacher</w:t>
      </w:r>
      <w:r w:rsidR="00067D9C">
        <w:rPr>
          <w:lang w:val="en-US"/>
        </w:rPr>
        <w:t>’</w:t>
      </w:r>
      <w:r w:rsidR="00091F5C">
        <w:rPr>
          <w:lang w:val="en-US"/>
        </w:rPr>
        <w:t>s attention</w:t>
      </w:r>
      <w:r w:rsidR="00067D9C">
        <w:rPr>
          <w:lang w:val="en-US"/>
        </w:rPr>
        <w:t xml:space="preserve"> is important</w:t>
      </w:r>
      <w:r w:rsidR="00091F5C">
        <w:rPr>
          <w:lang w:val="en-US"/>
        </w:rPr>
        <w:t xml:space="preserve">. </w:t>
      </w:r>
      <w:r w:rsidR="00EB5FD3">
        <w:rPr>
          <w:lang w:val="en-US"/>
        </w:rPr>
        <w:t>So</w:t>
      </w:r>
      <w:r w:rsidR="002358C7">
        <w:rPr>
          <w:lang w:val="en-US"/>
        </w:rPr>
        <w:t xml:space="preserve">, on </w:t>
      </w:r>
      <w:r w:rsidR="006604D5">
        <w:rPr>
          <w:lang w:val="en-US"/>
        </w:rPr>
        <w:t xml:space="preserve">the </w:t>
      </w:r>
      <w:r w:rsidR="00EB5FD3">
        <w:rPr>
          <w:lang w:val="en-US"/>
        </w:rPr>
        <w:t>one hand</w:t>
      </w:r>
      <w:r w:rsidR="006604D5">
        <w:rPr>
          <w:lang w:val="en-US"/>
        </w:rPr>
        <w:t>,</w:t>
      </w:r>
      <w:r w:rsidR="00EB5FD3">
        <w:rPr>
          <w:lang w:val="en-US"/>
        </w:rPr>
        <w:t xml:space="preserve"> s</w:t>
      </w:r>
      <w:r w:rsidR="00091F5C">
        <w:rPr>
          <w:lang w:val="en-US"/>
        </w:rPr>
        <w:t xml:space="preserve">tudents </w:t>
      </w:r>
      <w:r w:rsidR="00F2313C">
        <w:rPr>
          <w:lang w:val="en-US"/>
        </w:rPr>
        <w:t>who are able to adopt the language and phrases appropriate in the school context have some advantages and</w:t>
      </w:r>
      <w:r w:rsidR="00067D9C">
        <w:rPr>
          <w:lang w:val="en-US"/>
        </w:rPr>
        <w:t xml:space="preserve"> </w:t>
      </w:r>
      <w:r w:rsidR="00F2313C">
        <w:rPr>
          <w:lang w:val="en-US"/>
        </w:rPr>
        <w:t xml:space="preserve">might </w:t>
      </w:r>
      <w:r w:rsidR="00067D9C">
        <w:rPr>
          <w:lang w:val="en-US"/>
        </w:rPr>
        <w:t>therefor</w:t>
      </w:r>
      <w:r w:rsidR="002358C7">
        <w:rPr>
          <w:lang w:val="en-US"/>
        </w:rPr>
        <w:t>e</w:t>
      </w:r>
      <w:r w:rsidR="00067D9C">
        <w:rPr>
          <w:lang w:val="en-US"/>
        </w:rPr>
        <w:t xml:space="preserve"> feel more comfortable in </w:t>
      </w:r>
      <w:r w:rsidR="00F2313C">
        <w:rPr>
          <w:lang w:val="en-US"/>
        </w:rPr>
        <w:t xml:space="preserve">an </w:t>
      </w:r>
      <w:r w:rsidR="00067D9C">
        <w:rPr>
          <w:lang w:val="en-US"/>
        </w:rPr>
        <w:t xml:space="preserve">IBE classroom setting. </w:t>
      </w:r>
      <w:r w:rsidR="00BA6668">
        <w:rPr>
          <w:lang w:val="en-US"/>
        </w:rPr>
        <w:t>On the other hand</w:t>
      </w:r>
      <w:r w:rsidR="007D0B2C">
        <w:rPr>
          <w:lang w:val="en-US"/>
        </w:rPr>
        <w:t>,</w:t>
      </w:r>
      <w:r w:rsidR="00AD1CFC">
        <w:rPr>
          <w:lang w:val="en-US"/>
        </w:rPr>
        <w:t xml:space="preserve"> an</w:t>
      </w:r>
      <w:r w:rsidR="00BA6668">
        <w:rPr>
          <w:lang w:val="en-US"/>
        </w:rPr>
        <w:t xml:space="preserve"> IBE </w:t>
      </w:r>
      <w:r w:rsidR="00AD1CFC">
        <w:rPr>
          <w:lang w:val="en-US"/>
        </w:rPr>
        <w:t xml:space="preserve">learning environment </w:t>
      </w:r>
      <w:r w:rsidR="00BA6668">
        <w:rPr>
          <w:lang w:val="en-US"/>
        </w:rPr>
        <w:t xml:space="preserve">opens up for many different approaches and experiences </w:t>
      </w:r>
      <w:r w:rsidR="00AD1CFC">
        <w:rPr>
          <w:lang w:val="en-US"/>
        </w:rPr>
        <w:t>with joint</w:t>
      </w:r>
      <w:r w:rsidR="00BA6668">
        <w:rPr>
          <w:lang w:val="en-US"/>
        </w:rPr>
        <w:t xml:space="preserve"> </w:t>
      </w:r>
      <w:r w:rsidR="00EB5FD3">
        <w:rPr>
          <w:lang w:val="en-US"/>
        </w:rPr>
        <w:t xml:space="preserve">classroom </w:t>
      </w:r>
      <w:r w:rsidR="00BA6668">
        <w:rPr>
          <w:lang w:val="en-US"/>
        </w:rPr>
        <w:t>knowledge</w:t>
      </w:r>
      <w:r w:rsidR="00AD1CFC">
        <w:rPr>
          <w:lang w:val="en-US"/>
        </w:rPr>
        <w:t xml:space="preserve"> building </w:t>
      </w:r>
      <w:r w:rsidR="007D0B2C">
        <w:rPr>
          <w:lang w:val="en-US"/>
        </w:rPr>
        <w:t>which</w:t>
      </w:r>
      <w:r w:rsidR="00EB5FD3">
        <w:rPr>
          <w:lang w:val="en-US"/>
        </w:rPr>
        <w:t xml:space="preserve"> </w:t>
      </w:r>
      <w:r w:rsidR="007D0B2C">
        <w:rPr>
          <w:lang w:val="en-US"/>
        </w:rPr>
        <w:t>gives all</w:t>
      </w:r>
      <w:r w:rsidR="00EB5FD3">
        <w:rPr>
          <w:lang w:val="en-US"/>
        </w:rPr>
        <w:t xml:space="preserve"> students</w:t>
      </w:r>
      <w:r w:rsidR="00AD1CFC">
        <w:rPr>
          <w:lang w:val="en-US"/>
        </w:rPr>
        <w:t xml:space="preserve"> </w:t>
      </w:r>
      <w:r w:rsidR="007D0B2C">
        <w:rPr>
          <w:lang w:val="en-US"/>
        </w:rPr>
        <w:t xml:space="preserve">the opportunity </w:t>
      </w:r>
      <w:r w:rsidR="00AD1CFC">
        <w:rPr>
          <w:lang w:val="en-US"/>
        </w:rPr>
        <w:t>to participate</w:t>
      </w:r>
      <w:r w:rsidR="00BA6668">
        <w:rPr>
          <w:lang w:val="en-US"/>
        </w:rPr>
        <w:t xml:space="preserve">. </w:t>
      </w:r>
    </w:p>
    <w:p w14:paraId="51E3E675" w14:textId="77777777" w:rsidR="006B4916" w:rsidRDefault="006B4916" w:rsidP="00AD2F93">
      <w:pPr>
        <w:rPr>
          <w:lang w:val="en-US"/>
        </w:rPr>
      </w:pPr>
    </w:p>
    <w:p w14:paraId="2F0D0998" w14:textId="77777777" w:rsidR="00AD2F93" w:rsidRDefault="007D0B2C" w:rsidP="00AD2F93">
      <w:pPr>
        <w:rPr>
          <w:lang w:val="en-US"/>
        </w:rPr>
      </w:pPr>
      <w:r>
        <w:rPr>
          <w:lang w:val="en-US"/>
        </w:rPr>
        <w:t>T</w:t>
      </w:r>
      <w:r w:rsidR="001B7D22">
        <w:rPr>
          <w:lang w:val="en-US"/>
        </w:rPr>
        <w:t xml:space="preserve">he </w:t>
      </w:r>
      <w:r w:rsidR="00DD67A6">
        <w:rPr>
          <w:lang w:val="en-US"/>
        </w:rPr>
        <w:t xml:space="preserve">NYC high school </w:t>
      </w:r>
      <w:r>
        <w:rPr>
          <w:lang w:val="en-US"/>
        </w:rPr>
        <w:t>trains</w:t>
      </w:r>
      <w:r w:rsidR="00E23834">
        <w:rPr>
          <w:lang w:val="en-US"/>
        </w:rPr>
        <w:t xml:space="preserve"> not only </w:t>
      </w:r>
      <w:r>
        <w:rPr>
          <w:lang w:val="en-US"/>
        </w:rPr>
        <w:t xml:space="preserve">the </w:t>
      </w:r>
      <w:r w:rsidR="00E23834">
        <w:rPr>
          <w:lang w:val="en-US"/>
        </w:rPr>
        <w:t>teacher</w:t>
      </w:r>
      <w:r>
        <w:rPr>
          <w:lang w:val="en-US"/>
        </w:rPr>
        <w:t>,</w:t>
      </w:r>
      <w:r w:rsidR="00E23834">
        <w:rPr>
          <w:lang w:val="en-US"/>
        </w:rPr>
        <w:t xml:space="preserve"> </w:t>
      </w:r>
      <w:r w:rsidR="006B4916">
        <w:rPr>
          <w:lang w:val="en-US"/>
        </w:rPr>
        <w:t>but also</w:t>
      </w:r>
      <w:r w:rsidR="00DD67A6">
        <w:rPr>
          <w:lang w:val="en-US"/>
        </w:rPr>
        <w:t xml:space="preserve"> </w:t>
      </w:r>
      <w:r>
        <w:rPr>
          <w:lang w:val="en-US"/>
        </w:rPr>
        <w:t xml:space="preserve">the </w:t>
      </w:r>
      <w:r w:rsidR="00DD67A6">
        <w:rPr>
          <w:lang w:val="en-US"/>
        </w:rPr>
        <w:t xml:space="preserve">students to </w:t>
      </w:r>
      <w:r>
        <w:rPr>
          <w:lang w:val="en-US"/>
        </w:rPr>
        <w:t xml:space="preserve">be </w:t>
      </w:r>
      <w:r w:rsidR="00DD67A6">
        <w:rPr>
          <w:lang w:val="en-US"/>
        </w:rPr>
        <w:t>facilitators</w:t>
      </w:r>
      <w:r w:rsidR="00067D9C">
        <w:rPr>
          <w:lang w:val="en-US"/>
        </w:rPr>
        <w:t xml:space="preserve"> of discussions. This </w:t>
      </w:r>
      <w:r>
        <w:rPr>
          <w:lang w:val="en-US"/>
        </w:rPr>
        <w:t xml:space="preserve">may </w:t>
      </w:r>
      <w:r w:rsidR="00067D9C">
        <w:rPr>
          <w:lang w:val="en-US"/>
        </w:rPr>
        <w:t>indicate</w:t>
      </w:r>
      <w:r w:rsidR="00DD67A6">
        <w:rPr>
          <w:lang w:val="en-US"/>
        </w:rPr>
        <w:t xml:space="preserve"> that the school is aware of the possible bias in the facilitator’s position</w:t>
      </w:r>
      <w:r w:rsidR="00067D9C">
        <w:rPr>
          <w:lang w:val="en-US"/>
        </w:rPr>
        <w:t xml:space="preserve"> and that they </w:t>
      </w:r>
      <w:r>
        <w:rPr>
          <w:lang w:val="en-US"/>
        </w:rPr>
        <w:t>are attempting to</w:t>
      </w:r>
      <w:r w:rsidR="00067D9C">
        <w:rPr>
          <w:lang w:val="en-US"/>
        </w:rPr>
        <w:t xml:space="preserve"> </w:t>
      </w:r>
      <w:r>
        <w:rPr>
          <w:lang w:val="en-US"/>
        </w:rPr>
        <w:t>make</w:t>
      </w:r>
      <w:r w:rsidR="002358C7">
        <w:rPr>
          <w:lang w:val="en-US"/>
        </w:rPr>
        <w:t xml:space="preserve"> possible </w:t>
      </w:r>
      <w:r w:rsidR="00067D9C">
        <w:rPr>
          <w:lang w:val="en-US"/>
        </w:rPr>
        <w:t xml:space="preserve">invisible pedagogy visible </w:t>
      </w:r>
      <w:r w:rsidR="002358C7">
        <w:rPr>
          <w:lang w:val="en-US"/>
        </w:rPr>
        <w:t xml:space="preserve">to </w:t>
      </w:r>
      <w:r w:rsidR="00067D9C">
        <w:rPr>
          <w:lang w:val="en-US"/>
        </w:rPr>
        <w:t>all students</w:t>
      </w:r>
      <w:r w:rsidR="00DD67A6">
        <w:rPr>
          <w:lang w:val="en-US"/>
        </w:rPr>
        <w:t>. T</w:t>
      </w:r>
      <w:r w:rsidR="00676C29">
        <w:rPr>
          <w:lang w:val="en-US"/>
        </w:rPr>
        <w:t xml:space="preserve">he analysis of the example from the </w:t>
      </w:r>
      <w:r w:rsidR="00F207C0">
        <w:rPr>
          <w:lang w:val="en-US"/>
        </w:rPr>
        <w:t>NYC high school</w:t>
      </w:r>
      <w:r w:rsidR="00676C29">
        <w:rPr>
          <w:lang w:val="en-US"/>
        </w:rPr>
        <w:t xml:space="preserve"> </w:t>
      </w:r>
      <w:r w:rsidR="00DD67A6">
        <w:rPr>
          <w:lang w:val="en-US"/>
        </w:rPr>
        <w:t>indicate</w:t>
      </w:r>
      <w:r>
        <w:rPr>
          <w:lang w:val="en-US"/>
        </w:rPr>
        <w:t>s</w:t>
      </w:r>
      <w:r w:rsidR="00DD67A6">
        <w:rPr>
          <w:lang w:val="en-US"/>
        </w:rPr>
        <w:t xml:space="preserve"> a close </w:t>
      </w:r>
      <w:r w:rsidR="00676C29">
        <w:rPr>
          <w:lang w:val="en-US"/>
        </w:rPr>
        <w:t>relat</w:t>
      </w:r>
      <w:r w:rsidR="00DD67A6">
        <w:rPr>
          <w:lang w:val="en-US"/>
        </w:rPr>
        <w:t>ion</w:t>
      </w:r>
      <w:r>
        <w:rPr>
          <w:lang w:val="en-US"/>
        </w:rPr>
        <w:t>ship</w:t>
      </w:r>
      <w:r w:rsidR="00DD67A6">
        <w:rPr>
          <w:lang w:val="en-US"/>
        </w:rPr>
        <w:t xml:space="preserve"> to the ideas of </w:t>
      </w:r>
      <w:r w:rsidR="00676C29">
        <w:rPr>
          <w:lang w:val="en-US"/>
        </w:rPr>
        <w:t>the IBE framework</w:t>
      </w:r>
      <w:r w:rsidR="00DD67A6">
        <w:rPr>
          <w:lang w:val="en-US"/>
        </w:rPr>
        <w:t xml:space="preserve"> and</w:t>
      </w:r>
      <w:r w:rsidR="00676C29">
        <w:rPr>
          <w:lang w:val="en-US"/>
        </w:rPr>
        <w:t xml:space="preserve"> i</w:t>
      </w:r>
      <w:r w:rsidR="00DD67A6">
        <w:rPr>
          <w:lang w:val="en-US"/>
        </w:rPr>
        <w:t>t</w:t>
      </w:r>
      <w:r w:rsidR="00676C29">
        <w:rPr>
          <w:lang w:val="en-US"/>
        </w:rPr>
        <w:t xml:space="preserve">s essential </w:t>
      </w:r>
      <w:r>
        <w:rPr>
          <w:lang w:val="en-US"/>
        </w:rPr>
        <w:t xml:space="preserve">aim </w:t>
      </w:r>
      <w:r w:rsidR="00AD1CFC">
        <w:rPr>
          <w:lang w:val="en-US"/>
        </w:rPr>
        <w:t>of</w:t>
      </w:r>
      <w:r w:rsidR="00676C29">
        <w:rPr>
          <w:lang w:val="en-US"/>
        </w:rPr>
        <w:t xml:space="preserve"> cr</w:t>
      </w:r>
      <w:r w:rsidR="00DD67A6">
        <w:rPr>
          <w:lang w:val="en-US"/>
        </w:rPr>
        <w:t>e</w:t>
      </w:r>
      <w:r w:rsidR="00676C29">
        <w:rPr>
          <w:lang w:val="en-US"/>
        </w:rPr>
        <w:t xml:space="preserve">ating </w:t>
      </w:r>
      <w:r>
        <w:rPr>
          <w:lang w:val="en-US"/>
        </w:rPr>
        <w:t xml:space="preserve">an </w:t>
      </w:r>
      <w:r w:rsidR="00676C29">
        <w:rPr>
          <w:lang w:val="en-US"/>
        </w:rPr>
        <w:t xml:space="preserve">inclusive learning environment </w:t>
      </w:r>
      <w:r>
        <w:rPr>
          <w:lang w:val="en-US"/>
        </w:rPr>
        <w:t xml:space="preserve">for </w:t>
      </w:r>
      <w:r w:rsidR="00676C29">
        <w:rPr>
          <w:lang w:val="en-US"/>
        </w:rPr>
        <w:t>all students</w:t>
      </w:r>
      <w:r w:rsidR="00BF4D46" w:rsidRPr="00BF4D46">
        <w:rPr>
          <w:lang w:val="en-US"/>
        </w:rPr>
        <w:t xml:space="preserve"> </w:t>
      </w:r>
      <w:r w:rsidR="0020322C">
        <w:rPr>
          <w:lang w:val="en-US"/>
        </w:rPr>
        <w:t>where</w:t>
      </w:r>
      <w:r w:rsidR="00BF4D46">
        <w:rPr>
          <w:lang w:val="en-US"/>
        </w:rPr>
        <w:t xml:space="preserve"> the students are seen as knowledge producers</w:t>
      </w:r>
      <w:r w:rsidR="00676C29">
        <w:rPr>
          <w:lang w:val="en-US"/>
        </w:rPr>
        <w:t xml:space="preserve">. </w:t>
      </w:r>
      <w:r w:rsidR="00067D9C">
        <w:rPr>
          <w:lang w:val="en-US"/>
        </w:rPr>
        <w:t xml:space="preserve">The school is a transfer school for students </w:t>
      </w:r>
      <w:r>
        <w:rPr>
          <w:lang w:val="en-US"/>
        </w:rPr>
        <w:t xml:space="preserve">who have </w:t>
      </w:r>
      <w:r w:rsidR="00067D9C">
        <w:rPr>
          <w:lang w:val="en-US"/>
        </w:rPr>
        <w:t>drop</w:t>
      </w:r>
      <w:r>
        <w:rPr>
          <w:lang w:val="en-US"/>
        </w:rPr>
        <w:t>ped</w:t>
      </w:r>
      <w:r w:rsidR="00067D9C">
        <w:rPr>
          <w:lang w:val="en-US"/>
        </w:rPr>
        <w:t xml:space="preserve"> out of </w:t>
      </w:r>
      <w:r w:rsidR="00BF4D46">
        <w:rPr>
          <w:lang w:val="en-US"/>
        </w:rPr>
        <w:t>high school in NYC, and over 90</w:t>
      </w:r>
      <w:r w:rsidR="00067D9C">
        <w:rPr>
          <w:lang w:val="en-US"/>
        </w:rPr>
        <w:t xml:space="preserve"> % of </w:t>
      </w:r>
      <w:r w:rsidR="00DC0119">
        <w:rPr>
          <w:lang w:val="en-US"/>
        </w:rPr>
        <w:t>their</w:t>
      </w:r>
      <w:r w:rsidR="00067D9C">
        <w:rPr>
          <w:lang w:val="en-US"/>
        </w:rPr>
        <w:t xml:space="preserve"> students continue to college.</w:t>
      </w:r>
      <w:r w:rsidR="00B06797">
        <w:rPr>
          <w:lang w:val="en-US"/>
        </w:rPr>
        <w:t xml:space="preserve"> </w:t>
      </w:r>
    </w:p>
    <w:p w14:paraId="2235E60F" w14:textId="77777777" w:rsidR="00CC309A" w:rsidRDefault="00CC309A" w:rsidP="00230629">
      <w:pPr>
        <w:rPr>
          <w:lang w:val="en-US"/>
        </w:rPr>
      </w:pPr>
    </w:p>
    <w:p w14:paraId="08C79F20" w14:textId="71AD321C" w:rsidR="00984993" w:rsidRDefault="00E35C1B" w:rsidP="00230629">
      <w:pPr>
        <w:rPr>
          <w:lang w:val="en-US"/>
        </w:rPr>
      </w:pPr>
      <w:r w:rsidRPr="00E35C1B">
        <w:rPr>
          <w:lang w:val="en-US"/>
        </w:rPr>
        <w:t xml:space="preserve">The example from the Danish VET </w:t>
      </w:r>
      <w:r w:rsidR="00B46C22" w:rsidRPr="00E35C1B">
        <w:rPr>
          <w:lang w:val="en-US"/>
        </w:rPr>
        <w:t>School</w:t>
      </w:r>
      <w:r>
        <w:rPr>
          <w:lang w:val="en-US"/>
        </w:rPr>
        <w:t xml:space="preserve"> is slightly different</w:t>
      </w:r>
      <w:r w:rsidR="00984993">
        <w:rPr>
          <w:lang w:val="en-US"/>
        </w:rPr>
        <w:t xml:space="preserve"> </w:t>
      </w:r>
      <w:r>
        <w:rPr>
          <w:lang w:val="en-US"/>
        </w:rPr>
        <w:t xml:space="preserve">and </w:t>
      </w:r>
      <w:r w:rsidR="006429DC">
        <w:rPr>
          <w:lang w:val="en-US"/>
        </w:rPr>
        <w:t xml:space="preserve">is </w:t>
      </w:r>
      <w:r>
        <w:rPr>
          <w:lang w:val="en-US"/>
        </w:rPr>
        <w:t xml:space="preserve">chosen </w:t>
      </w:r>
      <w:r w:rsidR="006429DC">
        <w:rPr>
          <w:lang w:val="en-US"/>
        </w:rPr>
        <w:t xml:space="preserve">in order </w:t>
      </w:r>
      <w:r>
        <w:rPr>
          <w:lang w:val="en-US"/>
        </w:rPr>
        <w:t xml:space="preserve">to highlight </w:t>
      </w:r>
      <w:r w:rsidR="00984993">
        <w:rPr>
          <w:lang w:val="en-US"/>
        </w:rPr>
        <w:t xml:space="preserve">other </w:t>
      </w:r>
      <w:r>
        <w:rPr>
          <w:lang w:val="en-US"/>
        </w:rPr>
        <w:t>essential aspects of the students’ learning and how an inclusive learning environment</w:t>
      </w:r>
      <w:r w:rsidR="006429DC">
        <w:rPr>
          <w:lang w:val="en-US"/>
        </w:rPr>
        <w:t>, understood in an IBE framework</w:t>
      </w:r>
      <w:r w:rsidR="00546719">
        <w:rPr>
          <w:lang w:val="en-US"/>
        </w:rPr>
        <w:t>, is</w:t>
      </w:r>
      <w:r>
        <w:rPr>
          <w:lang w:val="en-US"/>
        </w:rPr>
        <w:t xml:space="preserve"> not fixed </w:t>
      </w:r>
      <w:r w:rsidR="00AD1CFC">
        <w:rPr>
          <w:lang w:val="en-US"/>
        </w:rPr>
        <w:t xml:space="preserve">in </w:t>
      </w:r>
      <w:r>
        <w:rPr>
          <w:lang w:val="en-US"/>
        </w:rPr>
        <w:t>form</w:t>
      </w:r>
      <w:r w:rsidR="007D0B2C">
        <w:rPr>
          <w:lang w:val="en-US"/>
        </w:rPr>
        <w:t>,</w:t>
      </w:r>
      <w:r>
        <w:rPr>
          <w:lang w:val="en-US"/>
        </w:rPr>
        <w:t xml:space="preserve"> but</w:t>
      </w:r>
      <w:r w:rsidR="00984993">
        <w:rPr>
          <w:lang w:val="en-US"/>
        </w:rPr>
        <w:t xml:space="preserve"> </w:t>
      </w:r>
      <w:r w:rsidR="007D0B2C">
        <w:rPr>
          <w:lang w:val="en-US"/>
        </w:rPr>
        <w:t xml:space="preserve">may </w:t>
      </w:r>
      <w:r w:rsidR="00984993">
        <w:rPr>
          <w:lang w:val="en-US"/>
        </w:rPr>
        <w:t>vary</w:t>
      </w:r>
      <w:r>
        <w:rPr>
          <w:lang w:val="en-US"/>
        </w:rPr>
        <w:t xml:space="preserve"> in different </w:t>
      </w:r>
      <w:r w:rsidR="00974003">
        <w:rPr>
          <w:lang w:val="en-US"/>
        </w:rPr>
        <w:t xml:space="preserve">learning </w:t>
      </w:r>
      <w:r>
        <w:rPr>
          <w:lang w:val="en-US"/>
        </w:rPr>
        <w:t xml:space="preserve">contexts. </w:t>
      </w:r>
      <w:r w:rsidR="00974003">
        <w:rPr>
          <w:lang w:val="en-US"/>
        </w:rPr>
        <w:t xml:space="preserve">As mentioned </w:t>
      </w:r>
      <w:r w:rsidR="002358C7">
        <w:rPr>
          <w:lang w:val="en-US"/>
        </w:rPr>
        <w:t>earlier</w:t>
      </w:r>
      <w:r w:rsidR="007D0B2C">
        <w:rPr>
          <w:lang w:val="en-US"/>
        </w:rPr>
        <w:t>,</w:t>
      </w:r>
      <w:r w:rsidR="002358C7">
        <w:rPr>
          <w:lang w:val="en-US"/>
        </w:rPr>
        <w:t xml:space="preserve"> </w:t>
      </w:r>
      <w:r w:rsidR="00974003">
        <w:rPr>
          <w:lang w:val="en-US"/>
        </w:rPr>
        <w:t xml:space="preserve">the </w:t>
      </w:r>
      <w:r w:rsidR="002358C7">
        <w:rPr>
          <w:lang w:val="en-US"/>
        </w:rPr>
        <w:t xml:space="preserve">VET </w:t>
      </w:r>
      <w:r w:rsidR="00974003">
        <w:rPr>
          <w:lang w:val="en-US"/>
        </w:rPr>
        <w:t>students</w:t>
      </w:r>
      <w:r w:rsidR="002358C7">
        <w:rPr>
          <w:lang w:val="en-US"/>
        </w:rPr>
        <w:t xml:space="preserve"> in the Danish example</w:t>
      </w:r>
      <w:r w:rsidR="00974003">
        <w:rPr>
          <w:lang w:val="en-US"/>
        </w:rPr>
        <w:t xml:space="preserve"> seem to be positioned as passive </w:t>
      </w:r>
      <w:r w:rsidR="00984993">
        <w:rPr>
          <w:lang w:val="en-US"/>
        </w:rPr>
        <w:t>receivers</w:t>
      </w:r>
      <w:r w:rsidR="00974003">
        <w:rPr>
          <w:lang w:val="en-US"/>
        </w:rPr>
        <w:t xml:space="preserve"> </w:t>
      </w:r>
      <w:r w:rsidR="00984993">
        <w:rPr>
          <w:lang w:val="en-US"/>
        </w:rPr>
        <w:t xml:space="preserve">of knowledge rather than active constructers of knowledge based on working with real life problems. The teacher takes center </w:t>
      </w:r>
      <w:r w:rsidR="007D0B2C">
        <w:rPr>
          <w:lang w:val="en-US"/>
        </w:rPr>
        <w:t>stage</w:t>
      </w:r>
      <w:r w:rsidR="00984993">
        <w:rPr>
          <w:lang w:val="en-US"/>
        </w:rPr>
        <w:t xml:space="preserve"> and control</w:t>
      </w:r>
      <w:r w:rsidR="007D0B2C">
        <w:rPr>
          <w:lang w:val="en-US"/>
        </w:rPr>
        <w:t>s</w:t>
      </w:r>
      <w:r w:rsidR="00984993">
        <w:rPr>
          <w:lang w:val="en-US"/>
        </w:rPr>
        <w:t xml:space="preserve"> the dialog by asking the students randomly about different aspects of the houses th</w:t>
      </w:r>
      <w:r w:rsidR="00B06797">
        <w:rPr>
          <w:lang w:val="en-US"/>
        </w:rPr>
        <w:t>at they</w:t>
      </w:r>
      <w:r w:rsidR="00984993">
        <w:rPr>
          <w:lang w:val="en-US"/>
        </w:rPr>
        <w:t xml:space="preserve"> pass in the neighborhood. </w:t>
      </w:r>
    </w:p>
    <w:p w14:paraId="6D3041A6" w14:textId="77777777" w:rsidR="00B06797" w:rsidRDefault="00B06797" w:rsidP="00230629">
      <w:pPr>
        <w:rPr>
          <w:lang w:val="en-US"/>
        </w:rPr>
      </w:pPr>
    </w:p>
    <w:p w14:paraId="6F5371E4" w14:textId="77777777" w:rsidR="00CC309A" w:rsidRDefault="00984993" w:rsidP="00230629">
      <w:pPr>
        <w:rPr>
          <w:lang w:val="en-US"/>
        </w:rPr>
      </w:pPr>
      <w:r>
        <w:rPr>
          <w:lang w:val="en-US"/>
        </w:rPr>
        <w:t xml:space="preserve">The research in VET stresses the point that the students are </w:t>
      </w:r>
      <w:r w:rsidR="007D0B2C">
        <w:rPr>
          <w:lang w:val="en-US"/>
        </w:rPr>
        <w:t>in general</w:t>
      </w:r>
      <w:r>
        <w:rPr>
          <w:lang w:val="en-US"/>
        </w:rPr>
        <w:t xml:space="preserve"> struggling to connect theory and practice (</w:t>
      </w:r>
      <w:r w:rsidR="00D16F65" w:rsidRPr="00D16F65">
        <w:rPr>
          <w:lang w:val="en-US"/>
        </w:rPr>
        <w:t xml:space="preserve">Aarkrog 2007; Nielsen 2004, 2009; Jørgensen 2010). </w:t>
      </w:r>
      <w:r>
        <w:rPr>
          <w:lang w:val="en-US"/>
        </w:rPr>
        <w:t xml:space="preserve">This is especially evident for students </w:t>
      </w:r>
      <w:r w:rsidR="007D0B2C">
        <w:rPr>
          <w:lang w:val="en-US"/>
        </w:rPr>
        <w:t xml:space="preserve">on </w:t>
      </w:r>
      <w:r>
        <w:rPr>
          <w:lang w:val="en-US"/>
        </w:rPr>
        <w:t>the</w:t>
      </w:r>
      <w:r w:rsidR="00B46C22">
        <w:rPr>
          <w:lang w:val="en-US"/>
        </w:rPr>
        <w:t xml:space="preserve"> VET</w:t>
      </w:r>
      <w:r>
        <w:rPr>
          <w:lang w:val="en-US"/>
        </w:rPr>
        <w:t xml:space="preserve"> basic course</w:t>
      </w:r>
      <w:r w:rsidR="00B46C22">
        <w:rPr>
          <w:lang w:val="en-US"/>
        </w:rPr>
        <w:t>s</w:t>
      </w:r>
      <w:r>
        <w:rPr>
          <w:lang w:val="en-US"/>
        </w:rPr>
        <w:t xml:space="preserve">. In order for the students to be able to make such connections, it is important to provide learning opportunities </w:t>
      </w:r>
      <w:r w:rsidR="007D0B2C">
        <w:rPr>
          <w:lang w:val="en-US"/>
        </w:rPr>
        <w:t xml:space="preserve">which clarify </w:t>
      </w:r>
      <w:r>
        <w:rPr>
          <w:lang w:val="en-US"/>
        </w:rPr>
        <w:t xml:space="preserve">the relevance of more </w:t>
      </w:r>
      <w:r>
        <w:rPr>
          <w:lang w:val="en-US"/>
        </w:rPr>
        <w:lastRenderedPageBreak/>
        <w:t>general, theoretical reflections</w:t>
      </w:r>
      <w:r w:rsidR="00CC309A">
        <w:rPr>
          <w:lang w:val="en-US"/>
        </w:rPr>
        <w:t xml:space="preserve">. By taking the students on a walk </w:t>
      </w:r>
      <w:r w:rsidR="007D0B2C">
        <w:rPr>
          <w:lang w:val="en-US"/>
        </w:rPr>
        <w:t xml:space="preserve">past </w:t>
      </w:r>
      <w:r w:rsidR="00CC309A">
        <w:rPr>
          <w:lang w:val="en-US"/>
        </w:rPr>
        <w:t xml:space="preserve">real houses and connecting questions about </w:t>
      </w:r>
      <w:r w:rsidR="007D0B2C">
        <w:rPr>
          <w:lang w:val="en-US"/>
        </w:rPr>
        <w:t xml:space="preserve">their </w:t>
      </w:r>
      <w:r w:rsidR="00CC309A">
        <w:rPr>
          <w:lang w:val="en-US"/>
        </w:rPr>
        <w:t xml:space="preserve">construction </w:t>
      </w:r>
      <w:r w:rsidR="007D0B2C">
        <w:rPr>
          <w:lang w:val="en-US"/>
        </w:rPr>
        <w:t xml:space="preserve">with </w:t>
      </w:r>
      <w:r w:rsidR="00CC309A">
        <w:rPr>
          <w:lang w:val="en-US"/>
        </w:rPr>
        <w:t>the students</w:t>
      </w:r>
      <w:r w:rsidR="00F662DD">
        <w:rPr>
          <w:lang w:val="en-US"/>
        </w:rPr>
        <w:t>’</w:t>
      </w:r>
      <w:r w:rsidR="00CC309A">
        <w:rPr>
          <w:lang w:val="en-US"/>
        </w:rPr>
        <w:t xml:space="preserve"> </w:t>
      </w:r>
      <w:r w:rsidR="007D0B2C">
        <w:rPr>
          <w:lang w:val="en-US"/>
        </w:rPr>
        <w:t>practical work</w:t>
      </w:r>
      <w:r w:rsidR="00CC309A">
        <w:rPr>
          <w:lang w:val="en-US"/>
        </w:rPr>
        <w:t xml:space="preserve"> in the workshop, it seems that the teacher is trying to establish such opportunities for </w:t>
      </w:r>
      <w:r w:rsidR="007D0B2C">
        <w:rPr>
          <w:lang w:val="en-US"/>
        </w:rPr>
        <w:t>connecting</w:t>
      </w:r>
      <w:r w:rsidR="00CC309A">
        <w:rPr>
          <w:lang w:val="en-US"/>
        </w:rPr>
        <w:t xml:space="preserve"> theory and practice. Even though the teacher initiates the </w:t>
      </w:r>
      <w:r w:rsidR="004E7C38">
        <w:rPr>
          <w:lang w:val="en-US"/>
        </w:rPr>
        <w:t xml:space="preserve">dialogue </w:t>
      </w:r>
      <w:r w:rsidR="00CC309A">
        <w:rPr>
          <w:lang w:val="en-US"/>
        </w:rPr>
        <w:t xml:space="preserve">and </w:t>
      </w:r>
      <w:r w:rsidR="004E7C38">
        <w:rPr>
          <w:lang w:val="en-US"/>
        </w:rPr>
        <w:t xml:space="preserve">maintains </w:t>
      </w:r>
      <w:r w:rsidR="00CC309A">
        <w:rPr>
          <w:lang w:val="en-US"/>
        </w:rPr>
        <w:t>strong control</w:t>
      </w:r>
      <w:r w:rsidR="004E7C38">
        <w:rPr>
          <w:lang w:val="en-US"/>
        </w:rPr>
        <w:t>, space</w:t>
      </w:r>
      <w:r w:rsidR="00CC309A">
        <w:rPr>
          <w:lang w:val="en-US"/>
        </w:rPr>
        <w:t xml:space="preserve"> for the student to </w:t>
      </w:r>
      <w:r w:rsidR="004E7C38">
        <w:rPr>
          <w:lang w:val="en-US"/>
        </w:rPr>
        <w:t>reflect</w:t>
      </w:r>
      <w:r w:rsidR="00CC309A">
        <w:rPr>
          <w:lang w:val="en-US"/>
        </w:rPr>
        <w:t xml:space="preserve"> is </w:t>
      </w:r>
      <w:r w:rsidR="00AD1CFC">
        <w:rPr>
          <w:lang w:val="en-US"/>
        </w:rPr>
        <w:t xml:space="preserve">still </w:t>
      </w:r>
      <w:r w:rsidR="00CC309A">
        <w:rPr>
          <w:lang w:val="en-US"/>
        </w:rPr>
        <w:t>opened up</w:t>
      </w:r>
      <w:r w:rsidR="004E7C38">
        <w:rPr>
          <w:lang w:val="en-US"/>
        </w:rPr>
        <w:t>.</w:t>
      </w:r>
      <w:r w:rsidR="00CC309A">
        <w:rPr>
          <w:lang w:val="en-US"/>
        </w:rPr>
        <w:t xml:space="preserve"> </w:t>
      </w:r>
      <w:r w:rsidR="004E7C38">
        <w:rPr>
          <w:lang w:val="en-US"/>
        </w:rPr>
        <w:t>W</w:t>
      </w:r>
      <w:r w:rsidR="00CC309A">
        <w:rPr>
          <w:lang w:val="en-US"/>
        </w:rPr>
        <w:t>ithin the IBE framework</w:t>
      </w:r>
      <w:r w:rsidR="004E7C38">
        <w:rPr>
          <w:lang w:val="en-US"/>
        </w:rPr>
        <w:t>,</w:t>
      </w:r>
      <w:r w:rsidR="00CC309A">
        <w:rPr>
          <w:lang w:val="en-US"/>
        </w:rPr>
        <w:t xml:space="preserve"> this can be understood as one way of connecting real life problems with students</w:t>
      </w:r>
      <w:r w:rsidR="004E7C38">
        <w:rPr>
          <w:lang w:val="en-US"/>
        </w:rPr>
        <w:t>’</w:t>
      </w:r>
      <w:r w:rsidR="00CC309A">
        <w:rPr>
          <w:lang w:val="en-US"/>
        </w:rPr>
        <w:t xml:space="preserve"> work and </w:t>
      </w:r>
      <w:r w:rsidR="004E7C38">
        <w:rPr>
          <w:lang w:val="en-US"/>
        </w:rPr>
        <w:t xml:space="preserve">stimulating </w:t>
      </w:r>
      <w:r w:rsidR="00CC309A">
        <w:rPr>
          <w:lang w:val="en-US"/>
        </w:rPr>
        <w:t xml:space="preserve">the students’ interest </w:t>
      </w:r>
      <w:r w:rsidR="004E7C38">
        <w:rPr>
          <w:lang w:val="en-US"/>
        </w:rPr>
        <w:t>in</w:t>
      </w:r>
      <w:r w:rsidR="00CC309A">
        <w:rPr>
          <w:lang w:val="en-US"/>
        </w:rPr>
        <w:t xml:space="preserve"> learning about</w:t>
      </w:r>
      <w:r w:rsidR="004E7C38">
        <w:rPr>
          <w:lang w:val="en-US"/>
        </w:rPr>
        <w:t>,</w:t>
      </w:r>
      <w:r w:rsidR="00CC309A">
        <w:rPr>
          <w:lang w:val="en-US"/>
        </w:rPr>
        <w:t xml:space="preserve"> </w:t>
      </w:r>
      <w:r w:rsidR="00294C3C">
        <w:rPr>
          <w:lang w:val="en-US"/>
        </w:rPr>
        <w:t xml:space="preserve">e.g. </w:t>
      </w:r>
      <w:r w:rsidR="00CC309A">
        <w:rPr>
          <w:lang w:val="en-US"/>
        </w:rPr>
        <w:t>construct</w:t>
      </w:r>
      <w:r w:rsidR="002358C7">
        <w:rPr>
          <w:lang w:val="en-US"/>
        </w:rPr>
        <w:t xml:space="preserve">ion. Furthermore, as </w:t>
      </w:r>
      <w:r w:rsidR="004E7C38">
        <w:rPr>
          <w:lang w:val="en-US"/>
        </w:rPr>
        <w:t xml:space="preserve">previously </w:t>
      </w:r>
      <w:r w:rsidR="002358C7">
        <w:rPr>
          <w:lang w:val="en-US"/>
        </w:rPr>
        <w:t>mentioned</w:t>
      </w:r>
      <w:r w:rsidR="004E7C38">
        <w:rPr>
          <w:lang w:val="en-US"/>
        </w:rPr>
        <w:t>,</w:t>
      </w:r>
      <w:r w:rsidR="002358C7">
        <w:rPr>
          <w:lang w:val="en-US"/>
        </w:rPr>
        <w:t xml:space="preserve"> </w:t>
      </w:r>
      <w:r w:rsidR="00CC309A">
        <w:rPr>
          <w:lang w:val="en-US"/>
        </w:rPr>
        <w:t xml:space="preserve">IBE </w:t>
      </w:r>
      <w:r w:rsidR="00CC309A" w:rsidRPr="00173C98">
        <w:rPr>
          <w:lang w:val="en-US"/>
        </w:rPr>
        <w:t>means both discovery and learning and implies both hands-on</w:t>
      </w:r>
      <w:r w:rsidR="00F662DD">
        <w:rPr>
          <w:lang w:val="en-US"/>
        </w:rPr>
        <w:t>’</w:t>
      </w:r>
      <w:r w:rsidR="00CC309A" w:rsidRPr="00173C98">
        <w:rPr>
          <w:lang w:val="en-US"/>
        </w:rPr>
        <w:t xml:space="preserve"> and </w:t>
      </w:r>
      <w:r w:rsidR="004E7C38">
        <w:rPr>
          <w:lang w:val="en-US"/>
        </w:rPr>
        <w:t>‘</w:t>
      </w:r>
      <w:r w:rsidR="00CC309A" w:rsidRPr="00173C98">
        <w:rPr>
          <w:lang w:val="en-US"/>
        </w:rPr>
        <w:t>mind</w:t>
      </w:r>
      <w:r w:rsidR="004E7C38">
        <w:rPr>
          <w:lang w:val="en-US"/>
        </w:rPr>
        <w:t>s</w:t>
      </w:r>
      <w:r w:rsidR="00CC309A" w:rsidRPr="00173C98">
        <w:rPr>
          <w:lang w:val="en-US"/>
        </w:rPr>
        <w:t>-on</w:t>
      </w:r>
      <w:r w:rsidR="004E7C38">
        <w:rPr>
          <w:lang w:val="en-US"/>
        </w:rPr>
        <w:t>’</w:t>
      </w:r>
      <w:r w:rsidR="00CC309A" w:rsidRPr="00173C98">
        <w:rPr>
          <w:lang w:val="en-US"/>
        </w:rPr>
        <w:t xml:space="preserve"> </w:t>
      </w:r>
      <w:r w:rsidR="00CC309A" w:rsidRPr="0043249F">
        <w:rPr>
          <w:lang w:val="en-US"/>
        </w:rPr>
        <w:t xml:space="preserve">and </w:t>
      </w:r>
      <w:r w:rsidR="004E7C38">
        <w:rPr>
          <w:lang w:val="en-US"/>
        </w:rPr>
        <w:t xml:space="preserve">a </w:t>
      </w:r>
      <w:r w:rsidR="00CC309A" w:rsidRPr="0043249F">
        <w:rPr>
          <w:lang w:val="en-US"/>
        </w:rPr>
        <w:t>‘research-based disposition’ towards teaching and learning</w:t>
      </w:r>
      <w:r w:rsidR="00CC309A">
        <w:rPr>
          <w:lang w:val="en-US"/>
        </w:rPr>
        <w:t>. In th</w:t>
      </w:r>
      <w:r w:rsidR="00AD1CFC">
        <w:rPr>
          <w:lang w:val="en-US"/>
        </w:rPr>
        <w:t xml:space="preserve">e Danish </w:t>
      </w:r>
      <w:r w:rsidR="00CC309A">
        <w:rPr>
          <w:lang w:val="en-US"/>
        </w:rPr>
        <w:t>example</w:t>
      </w:r>
      <w:r w:rsidR="004E7C38">
        <w:rPr>
          <w:lang w:val="en-US"/>
        </w:rPr>
        <w:t>,</w:t>
      </w:r>
      <w:r w:rsidR="00CC309A">
        <w:rPr>
          <w:lang w:val="en-US"/>
        </w:rPr>
        <w:t xml:space="preserve"> it is mainly the mind</w:t>
      </w:r>
      <w:r w:rsidR="004E7C38">
        <w:rPr>
          <w:lang w:val="en-US"/>
        </w:rPr>
        <w:t>s</w:t>
      </w:r>
      <w:r w:rsidR="00CC309A">
        <w:rPr>
          <w:lang w:val="en-US"/>
        </w:rPr>
        <w:t xml:space="preserve">-on aspect that is addressed. Thus, this </w:t>
      </w:r>
      <w:r>
        <w:rPr>
          <w:lang w:val="en-US"/>
        </w:rPr>
        <w:t xml:space="preserve">type of activity provides the students with opportunities to </w:t>
      </w:r>
      <w:r w:rsidRPr="00173C98">
        <w:rPr>
          <w:lang w:val="en-US"/>
        </w:rPr>
        <w:t>acquire and develop scientific knowled</w:t>
      </w:r>
      <w:r>
        <w:rPr>
          <w:lang w:val="en-US"/>
        </w:rPr>
        <w:t xml:space="preserve">ge and reflective competencies, which is </w:t>
      </w:r>
      <w:r w:rsidR="00CC309A">
        <w:rPr>
          <w:lang w:val="en-US"/>
        </w:rPr>
        <w:t xml:space="preserve">a </w:t>
      </w:r>
      <w:r w:rsidR="004924F9">
        <w:rPr>
          <w:lang w:val="en-US"/>
        </w:rPr>
        <w:t>core aspect of the approach to learning that is imbedded in IBE.</w:t>
      </w:r>
    </w:p>
    <w:p w14:paraId="6F4529F1" w14:textId="77777777" w:rsidR="00CC309A" w:rsidRDefault="00CC309A" w:rsidP="00230629">
      <w:pPr>
        <w:rPr>
          <w:lang w:val="en-US"/>
        </w:rPr>
      </w:pPr>
    </w:p>
    <w:p w14:paraId="4B66F4F7" w14:textId="77777777" w:rsidR="001C48C3" w:rsidRDefault="004924F9" w:rsidP="00FE22AF">
      <w:pPr>
        <w:rPr>
          <w:lang w:val="en-US"/>
        </w:rPr>
      </w:pPr>
      <w:r w:rsidRPr="004924F9">
        <w:rPr>
          <w:lang w:val="en-US"/>
        </w:rPr>
        <w:t>Finally</w:t>
      </w:r>
      <w:r w:rsidR="004E7C38">
        <w:rPr>
          <w:lang w:val="en-US"/>
        </w:rPr>
        <w:t>,</w:t>
      </w:r>
      <w:r w:rsidRPr="004924F9">
        <w:rPr>
          <w:lang w:val="en-US"/>
        </w:rPr>
        <w:t xml:space="preserve"> </w:t>
      </w:r>
      <w:r w:rsidR="004E7C38" w:rsidRPr="004924F9">
        <w:rPr>
          <w:lang w:val="en-US"/>
        </w:rPr>
        <w:t xml:space="preserve">in the </w:t>
      </w:r>
      <w:r w:rsidR="004E7C38">
        <w:rPr>
          <w:lang w:val="en-US"/>
        </w:rPr>
        <w:t xml:space="preserve">Danish </w:t>
      </w:r>
      <w:r w:rsidR="004E7C38" w:rsidRPr="004924F9">
        <w:rPr>
          <w:lang w:val="en-US"/>
        </w:rPr>
        <w:t>example</w:t>
      </w:r>
      <w:r w:rsidR="004E7C38">
        <w:rPr>
          <w:lang w:val="en-US"/>
        </w:rPr>
        <w:t>,</w:t>
      </w:r>
      <w:r w:rsidR="004E7C38" w:rsidRPr="004924F9">
        <w:rPr>
          <w:lang w:val="en-US"/>
        </w:rPr>
        <w:t xml:space="preserve"> </w:t>
      </w:r>
      <w:r w:rsidRPr="004924F9">
        <w:rPr>
          <w:lang w:val="en-US"/>
        </w:rPr>
        <w:t xml:space="preserve">we draw attention to what </w:t>
      </w:r>
      <w:r w:rsidR="004E7C38">
        <w:rPr>
          <w:lang w:val="en-US"/>
        </w:rPr>
        <w:t>is</w:t>
      </w:r>
      <w:r w:rsidRPr="004924F9">
        <w:rPr>
          <w:lang w:val="en-US"/>
        </w:rPr>
        <w:t xml:space="preserve"> important in relation to </w:t>
      </w:r>
      <w:r w:rsidR="004E7C38">
        <w:rPr>
          <w:lang w:val="en-US"/>
        </w:rPr>
        <w:t xml:space="preserve">the </w:t>
      </w:r>
      <w:r w:rsidRPr="004924F9">
        <w:rPr>
          <w:lang w:val="en-US"/>
        </w:rPr>
        <w:t xml:space="preserve">inclusion of all </w:t>
      </w:r>
      <w:r w:rsidR="004E7C38">
        <w:rPr>
          <w:lang w:val="en-US"/>
        </w:rPr>
        <w:t xml:space="preserve">students </w:t>
      </w:r>
      <w:r w:rsidRPr="004924F9">
        <w:rPr>
          <w:lang w:val="en-US"/>
        </w:rPr>
        <w:t xml:space="preserve">in a shared learning environment. </w:t>
      </w:r>
      <w:r>
        <w:rPr>
          <w:lang w:val="en-US"/>
        </w:rPr>
        <w:t xml:space="preserve">Without knowing </w:t>
      </w:r>
      <w:r w:rsidR="004E7C38">
        <w:rPr>
          <w:lang w:val="en-US"/>
        </w:rPr>
        <w:t>a lot</w:t>
      </w:r>
      <w:r>
        <w:rPr>
          <w:lang w:val="en-US"/>
        </w:rPr>
        <w:t xml:space="preserve"> about the students</w:t>
      </w:r>
      <w:r w:rsidR="00FC64F7">
        <w:rPr>
          <w:lang w:val="en-US"/>
        </w:rPr>
        <w:t>’</w:t>
      </w:r>
      <w:r>
        <w:rPr>
          <w:lang w:val="en-US"/>
        </w:rPr>
        <w:t xml:space="preserve"> backgrounds</w:t>
      </w:r>
      <w:r w:rsidR="004E7C38">
        <w:rPr>
          <w:lang w:val="en-US"/>
        </w:rPr>
        <w:t>,</w:t>
      </w:r>
      <w:r>
        <w:rPr>
          <w:lang w:val="en-US"/>
        </w:rPr>
        <w:t xml:space="preserve"> the teacher </w:t>
      </w:r>
      <w:r w:rsidR="004E7C38">
        <w:rPr>
          <w:lang w:val="en-US"/>
        </w:rPr>
        <w:t>takes a starting point</w:t>
      </w:r>
      <w:r>
        <w:rPr>
          <w:lang w:val="en-US"/>
        </w:rPr>
        <w:t xml:space="preserve"> in what he knows the students have been working with </w:t>
      </w:r>
      <w:r w:rsidR="004E7C38">
        <w:rPr>
          <w:lang w:val="en-US"/>
        </w:rPr>
        <w:t xml:space="preserve">on </w:t>
      </w:r>
      <w:r>
        <w:rPr>
          <w:lang w:val="en-US"/>
        </w:rPr>
        <w:t>the basic course</w:t>
      </w:r>
      <w:r w:rsidR="00FC64F7">
        <w:rPr>
          <w:lang w:val="en-US"/>
        </w:rPr>
        <w:t>. With a clear focus on the professional progression of the students</w:t>
      </w:r>
      <w:r w:rsidR="004E7C38">
        <w:rPr>
          <w:lang w:val="en-US"/>
        </w:rPr>
        <w:t>,</w:t>
      </w:r>
      <w:r w:rsidR="00FC64F7">
        <w:rPr>
          <w:lang w:val="en-US"/>
        </w:rPr>
        <w:t xml:space="preserve"> the teacher </w:t>
      </w:r>
      <w:r>
        <w:rPr>
          <w:lang w:val="en-US"/>
        </w:rPr>
        <w:t xml:space="preserve">asks </w:t>
      </w:r>
      <w:r w:rsidR="004E7C38">
        <w:rPr>
          <w:lang w:val="en-US"/>
        </w:rPr>
        <w:t>them</w:t>
      </w:r>
      <w:r>
        <w:rPr>
          <w:lang w:val="en-US"/>
        </w:rPr>
        <w:t xml:space="preserve"> to reflect upon the construction of the city houses the</w:t>
      </w:r>
      <w:r w:rsidR="00294C3C">
        <w:rPr>
          <w:lang w:val="en-US"/>
        </w:rPr>
        <w:t>y</w:t>
      </w:r>
      <w:r>
        <w:rPr>
          <w:lang w:val="en-US"/>
        </w:rPr>
        <w:t xml:space="preserve"> pass. </w:t>
      </w:r>
      <w:r w:rsidR="00FC64F7">
        <w:rPr>
          <w:lang w:val="en-US"/>
        </w:rPr>
        <w:t xml:space="preserve">By linking </w:t>
      </w:r>
      <w:r w:rsidR="004E7C38">
        <w:rPr>
          <w:lang w:val="en-US"/>
        </w:rPr>
        <w:t xml:space="preserve">these reflections </w:t>
      </w:r>
      <w:r w:rsidR="00FC64F7">
        <w:rPr>
          <w:lang w:val="en-US"/>
        </w:rPr>
        <w:t>to the work the students are doing at the moment in the workshop</w:t>
      </w:r>
      <w:r w:rsidR="004E7C38">
        <w:rPr>
          <w:lang w:val="en-US"/>
        </w:rPr>
        <w:t>,</w:t>
      </w:r>
      <w:r w:rsidR="00FC64F7">
        <w:rPr>
          <w:lang w:val="en-US"/>
        </w:rPr>
        <w:t xml:space="preserve"> and </w:t>
      </w:r>
      <w:r w:rsidR="004E7C38">
        <w:rPr>
          <w:lang w:val="en-US"/>
        </w:rPr>
        <w:t xml:space="preserve">by </w:t>
      </w:r>
      <w:r w:rsidR="00FC64F7">
        <w:rPr>
          <w:lang w:val="en-US"/>
        </w:rPr>
        <w:t xml:space="preserve">giving </w:t>
      </w:r>
      <w:r w:rsidR="004E7C38">
        <w:rPr>
          <w:lang w:val="en-US"/>
        </w:rPr>
        <w:t xml:space="preserve">an </w:t>
      </w:r>
      <w:r w:rsidR="00FC64F7">
        <w:rPr>
          <w:lang w:val="en-US"/>
        </w:rPr>
        <w:t xml:space="preserve">immediate evaluation of the students’ answers </w:t>
      </w:r>
      <w:r w:rsidR="002358C7">
        <w:rPr>
          <w:lang w:val="en-US"/>
        </w:rPr>
        <w:t xml:space="preserve">as well as </w:t>
      </w:r>
      <w:r w:rsidR="00FC64F7">
        <w:rPr>
          <w:lang w:val="en-US"/>
        </w:rPr>
        <w:t>providing his own reflections</w:t>
      </w:r>
      <w:r w:rsidR="002358C7">
        <w:rPr>
          <w:lang w:val="en-US"/>
        </w:rPr>
        <w:t xml:space="preserve"> on the matter</w:t>
      </w:r>
      <w:r w:rsidR="00FC64F7">
        <w:rPr>
          <w:lang w:val="en-US"/>
        </w:rPr>
        <w:t xml:space="preserve">, the teacher </w:t>
      </w:r>
      <w:r w:rsidR="004E7C38">
        <w:rPr>
          <w:lang w:val="en-US"/>
        </w:rPr>
        <w:t>gives</w:t>
      </w:r>
      <w:r w:rsidR="00FC64F7">
        <w:rPr>
          <w:lang w:val="en-US"/>
        </w:rPr>
        <w:t xml:space="preserve"> the students </w:t>
      </w:r>
      <w:r w:rsidR="004E7C38">
        <w:rPr>
          <w:lang w:val="en-US"/>
        </w:rPr>
        <w:t xml:space="preserve">the opportunity </w:t>
      </w:r>
      <w:r w:rsidR="00FC64F7">
        <w:rPr>
          <w:lang w:val="en-US"/>
        </w:rPr>
        <w:t xml:space="preserve">to develop </w:t>
      </w:r>
      <w:r w:rsidR="004E7C38">
        <w:rPr>
          <w:lang w:val="en-US"/>
        </w:rPr>
        <w:t xml:space="preserve">a </w:t>
      </w:r>
      <w:r w:rsidR="00FC64F7">
        <w:rPr>
          <w:lang w:val="en-US"/>
        </w:rPr>
        <w:t xml:space="preserve">professional identification and </w:t>
      </w:r>
      <w:r w:rsidR="00AD1CFC">
        <w:rPr>
          <w:lang w:val="en-US"/>
        </w:rPr>
        <w:t xml:space="preserve">to </w:t>
      </w:r>
      <w:r w:rsidR="00FC64F7">
        <w:rPr>
          <w:lang w:val="en-US"/>
        </w:rPr>
        <w:t xml:space="preserve">be included in the community of practice that is the </w:t>
      </w:r>
      <w:r w:rsidR="004E7C38">
        <w:rPr>
          <w:lang w:val="en-US"/>
        </w:rPr>
        <w:t xml:space="preserve">carpentry </w:t>
      </w:r>
      <w:r w:rsidR="00FC64F7">
        <w:rPr>
          <w:lang w:val="en-US"/>
        </w:rPr>
        <w:t xml:space="preserve">profession. </w:t>
      </w:r>
      <w:r>
        <w:rPr>
          <w:lang w:val="en-US"/>
        </w:rPr>
        <w:t xml:space="preserve">Inclusion in the learning environment in the example is thus based on </w:t>
      </w:r>
      <w:r w:rsidR="002358C7">
        <w:rPr>
          <w:lang w:val="en-US"/>
        </w:rPr>
        <w:t xml:space="preserve">the students’ </w:t>
      </w:r>
      <w:r>
        <w:rPr>
          <w:lang w:val="en-US"/>
        </w:rPr>
        <w:t>ability and willingness to engage in this activity</w:t>
      </w:r>
      <w:r w:rsidR="004E7C38">
        <w:rPr>
          <w:lang w:val="en-US"/>
        </w:rPr>
        <w:t>; something that is not based</w:t>
      </w:r>
      <w:r w:rsidR="002358C7">
        <w:rPr>
          <w:lang w:val="en-US"/>
        </w:rPr>
        <w:t xml:space="preserve"> on social class</w:t>
      </w:r>
      <w:r w:rsidR="004E7C38">
        <w:rPr>
          <w:lang w:val="en-US"/>
        </w:rPr>
        <w:t>,</w:t>
      </w:r>
      <w:r w:rsidR="002358C7">
        <w:rPr>
          <w:lang w:val="en-US"/>
        </w:rPr>
        <w:t xml:space="preserve"> but on the students</w:t>
      </w:r>
      <w:r w:rsidR="00691558">
        <w:rPr>
          <w:lang w:val="en-US"/>
        </w:rPr>
        <w:t>’</w:t>
      </w:r>
      <w:r w:rsidR="002358C7">
        <w:rPr>
          <w:lang w:val="en-US"/>
        </w:rPr>
        <w:t xml:space="preserve"> previous work in the workshop </w:t>
      </w:r>
      <w:r w:rsidR="004E7C38">
        <w:rPr>
          <w:lang w:val="en-US"/>
        </w:rPr>
        <w:t xml:space="preserve">so that it </w:t>
      </w:r>
      <w:r w:rsidR="002358C7">
        <w:rPr>
          <w:lang w:val="en-US"/>
        </w:rPr>
        <w:t xml:space="preserve">is at </w:t>
      </w:r>
      <w:r>
        <w:rPr>
          <w:lang w:val="en-US"/>
        </w:rPr>
        <w:t xml:space="preserve">least somewhat </w:t>
      </w:r>
      <w:r w:rsidR="00FC64F7">
        <w:rPr>
          <w:lang w:val="en-US"/>
        </w:rPr>
        <w:t>accessible to all the students</w:t>
      </w:r>
      <w:r w:rsidR="002358C7">
        <w:rPr>
          <w:lang w:val="en-US"/>
        </w:rPr>
        <w:t xml:space="preserve"> regardless of </w:t>
      </w:r>
      <w:r w:rsidR="004E7C38">
        <w:rPr>
          <w:lang w:val="en-US"/>
        </w:rPr>
        <w:t xml:space="preserve">their </w:t>
      </w:r>
      <w:r w:rsidR="002358C7">
        <w:rPr>
          <w:lang w:val="en-US"/>
        </w:rPr>
        <w:t>background</w:t>
      </w:r>
      <w:r w:rsidR="004E7C38">
        <w:rPr>
          <w:lang w:val="en-US"/>
        </w:rPr>
        <w:t>s</w:t>
      </w:r>
      <w:r w:rsidR="00FC64F7">
        <w:rPr>
          <w:lang w:val="en-US"/>
        </w:rPr>
        <w:t xml:space="preserve">. </w:t>
      </w:r>
      <w:r w:rsidR="001C48C3">
        <w:rPr>
          <w:lang w:val="en-US"/>
        </w:rPr>
        <w:t>From a democratic point of view</w:t>
      </w:r>
      <w:r w:rsidR="004E7C38">
        <w:rPr>
          <w:lang w:val="en-US"/>
        </w:rPr>
        <w:t>,</w:t>
      </w:r>
      <w:r w:rsidR="001C48C3">
        <w:rPr>
          <w:lang w:val="en-US"/>
        </w:rPr>
        <w:t xml:space="preserve"> this type of learning environment supports the notion </w:t>
      </w:r>
      <w:r w:rsidR="004E7C38">
        <w:rPr>
          <w:lang w:val="en-US"/>
        </w:rPr>
        <w:t xml:space="preserve">that all students should have an equal opportunity </w:t>
      </w:r>
      <w:r w:rsidR="001C48C3">
        <w:rPr>
          <w:lang w:val="en-US"/>
        </w:rPr>
        <w:t xml:space="preserve">to participate and be included in learning opportunities. </w:t>
      </w:r>
    </w:p>
    <w:p w14:paraId="47D08FA8" w14:textId="77777777" w:rsidR="001C48C3" w:rsidRDefault="001C48C3" w:rsidP="00FE22AF">
      <w:pPr>
        <w:rPr>
          <w:lang w:val="en-US"/>
        </w:rPr>
      </w:pPr>
    </w:p>
    <w:p w14:paraId="2723F766" w14:textId="77777777" w:rsidR="00F646F1" w:rsidRPr="00FC64F7" w:rsidRDefault="001C48C3" w:rsidP="00FE22AF">
      <w:pPr>
        <w:rPr>
          <w:b/>
          <w:i/>
          <w:lang w:val="en-US"/>
        </w:rPr>
      </w:pPr>
      <w:r>
        <w:rPr>
          <w:lang w:val="en-US"/>
        </w:rPr>
        <w:lastRenderedPageBreak/>
        <w:t xml:space="preserve">Thus, both cases </w:t>
      </w:r>
      <w:r w:rsidR="004E7C38">
        <w:rPr>
          <w:lang w:val="en-US"/>
        </w:rPr>
        <w:t xml:space="preserve">were </w:t>
      </w:r>
      <w:r>
        <w:rPr>
          <w:lang w:val="en-US"/>
        </w:rPr>
        <w:t xml:space="preserve">chosen in order to highlight essential aspects of the IBE approach </w:t>
      </w:r>
      <w:r w:rsidR="00BF4D46">
        <w:rPr>
          <w:lang w:val="en-US"/>
        </w:rPr>
        <w:t xml:space="preserve">where students are seen as knowledge producers and the learning environment is </w:t>
      </w:r>
      <w:r w:rsidR="00A26444">
        <w:rPr>
          <w:lang w:val="en-US"/>
        </w:rPr>
        <w:t xml:space="preserve">inclusive </w:t>
      </w:r>
      <w:r>
        <w:rPr>
          <w:lang w:val="en-US"/>
        </w:rPr>
        <w:t>and support</w:t>
      </w:r>
      <w:r w:rsidR="00BF4D46">
        <w:rPr>
          <w:lang w:val="en-US"/>
        </w:rPr>
        <w:t>s</w:t>
      </w:r>
      <w:r>
        <w:rPr>
          <w:lang w:val="en-US"/>
        </w:rPr>
        <w:t xml:space="preserve"> the </w:t>
      </w:r>
      <w:r w:rsidR="00A26444">
        <w:rPr>
          <w:lang w:val="en-US"/>
        </w:rPr>
        <w:t xml:space="preserve">students’ </w:t>
      </w:r>
      <w:r>
        <w:rPr>
          <w:lang w:val="en-US"/>
        </w:rPr>
        <w:t>democratic</w:t>
      </w:r>
      <w:r w:rsidR="00F662DD">
        <w:rPr>
          <w:lang w:val="en-US"/>
        </w:rPr>
        <w:t xml:space="preserve"> education</w:t>
      </w:r>
      <w:r w:rsidR="00CB0532">
        <w:rPr>
          <w:lang w:val="en-US"/>
        </w:rPr>
        <w:t xml:space="preserve">. We find these elements essential when </w:t>
      </w:r>
      <w:r w:rsidR="00A26444">
        <w:rPr>
          <w:lang w:val="en-US"/>
        </w:rPr>
        <w:t>attempting to fulfil</w:t>
      </w:r>
      <w:r w:rsidR="00CB0532">
        <w:rPr>
          <w:lang w:val="en-US"/>
        </w:rPr>
        <w:t xml:space="preserve"> the goal of equality in education</w:t>
      </w:r>
      <w:r>
        <w:rPr>
          <w:lang w:val="en-US"/>
        </w:rPr>
        <w:t xml:space="preserve">.   </w:t>
      </w:r>
      <w:r w:rsidR="00FC64F7">
        <w:rPr>
          <w:lang w:val="en-US"/>
        </w:rPr>
        <w:t xml:space="preserve"> </w:t>
      </w:r>
    </w:p>
    <w:p w14:paraId="29D6D5F4" w14:textId="77777777" w:rsidR="008839EB" w:rsidRDefault="008839EB" w:rsidP="008839EB">
      <w:pPr>
        <w:pStyle w:val="Overskrift2"/>
        <w:rPr>
          <w:lang w:val="en-US"/>
        </w:rPr>
      </w:pPr>
      <w:r w:rsidRPr="00960E27">
        <w:rPr>
          <w:lang w:val="en-US"/>
        </w:rPr>
        <w:t>Conclusion</w:t>
      </w:r>
    </w:p>
    <w:p w14:paraId="31DAB993" w14:textId="12735618" w:rsidR="00DD1B2E" w:rsidRPr="00DD1B2E" w:rsidRDefault="00941EC3" w:rsidP="00DD1B2E">
      <w:pPr>
        <w:rPr>
          <w:lang w:val="en-US"/>
        </w:rPr>
      </w:pPr>
      <w:r>
        <w:rPr>
          <w:lang w:val="en-US"/>
        </w:rPr>
        <w:t>In this article</w:t>
      </w:r>
      <w:r w:rsidR="00A26444">
        <w:rPr>
          <w:lang w:val="en-US"/>
        </w:rPr>
        <w:t>,</w:t>
      </w:r>
      <w:r>
        <w:rPr>
          <w:lang w:val="en-US"/>
        </w:rPr>
        <w:t xml:space="preserve"> we </w:t>
      </w:r>
      <w:r w:rsidR="00A26444">
        <w:rPr>
          <w:lang w:val="en-US"/>
        </w:rPr>
        <w:t xml:space="preserve">have </w:t>
      </w:r>
      <w:r>
        <w:rPr>
          <w:lang w:val="en-US"/>
        </w:rPr>
        <w:t>explore</w:t>
      </w:r>
      <w:r w:rsidR="00A26444">
        <w:rPr>
          <w:lang w:val="en-US"/>
        </w:rPr>
        <w:t>d</w:t>
      </w:r>
      <w:r>
        <w:rPr>
          <w:lang w:val="en-US"/>
        </w:rPr>
        <w:t xml:space="preserve"> how</w:t>
      </w:r>
      <w:r w:rsidR="00DD1B2E" w:rsidRPr="00DD1B2E">
        <w:rPr>
          <w:lang w:val="en-US"/>
        </w:rPr>
        <w:t xml:space="preserve"> </w:t>
      </w:r>
      <w:r>
        <w:rPr>
          <w:lang w:val="en-US"/>
        </w:rPr>
        <w:t xml:space="preserve">to </w:t>
      </w:r>
      <w:r w:rsidR="00DD1B2E" w:rsidRPr="00DD1B2E">
        <w:rPr>
          <w:lang w:val="en-US"/>
        </w:rPr>
        <w:t xml:space="preserve">improve equality in education so that all young people have the chance </w:t>
      </w:r>
      <w:r w:rsidR="00A26444">
        <w:rPr>
          <w:lang w:val="en-US"/>
        </w:rPr>
        <w:t>to</w:t>
      </w:r>
      <w:r w:rsidR="00DD1B2E" w:rsidRPr="00DD1B2E">
        <w:rPr>
          <w:lang w:val="en-US"/>
        </w:rPr>
        <w:t xml:space="preserve"> becom</w:t>
      </w:r>
      <w:r w:rsidR="00A26444">
        <w:rPr>
          <w:lang w:val="en-US"/>
        </w:rPr>
        <w:t>e</w:t>
      </w:r>
      <w:r w:rsidR="00DD1B2E" w:rsidRPr="00DD1B2E">
        <w:rPr>
          <w:lang w:val="en-US"/>
        </w:rPr>
        <w:t xml:space="preserve"> successful </w:t>
      </w:r>
      <w:r w:rsidR="00A26444">
        <w:rPr>
          <w:lang w:val="en-US"/>
        </w:rPr>
        <w:t>democratic</w:t>
      </w:r>
      <w:r w:rsidR="00F662DD">
        <w:rPr>
          <w:lang w:val="en-US"/>
        </w:rPr>
        <w:t xml:space="preserve"> educated</w:t>
      </w:r>
      <w:r w:rsidR="00A26444">
        <w:rPr>
          <w:lang w:val="en-US"/>
        </w:rPr>
        <w:t xml:space="preserve"> </w:t>
      </w:r>
      <w:r w:rsidR="00DC0119">
        <w:rPr>
          <w:lang w:val="en-US"/>
        </w:rPr>
        <w:t xml:space="preserve">students </w:t>
      </w:r>
      <w:r w:rsidR="00A26444">
        <w:rPr>
          <w:lang w:val="en-US"/>
        </w:rPr>
        <w:t>with</w:t>
      </w:r>
      <w:r w:rsidR="00DD1B2E" w:rsidRPr="00DD1B2E">
        <w:rPr>
          <w:lang w:val="en-US"/>
        </w:rPr>
        <w:t xml:space="preserve"> educational skills that </w:t>
      </w:r>
      <w:r w:rsidR="00A26444">
        <w:rPr>
          <w:lang w:val="en-US"/>
        </w:rPr>
        <w:t xml:space="preserve">enable </w:t>
      </w:r>
      <w:r w:rsidR="00DD1B2E" w:rsidRPr="00DD1B2E">
        <w:rPr>
          <w:lang w:val="en-US"/>
        </w:rPr>
        <w:t>them to be</w:t>
      </w:r>
      <w:r w:rsidR="00A26444">
        <w:rPr>
          <w:lang w:val="en-US"/>
        </w:rPr>
        <w:t>come</w:t>
      </w:r>
      <w:r w:rsidR="00DD1B2E" w:rsidRPr="00DD1B2E">
        <w:rPr>
          <w:lang w:val="en-US"/>
        </w:rPr>
        <w:t xml:space="preserve"> flexible</w:t>
      </w:r>
      <w:r w:rsidR="00A26444">
        <w:rPr>
          <w:lang w:val="en-US"/>
        </w:rPr>
        <w:t>,</w:t>
      </w:r>
      <w:r w:rsidR="00DD1B2E" w:rsidRPr="00DD1B2E">
        <w:rPr>
          <w:lang w:val="en-US"/>
        </w:rPr>
        <w:t xml:space="preserve"> contributive </w:t>
      </w:r>
      <w:r>
        <w:rPr>
          <w:lang w:val="en-US"/>
        </w:rPr>
        <w:t xml:space="preserve">workers and </w:t>
      </w:r>
      <w:r w:rsidR="00DD1B2E" w:rsidRPr="00DD1B2E">
        <w:rPr>
          <w:lang w:val="en-US"/>
        </w:rPr>
        <w:t>e</w:t>
      </w:r>
      <w:r>
        <w:rPr>
          <w:lang w:val="en-US"/>
        </w:rPr>
        <w:t>mployers</w:t>
      </w:r>
      <w:r w:rsidR="00DD1B2E" w:rsidRPr="00DD1B2E">
        <w:rPr>
          <w:lang w:val="en-US"/>
        </w:rPr>
        <w:t xml:space="preserve"> in </w:t>
      </w:r>
      <w:r>
        <w:rPr>
          <w:lang w:val="en-US"/>
        </w:rPr>
        <w:t>the globalized world</w:t>
      </w:r>
      <w:r w:rsidR="00DD1B2E" w:rsidRPr="00DD1B2E">
        <w:rPr>
          <w:lang w:val="en-US"/>
        </w:rPr>
        <w:t xml:space="preserve">. We have explored </w:t>
      </w:r>
      <w:r w:rsidR="00DD1B2E" w:rsidRPr="00DD1B2E">
        <w:rPr>
          <w:lang w:val="en-GB"/>
        </w:rPr>
        <w:t xml:space="preserve">Inquiry Based Education </w:t>
      </w:r>
      <w:r w:rsidR="00CB0532">
        <w:rPr>
          <w:lang w:val="en-GB"/>
        </w:rPr>
        <w:t xml:space="preserve">(IBE) </w:t>
      </w:r>
      <w:r w:rsidR="00DD1B2E" w:rsidRPr="00DD1B2E">
        <w:rPr>
          <w:lang w:val="en-US"/>
        </w:rPr>
        <w:t xml:space="preserve">as a theoretical and empirical </w:t>
      </w:r>
      <w:r w:rsidR="00465BC1">
        <w:rPr>
          <w:lang w:val="en-US"/>
        </w:rPr>
        <w:t xml:space="preserve">approach to </w:t>
      </w:r>
      <w:r w:rsidR="00F662DD">
        <w:rPr>
          <w:lang w:val="en-US"/>
        </w:rPr>
        <w:t xml:space="preserve">understanding how to create </w:t>
      </w:r>
      <w:r w:rsidR="00465BC1">
        <w:rPr>
          <w:lang w:val="en-US"/>
        </w:rPr>
        <w:t>such inclusive learning environments.</w:t>
      </w:r>
      <w:r w:rsidR="00DD1B2E" w:rsidRPr="00DD1B2E">
        <w:rPr>
          <w:lang w:val="en-US"/>
        </w:rPr>
        <w:t xml:space="preserve"> In a student perspective</w:t>
      </w:r>
      <w:r w:rsidR="00A26444">
        <w:rPr>
          <w:lang w:val="en-US"/>
        </w:rPr>
        <w:t>,</w:t>
      </w:r>
      <w:r w:rsidR="00DD1B2E" w:rsidRPr="00DD1B2E">
        <w:rPr>
          <w:lang w:val="en-US"/>
        </w:rPr>
        <w:t xml:space="preserve"> IBE is linked to the</w:t>
      </w:r>
      <w:r w:rsidR="00DD1B2E" w:rsidRPr="00DD1B2E">
        <w:rPr>
          <w:lang w:val="en-GB"/>
        </w:rPr>
        <w:t xml:space="preserve"> understanding of learning as taking place when participating in activities that </w:t>
      </w:r>
      <w:r w:rsidR="00A26444">
        <w:rPr>
          <w:lang w:val="en-GB"/>
        </w:rPr>
        <w:t>facilitate</w:t>
      </w:r>
      <w:r w:rsidR="00DD1B2E" w:rsidRPr="00DD1B2E">
        <w:rPr>
          <w:lang w:val="en-GB"/>
        </w:rPr>
        <w:t xml:space="preserve"> ‘learning by doing’</w:t>
      </w:r>
      <w:r w:rsidR="00DD1B2E" w:rsidRPr="00DD1B2E">
        <w:rPr>
          <w:lang w:val="en-US"/>
        </w:rPr>
        <w:t xml:space="preserve"> and to the view that learning is not a matter of what we know, but what we are able to do with knowledge in different contexts. </w:t>
      </w:r>
      <w:r w:rsidR="00AD1CFC">
        <w:rPr>
          <w:lang w:val="en-US"/>
        </w:rPr>
        <w:t xml:space="preserve">Thus, </w:t>
      </w:r>
      <w:r w:rsidR="00A26444">
        <w:rPr>
          <w:lang w:val="en-US"/>
        </w:rPr>
        <w:t xml:space="preserve">in IBE </w:t>
      </w:r>
      <w:r w:rsidR="00AD1CFC">
        <w:rPr>
          <w:lang w:val="en-US"/>
        </w:rPr>
        <w:t xml:space="preserve">it is </w:t>
      </w:r>
      <w:r w:rsidR="00DD1B2E" w:rsidRPr="00FC4D59">
        <w:rPr>
          <w:lang w:val="en-US"/>
        </w:rPr>
        <w:t>essential that the students are invited to participate meaningfully in the</w:t>
      </w:r>
      <w:r w:rsidR="00DD1B2E" w:rsidRPr="00DD1B2E">
        <w:rPr>
          <w:lang w:val="en-US"/>
        </w:rPr>
        <w:t xml:space="preserve"> activities as knowledge developers</w:t>
      </w:r>
      <w:r w:rsidR="00A26444">
        <w:rPr>
          <w:lang w:val="en-US"/>
        </w:rPr>
        <w:t>,</w:t>
      </w:r>
      <w:r w:rsidR="00DD1B2E" w:rsidRPr="00DD1B2E">
        <w:rPr>
          <w:lang w:val="en-US"/>
        </w:rPr>
        <w:t xml:space="preserve"> rather than being pacified as knowledge receivers.</w:t>
      </w:r>
    </w:p>
    <w:p w14:paraId="2F0DFE44" w14:textId="77777777" w:rsidR="00DD1B2E" w:rsidRPr="00DD1B2E" w:rsidRDefault="00DD1B2E" w:rsidP="00DD1B2E">
      <w:pPr>
        <w:rPr>
          <w:lang w:val="en-US"/>
        </w:rPr>
      </w:pPr>
    </w:p>
    <w:p w14:paraId="46E04394" w14:textId="771689EE" w:rsidR="00DD1B2E" w:rsidRDefault="00665D26" w:rsidP="00DD1B2E">
      <w:pPr>
        <w:rPr>
          <w:lang w:val="en-US"/>
        </w:rPr>
      </w:pPr>
      <w:r>
        <w:rPr>
          <w:lang w:val="en-US"/>
        </w:rPr>
        <w:t>Based on the analysis in the examples</w:t>
      </w:r>
      <w:r w:rsidR="00A26444">
        <w:rPr>
          <w:lang w:val="en-US"/>
        </w:rPr>
        <w:t>,</w:t>
      </w:r>
      <w:r w:rsidR="00AD1CFC">
        <w:rPr>
          <w:lang w:val="en-US"/>
        </w:rPr>
        <w:t xml:space="preserve"> it can be concluded that in some ways IBE </w:t>
      </w:r>
      <w:r w:rsidR="00A26444">
        <w:rPr>
          <w:lang w:val="en-US"/>
        </w:rPr>
        <w:t xml:space="preserve">does </w:t>
      </w:r>
      <w:r w:rsidR="00AD1CFC">
        <w:rPr>
          <w:lang w:val="en-US"/>
        </w:rPr>
        <w:t xml:space="preserve">in fact offer a learning approach that </w:t>
      </w:r>
      <w:r>
        <w:rPr>
          <w:lang w:val="en-US"/>
        </w:rPr>
        <w:t>contribute</w:t>
      </w:r>
      <w:r w:rsidR="00A26444">
        <w:rPr>
          <w:lang w:val="en-US"/>
        </w:rPr>
        <w:t>s</w:t>
      </w:r>
      <w:r>
        <w:rPr>
          <w:lang w:val="en-US"/>
        </w:rPr>
        <w:t xml:space="preserve"> to </w:t>
      </w:r>
      <w:r w:rsidR="00A26444">
        <w:rPr>
          <w:lang w:val="en-US"/>
        </w:rPr>
        <w:t xml:space="preserve">greater </w:t>
      </w:r>
      <w:r>
        <w:rPr>
          <w:lang w:val="en-US"/>
        </w:rPr>
        <w:t>inclusion and</w:t>
      </w:r>
      <w:r w:rsidR="00DD1B2E" w:rsidRPr="00DD1B2E">
        <w:rPr>
          <w:lang w:val="en-US"/>
        </w:rPr>
        <w:t xml:space="preserve"> equality in education</w:t>
      </w:r>
      <w:r>
        <w:rPr>
          <w:lang w:val="en-US"/>
        </w:rPr>
        <w:t xml:space="preserve">. However, </w:t>
      </w:r>
      <w:r w:rsidR="00DD1B2E" w:rsidRPr="00DD1B2E">
        <w:rPr>
          <w:lang w:val="en-US"/>
        </w:rPr>
        <w:t xml:space="preserve">there are still questions </w:t>
      </w:r>
      <w:r w:rsidR="00A26444">
        <w:rPr>
          <w:lang w:val="en-US"/>
        </w:rPr>
        <w:t xml:space="preserve">that need </w:t>
      </w:r>
      <w:r w:rsidR="00DD1B2E" w:rsidRPr="00DD1B2E">
        <w:rPr>
          <w:lang w:val="en-US"/>
        </w:rPr>
        <w:t xml:space="preserve">to be asked. </w:t>
      </w:r>
      <w:r>
        <w:rPr>
          <w:lang w:val="en-US"/>
        </w:rPr>
        <w:t xml:space="preserve">It </w:t>
      </w:r>
      <w:r w:rsidR="00A26444">
        <w:rPr>
          <w:lang w:val="en-US"/>
        </w:rPr>
        <w:t xml:space="preserve">may </w:t>
      </w:r>
      <w:r>
        <w:rPr>
          <w:lang w:val="en-US"/>
        </w:rPr>
        <w:t xml:space="preserve">be argued </w:t>
      </w:r>
      <w:r w:rsidR="00DD1B2E" w:rsidRPr="00DD1B2E">
        <w:rPr>
          <w:lang w:val="en-US"/>
        </w:rPr>
        <w:t xml:space="preserve">that </w:t>
      </w:r>
      <w:r w:rsidR="00A26444">
        <w:rPr>
          <w:lang w:val="en-US"/>
        </w:rPr>
        <w:t>IBE</w:t>
      </w:r>
      <w:r w:rsidR="00A26444" w:rsidRPr="00DD1B2E">
        <w:rPr>
          <w:lang w:val="en-US"/>
        </w:rPr>
        <w:t xml:space="preserve"> </w:t>
      </w:r>
      <w:r w:rsidR="00DD1B2E" w:rsidRPr="00DD1B2E">
        <w:rPr>
          <w:lang w:val="en-US"/>
        </w:rPr>
        <w:t>is ‘just another’ pedagogical method that favors middle</w:t>
      </w:r>
      <w:r w:rsidR="00A26444">
        <w:rPr>
          <w:lang w:val="en-US"/>
        </w:rPr>
        <w:t>-</w:t>
      </w:r>
      <w:r w:rsidR="00DD1B2E" w:rsidRPr="00DD1B2E">
        <w:rPr>
          <w:lang w:val="en-US"/>
        </w:rPr>
        <w:t>class norms and culture</w:t>
      </w:r>
      <w:r>
        <w:rPr>
          <w:lang w:val="en-US"/>
        </w:rPr>
        <w:t>.</w:t>
      </w:r>
      <w:r w:rsidR="00DD1B2E" w:rsidRPr="00DD1B2E">
        <w:rPr>
          <w:lang w:val="en-US"/>
        </w:rPr>
        <w:t xml:space="preserve"> </w:t>
      </w:r>
      <w:r w:rsidR="00A26444">
        <w:rPr>
          <w:lang w:val="en-US"/>
        </w:rPr>
        <w:t xml:space="preserve">Seen through the </w:t>
      </w:r>
      <w:r w:rsidR="00A26444" w:rsidRPr="00A26444">
        <w:rPr>
          <w:lang w:val="en-US"/>
        </w:rPr>
        <w:t>lens</w:t>
      </w:r>
      <w:r w:rsidR="00A26444">
        <w:rPr>
          <w:lang w:val="en-US"/>
        </w:rPr>
        <w:t xml:space="preserve"> of</w:t>
      </w:r>
      <w:r w:rsidR="00941EC3">
        <w:rPr>
          <w:lang w:val="en-US"/>
        </w:rPr>
        <w:t xml:space="preserve"> Bernstein’s theory of classification and framing</w:t>
      </w:r>
      <w:r w:rsidR="00A26444">
        <w:rPr>
          <w:lang w:val="en-US"/>
        </w:rPr>
        <w:t>,</w:t>
      </w:r>
      <w:r w:rsidR="00941EC3">
        <w:rPr>
          <w:lang w:val="en-US"/>
        </w:rPr>
        <w:t xml:space="preserve"> IBE allow</w:t>
      </w:r>
      <w:r w:rsidR="00A26444">
        <w:rPr>
          <w:lang w:val="en-US"/>
        </w:rPr>
        <w:t>s</w:t>
      </w:r>
      <w:r w:rsidR="00941EC3">
        <w:rPr>
          <w:lang w:val="en-US"/>
        </w:rPr>
        <w:t xml:space="preserve"> the students to be innovative and participate on many levels i</w:t>
      </w:r>
      <w:r w:rsidR="00BA6668">
        <w:rPr>
          <w:lang w:val="en-US"/>
        </w:rPr>
        <w:t>n the educational setting, but</w:t>
      </w:r>
      <w:r w:rsidR="00941EC3">
        <w:rPr>
          <w:lang w:val="en-US"/>
        </w:rPr>
        <w:t xml:space="preserve"> the students </w:t>
      </w:r>
      <w:r w:rsidR="00A26444">
        <w:rPr>
          <w:lang w:val="en-US"/>
        </w:rPr>
        <w:t xml:space="preserve">may </w:t>
      </w:r>
      <w:r w:rsidR="00BA6668">
        <w:rPr>
          <w:lang w:val="en-US"/>
        </w:rPr>
        <w:t>be</w:t>
      </w:r>
      <w:r w:rsidR="00941EC3">
        <w:rPr>
          <w:lang w:val="en-US"/>
        </w:rPr>
        <w:t xml:space="preserve"> measured </w:t>
      </w:r>
      <w:r w:rsidR="00A26444">
        <w:rPr>
          <w:lang w:val="en-US"/>
        </w:rPr>
        <w:t xml:space="preserve">against </w:t>
      </w:r>
      <w:r w:rsidR="00941EC3">
        <w:rPr>
          <w:lang w:val="en-US"/>
        </w:rPr>
        <w:t xml:space="preserve">standards that they are </w:t>
      </w:r>
      <w:r w:rsidR="00A26444">
        <w:rPr>
          <w:lang w:val="en-US"/>
        </w:rPr>
        <w:t>un</w:t>
      </w:r>
      <w:r w:rsidR="00941EC3">
        <w:rPr>
          <w:lang w:val="en-US"/>
        </w:rPr>
        <w:t xml:space="preserve">aware of. </w:t>
      </w:r>
      <w:r w:rsidR="00BA6668">
        <w:rPr>
          <w:lang w:val="en-US"/>
        </w:rPr>
        <w:t xml:space="preserve">When the teacher </w:t>
      </w:r>
      <w:r w:rsidR="00941EC3">
        <w:rPr>
          <w:lang w:val="en-US"/>
        </w:rPr>
        <w:t>facili</w:t>
      </w:r>
      <w:r w:rsidR="00BA6668">
        <w:rPr>
          <w:lang w:val="en-US"/>
        </w:rPr>
        <w:t xml:space="preserve">tates </w:t>
      </w:r>
      <w:r w:rsidR="00941EC3">
        <w:rPr>
          <w:lang w:val="en-US"/>
        </w:rPr>
        <w:t>a discussion</w:t>
      </w:r>
      <w:r w:rsidR="00BA6668">
        <w:rPr>
          <w:lang w:val="en-US"/>
        </w:rPr>
        <w:t xml:space="preserve"> and</w:t>
      </w:r>
      <w:r w:rsidR="00941EC3">
        <w:rPr>
          <w:lang w:val="en-US"/>
        </w:rPr>
        <w:t xml:space="preserve"> </w:t>
      </w:r>
      <w:r w:rsidR="00A26444">
        <w:rPr>
          <w:lang w:val="en-US"/>
        </w:rPr>
        <w:t xml:space="preserve">chooses </w:t>
      </w:r>
      <w:r w:rsidR="00941EC3">
        <w:rPr>
          <w:lang w:val="en-US"/>
        </w:rPr>
        <w:t xml:space="preserve">to </w:t>
      </w:r>
      <w:r w:rsidR="00A26444">
        <w:rPr>
          <w:lang w:val="en-US"/>
        </w:rPr>
        <w:t xml:space="preserve">encourage </w:t>
      </w:r>
      <w:r w:rsidR="00941EC3">
        <w:rPr>
          <w:lang w:val="en-US"/>
        </w:rPr>
        <w:t xml:space="preserve">one argument instead of another, it </w:t>
      </w:r>
      <w:r w:rsidR="00A26444">
        <w:rPr>
          <w:lang w:val="en-US"/>
        </w:rPr>
        <w:t xml:space="preserve">may be due to </w:t>
      </w:r>
      <w:r w:rsidR="00941EC3">
        <w:rPr>
          <w:lang w:val="en-US"/>
        </w:rPr>
        <w:t>the student</w:t>
      </w:r>
      <w:r w:rsidR="00A26444">
        <w:rPr>
          <w:lang w:val="en-US"/>
        </w:rPr>
        <w:t>’</w:t>
      </w:r>
      <w:r w:rsidR="00BA6668">
        <w:rPr>
          <w:lang w:val="en-US"/>
        </w:rPr>
        <w:t>s ability to</w:t>
      </w:r>
      <w:r w:rsidR="00941EC3">
        <w:rPr>
          <w:lang w:val="en-US"/>
        </w:rPr>
        <w:t xml:space="preserve"> address a certain problem</w:t>
      </w:r>
      <w:r w:rsidR="00BA6668">
        <w:rPr>
          <w:lang w:val="en-US"/>
        </w:rPr>
        <w:t xml:space="preserve"> in a certain way</w:t>
      </w:r>
      <w:r w:rsidR="00941EC3">
        <w:rPr>
          <w:lang w:val="en-US"/>
        </w:rPr>
        <w:t xml:space="preserve">. Here the student’s prior knowledge and </w:t>
      </w:r>
      <w:r w:rsidR="00A26444">
        <w:rPr>
          <w:lang w:val="en-US"/>
        </w:rPr>
        <w:t>skill in expressing himself</w:t>
      </w:r>
      <w:r w:rsidR="00941EC3">
        <w:rPr>
          <w:lang w:val="en-US"/>
        </w:rPr>
        <w:t xml:space="preserve"> in ways that catch the teacher’s attention is important. Students with a middle</w:t>
      </w:r>
      <w:r w:rsidR="00A26444">
        <w:rPr>
          <w:lang w:val="en-US"/>
        </w:rPr>
        <w:t>-</w:t>
      </w:r>
      <w:r w:rsidR="00941EC3">
        <w:rPr>
          <w:lang w:val="en-US"/>
        </w:rPr>
        <w:t xml:space="preserve">class background </w:t>
      </w:r>
      <w:r w:rsidR="00A26444">
        <w:rPr>
          <w:lang w:val="en-US"/>
        </w:rPr>
        <w:t xml:space="preserve">may </w:t>
      </w:r>
      <w:r w:rsidR="00941EC3">
        <w:rPr>
          <w:lang w:val="en-US"/>
        </w:rPr>
        <w:t xml:space="preserve">have an advantage </w:t>
      </w:r>
      <w:r w:rsidR="00A26444">
        <w:rPr>
          <w:lang w:val="en-US"/>
        </w:rPr>
        <w:t xml:space="preserve">when it comes to </w:t>
      </w:r>
      <w:r w:rsidR="00941EC3">
        <w:rPr>
          <w:lang w:val="en-US"/>
        </w:rPr>
        <w:t xml:space="preserve">using language and phrases that are appropriate in the school context </w:t>
      </w:r>
      <w:r w:rsidR="00A26444">
        <w:rPr>
          <w:lang w:val="en-US"/>
        </w:rPr>
        <w:t>which may make them</w:t>
      </w:r>
      <w:r w:rsidR="00941EC3">
        <w:rPr>
          <w:lang w:val="en-US"/>
        </w:rPr>
        <w:t xml:space="preserve"> feel more comfortab</w:t>
      </w:r>
      <w:r w:rsidR="00BA6668">
        <w:rPr>
          <w:lang w:val="en-US"/>
        </w:rPr>
        <w:t xml:space="preserve">le in </w:t>
      </w:r>
      <w:r w:rsidR="00A26444">
        <w:rPr>
          <w:lang w:val="en-US"/>
        </w:rPr>
        <w:t>a</w:t>
      </w:r>
      <w:r w:rsidR="00126832">
        <w:rPr>
          <w:lang w:val="en-US"/>
        </w:rPr>
        <w:t>n</w:t>
      </w:r>
      <w:r w:rsidR="00A26444">
        <w:rPr>
          <w:lang w:val="en-US"/>
        </w:rPr>
        <w:t xml:space="preserve"> </w:t>
      </w:r>
      <w:r w:rsidR="00BA6668">
        <w:rPr>
          <w:lang w:val="en-US"/>
        </w:rPr>
        <w:t xml:space="preserve">IBE classroom setting. </w:t>
      </w:r>
      <w:r>
        <w:rPr>
          <w:lang w:val="en-US"/>
        </w:rPr>
        <w:t>However, it is argued here</w:t>
      </w:r>
      <w:r w:rsidR="00DD1B2E" w:rsidRPr="00DD1B2E">
        <w:rPr>
          <w:lang w:val="en-US"/>
        </w:rPr>
        <w:t xml:space="preserve"> that working explicit</w:t>
      </w:r>
      <w:r w:rsidR="00A26444">
        <w:rPr>
          <w:lang w:val="en-US"/>
        </w:rPr>
        <w:t>ly</w:t>
      </w:r>
      <w:r w:rsidR="00DD1B2E" w:rsidRPr="00DD1B2E">
        <w:rPr>
          <w:lang w:val="en-US"/>
        </w:rPr>
        <w:t xml:space="preserve"> with IBE </w:t>
      </w:r>
      <w:r w:rsidR="00AD1CFC">
        <w:rPr>
          <w:lang w:val="en-US"/>
        </w:rPr>
        <w:t xml:space="preserve">and </w:t>
      </w:r>
      <w:r w:rsidR="00CB0532">
        <w:rPr>
          <w:lang w:val="en-US"/>
        </w:rPr>
        <w:t xml:space="preserve">the design of </w:t>
      </w:r>
      <w:r w:rsidR="00A26444">
        <w:rPr>
          <w:lang w:val="en-US"/>
        </w:rPr>
        <w:t xml:space="preserve">inclusive </w:t>
      </w:r>
      <w:r w:rsidR="00CB0532">
        <w:rPr>
          <w:lang w:val="en-US"/>
        </w:rPr>
        <w:t>learning environments where</w:t>
      </w:r>
      <w:r w:rsidR="00AD1CFC">
        <w:rPr>
          <w:lang w:val="en-US"/>
        </w:rPr>
        <w:t xml:space="preserve"> invisible criteria </w:t>
      </w:r>
      <w:r w:rsidR="00CB0532">
        <w:rPr>
          <w:lang w:val="en-US"/>
        </w:rPr>
        <w:t xml:space="preserve">are </w:t>
      </w:r>
      <w:r w:rsidR="00CD13DA">
        <w:rPr>
          <w:lang w:val="en-US"/>
        </w:rPr>
        <w:t xml:space="preserve">made </w:t>
      </w:r>
      <w:r w:rsidR="00AD1CFC">
        <w:rPr>
          <w:lang w:val="en-US"/>
        </w:rPr>
        <w:t xml:space="preserve">visible to the students </w:t>
      </w:r>
      <w:r w:rsidR="00A26444">
        <w:rPr>
          <w:lang w:val="en-US"/>
        </w:rPr>
        <w:t xml:space="preserve">may </w:t>
      </w:r>
      <w:r w:rsidR="00A26444">
        <w:rPr>
          <w:lang w:val="en-US"/>
        </w:rPr>
        <w:lastRenderedPageBreak/>
        <w:t xml:space="preserve">provide all students with </w:t>
      </w:r>
      <w:r w:rsidR="006429DC">
        <w:rPr>
          <w:lang w:val="en-US"/>
        </w:rPr>
        <w:t>better</w:t>
      </w:r>
      <w:r w:rsidR="00EF7A82">
        <w:rPr>
          <w:lang w:val="en-US"/>
        </w:rPr>
        <w:t xml:space="preserve"> </w:t>
      </w:r>
      <w:r w:rsidR="00A26444">
        <w:rPr>
          <w:lang w:val="en-US"/>
        </w:rPr>
        <w:t>opportunity</w:t>
      </w:r>
      <w:r w:rsidR="00DD1B2E" w:rsidRPr="00DD1B2E">
        <w:rPr>
          <w:lang w:val="en-US"/>
        </w:rPr>
        <w:t xml:space="preserve"> to</w:t>
      </w:r>
      <w:r w:rsidR="00465BC1">
        <w:rPr>
          <w:lang w:val="en-US"/>
        </w:rPr>
        <w:t xml:space="preserve"> participate and </w:t>
      </w:r>
      <w:r w:rsidR="00DD1B2E" w:rsidRPr="00DD1B2E">
        <w:rPr>
          <w:lang w:val="en-US"/>
        </w:rPr>
        <w:t xml:space="preserve">contribute with </w:t>
      </w:r>
      <w:r w:rsidR="00465BC1">
        <w:rPr>
          <w:lang w:val="en-US"/>
        </w:rPr>
        <w:t xml:space="preserve">their </w:t>
      </w:r>
      <w:r w:rsidR="00DD1B2E" w:rsidRPr="00DD1B2E">
        <w:rPr>
          <w:lang w:val="en-US"/>
        </w:rPr>
        <w:t>different experiences and knowledge</w:t>
      </w:r>
      <w:r w:rsidR="00BA6668">
        <w:rPr>
          <w:lang w:val="en-US"/>
        </w:rPr>
        <w:t xml:space="preserve"> </w:t>
      </w:r>
      <w:r>
        <w:rPr>
          <w:lang w:val="en-US"/>
        </w:rPr>
        <w:t>based on their concrete school work</w:t>
      </w:r>
      <w:r w:rsidR="00A26444">
        <w:rPr>
          <w:lang w:val="en-US"/>
        </w:rPr>
        <w:t>,</w:t>
      </w:r>
      <w:r>
        <w:rPr>
          <w:lang w:val="en-US"/>
        </w:rPr>
        <w:t xml:space="preserve"> regardless of social class and norms</w:t>
      </w:r>
      <w:r w:rsidR="00877299">
        <w:rPr>
          <w:lang w:val="en-US"/>
        </w:rPr>
        <w:t>. Therefore, we suggest that</w:t>
      </w:r>
      <w:r w:rsidR="00BA6668">
        <w:rPr>
          <w:lang w:val="en-US"/>
        </w:rPr>
        <w:t xml:space="preserve"> middle</w:t>
      </w:r>
      <w:r w:rsidR="00877299">
        <w:rPr>
          <w:lang w:val="en-US"/>
        </w:rPr>
        <w:t>-</w:t>
      </w:r>
      <w:r w:rsidR="00BA6668">
        <w:rPr>
          <w:lang w:val="en-US"/>
        </w:rPr>
        <w:t xml:space="preserve">class students are not </w:t>
      </w:r>
      <w:r w:rsidRPr="00665D26">
        <w:rPr>
          <w:lang w:val="en-US"/>
        </w:rPr>
        <w:t>particularly</w:t>
      </w:r>
      <w:r>
        <w:rPr>
          <w:lang w:val="en-US"/>
        </w:rPr>
        <w:t xml:space="preserve"> favored in such </w:t>
      </w:r>
      <w:r w:rsidR="00877299">
        <w:rPr>
          <w:lang w:val="en-US"/>
        </w:rPr>
        <w:t>IBE-</w:t>
      </w:r>
      <w:r w:rsidR="002423F8">
        <w:rPr>
          <w:lang w:val="en-US"/>
        </w:rPr>
        <w:t xml:space="preserve">inspired </w:t>
      </w:r>
      <w:r>
        <w:rPr>
          <w:lang w:val="en-US"/>
        </w:rPr>
        <w:t>learning environments</w:t>
      </w:r>
      <w:r w:rsidR="00BA6668">
        <w:rPr>
          <w:lang w:val="en-US"/>
        </w:rPr>
        <w:t>.</w:t>
      </w:r>
      <w:r w:rsidR="00DD1B2E">
        <w:rPr>
          <w:lang w:val="en-US"/>
        </w:rPr>
        <w:t xml:space="preserve"> </w:t>
      </w:r>
    </w:p>
    <w:p w14:paraId="248D6C8B" w14:textId="77777777" w:rsidR="004277D1" w:rsidRPr="00DC3B3E" w:rsidRDefault="004277D1" w:rsidP="004277D1">
      <w:pPr>
        <w:pStyle w:val="Overskrift2"/>
      </w:pPr>
      <w:r w:rsidRPr="00DC3B3E">
        <w:t>References</w:t>
      </w:r>
    </w:p>
    <w:p w14:paraId="6089D9ED" w14:textId="63A0165F" w:rsidR="004277D1" w:rsidRPr="005673E4" w:rsidRDefault="004277D1" w:rsidP="00EB6309">
      <w:pPr>
        <w:pStyle w:val="NormalWeb"/>
        <w:spacing w:before="0" w:beforeAutospacing="0" w:after="120" w:afterAutospacing="0"/>
        <w:rPr>
          <w:rFonts w:asciiTheme="minorHAnsi" w:hAnsiTheme="minorHAnsi"/>
          <w:lang w:val="en-US"/>
        </w:rPr>
      </w:pPr>
      <w:r w:rsidRPr="00224E98">
        <w:rPr>
          <w:rFonts w:asciiTheme="minorHAnsi" w:hAnsiTheme="minorHAnsi"/>
          <w:iCs/>
        </w:rPr>
        <w:t xml:space="preserve">Aarkrog, V. (2007) </w:t>
      </w:r>
      <w:r w:rsidRPr="00224E98">
        <w:rPr>
          <w:rFonts w:asciiTheme="minorHAnsi" w:hAnsiTheme="minorHAnsi"/>
          <w:i/>
          <w:iCs/>
        </w:rPr>
        <w:t>Hvis det skal gi' mening</w:t>
      </w:r>
      <w:proofErr w:type="gramStart"/>
      <w:r w:rsidRPr="00224E98">
        <w:rPr>
          <w:rFonts w:asciiTheme="minorHAnsi" w:hAnsiTheme="minorHAnsi"/>
          <w:i/>
          <w:iCs/>
        </w:rPr>
        <w:t>…Elevernes</w:t>
      </w:r>
      <w:proofErr w:type="gramEnd"/>
      <w:r w:rsidRPr="00224E98">
        <w:rPr>
          <w:rFonts w:asciiTheme="minorHAnsi" w:hAnsiTheme="minorHAnsi"/>
          <w:i/>
          <w:iCs/>
        </w:rPr>
        <w:t xml:space="preserve"> udbytte af praksisrelateret undervisning i erhvervsuddannelserne” .</w:t>
      </w:r>
      <w:r w:rsidRPr="00224E98">
        <w:rPr>
          <w:rFonts w:asciiTheme="minorHAnsi" w:hAnsiTheme="minorHAnsi"/>
          <w:iCs/>
        </w:rPr>
        <w:t xml:space="preserve">Undervisningsministeriets temahæfteserie nr. 4. </w:t>
      </w:r>
      <w:r w:rsidRPr="00EF7A82">
        <w:rPr>
          <w:rFonts w:asciiTheme="minorHAnsi" w:hAnsiTheme="minorHAnsi"/>
          <w:i/>
          <w:iCs/>
        </w:rPr>
        <w:t xml:space="preserve"> </w:t>
      </w:r>
      <w:r w:rsidR="00EF7A82" w:rsidRPr="005673E4">
        <w:rPr>
          <w:rFonts w:asciiTheme="minorHAnsi" w:hAnsiTheme="minorHAnsi"/>
          <w:i/>
          <w:iCs/>
          <w:lang w:val="en-US"/>
        </w:rPr>
        <w:t>Online 1-12-2015:</w:t>
      </w:r>
      <w:r w:rsidRPr="005673E4">
        <w:rPr>
          <w:rFonts w:asciiTheme="minorHAnsi" w:hAnsiTheme="minorHAnsi"/>
          <w:lang w:val="en-US"/>
        </w:rPr>
        <w:t xml:space="preserve"> </w:t>
      </w:r>
      <w:r w:rsidRPr="005673E4">
        <w:rPr>
          <w:rFonts w:asciiTheme="minorHAnsi" w:eastAsiaTheme="majorEastAsia" w:hAnsiTheme="minorHAnsi"/>
          <w:lang w:val="en-US"/>
        </w:rPr>
        <w:t>http://pub.uvm.dk/2007/mening/</w:t>
      </w:r>
    </w:p>
    <w:p w14:paraId="237A333D" w14:textId="77777777" w:rsidR="004277D1" w:rsidRPr="00224E98" w:rsidRDefault="004277D1" w:rsidP="00EB6309">
      <w:pPr>
        <w:pStyle w:val="NormalWeb"/>
        <w:spacing w:before="0" w:beforeAutospacing="0" w:after="120" w:afterAutospacing="0"/>
        <w:ind w:hanging="22"/>
        <w:rPr>
          <w:rFonts w:asciiTheme="minorHAnsi" w:hAnsiTheme="minorHAnsi"/>
          <w:lang w:val="en-US"/>
        </w:rPr>
      </w:pPr>
      <w:proofErr w:type="gramStart"/>
      <w:r w:rsidRPr="00224E98">
        <w:rPr>
          <w:rFonts w:asciiTheme="minorHAnsi" w:hAnsiTheme="minorHAnsi"/>
          <w:lang w:val="en-US"/>
        </w:rPr>
        <w:t xml:space="preserve">Artigue, M., &amp; Blomhøj, M. (2013) Conceptualizing </w:t>
      </w:r>
      <w:proofErr w:type="spellStart"/>
      <w:r w:rsidRPr="00224E98">
        <w:rPr>
          <w:rFonts w:asciiTheme="minorHAnsi" w:hAnsiTheme="minorHAnsi"/>
          <w:lang w:val="en-US"/>
        </w:rPr>
        <w:t>inquiry-based</w:t>
      </w:r>
      <w:proofErr w:type="spellEnd"/>
      <w:r w:rsidRPr="00224E98">
        <w:rPr>
          <w:rFonts w:asciiTheme="minorHAnsi" w:hAnsiTheme="minorHAnsi"/>
          <w:lang w:val="en-US"/>
        </w:rPr>
        <w:t xml:space="preserve"> education in mathematics,</w:t>
      </w:r>
      <w:r w:rsidRPr="00224E98">
        <w:rPr>
          <w:rFonts w:asciiTheme="minorHAnsi" w:hAnsiTheme="minorHAnsi"/>
          <w:i/>
          <w:iCs/>
          <w:lang w:val="en-US"/>
        </w:rPr>
        <w:t xml:space="preserve"> Zdm, </w:t>
      </w:r>
      <w:r w:rsidRPr="00224E98">
        <w:rPr>
          <w:rFonts w:asciiTheme="minorHAnsi" w:hAnsiTheme="minorHAnsi"/>
          <w:lang w:val="en-US"/>
        </w:rPr>
        <w:t>45(6), 797-810.</w:t>
      </w:r>
      <w:proofErr w:type="gramEnd"/>
      <w:r w:rsidRPr="00224E98">
        <w:rPr>
          <w:rFonts w:asciiTheme="minorHAnsi" w:hAnsiTheme="minorHAnsi"/>
          <w:lang w:val="en-US"/>
        </w:rPr>
        <w:t xml:space="preserve"> </w:t>
      </w:r>
    </w:p>
    <w:p w14:paraId="220C7258" w14:textId="77777777" w:rsidR="004277D1" w:rsidRPr="00224E98" w:rsidRDefault="004277D1" w:rsidP="00EB6309">
      <w:pPr>
        <w:pStyle w:val="NormalWeb"/>
        <w:spacing w:before="0" w:beforeAutospacing="0" w:after="120" w:afterAutospacing="0"/>
        <w:ind w:left="448" w:hanging="448"/>
        <w:rPr>
          <w:rFonts w:asciiTheme="minorHAnsi" w:hAnsiTheme="minorHAnsi"/>
          <w:lang w:val="en-US"/>
        </w:rPr>
      </w:pPr>
      <w:r w:rsidRPr="00224E98">
        <w:rPr>
          <w:rFonts w:asciiTheme="minorHAnsi" w:hAnsiTheme="minorHAnsi"/>
          <w:lang w:val="en-US"/>
        </w:rPr>
        <w:t xml:space="preserve">Banchi, H., &amp; Bell, R. (2008) </w:t>
      </w:r>
      <w:proofErr w:type="gramStart"/>
      <w:r w:rsidRPr="00224E98">
        <w:rPr>
          <w:rFonts w:asciiTheme="minorHAnsi" w:hAnsiTheme="minorHAnsi"/>
          <w:lang w:val="en-US"/>
        </w:rPr>
        <w:t>The</w:t>
      </w:r>
      <w:proofErr w:type="gramEnd"/>
      <w:r w:rsidRPr="00224E98">
        <w:rPr>
          <w:rFonts w:asciiTheme="minorHAnsi" w:hAnsiTheme="minorHAnsi"/>
          <w:lang w:val="en-US"/>
        </w:rPr>
        <w:t xml:space="preserve"> many levels of inquiry.</w:t>
      </w:r>
      <w:r w:rsidRPr="00224E98">
        <w:rPr>
          <w:rFonts w:asciiTheme="minorHAnsi" w:hAnsiTheme="minorHAnsi"/>
          <w:i/>
          <w:iCs/>
          <w:lang w:val="en-US"/>
        </w:rPr>
        <w:t xml:space="preserve"> Science and Children, </w:t>
      </w:r>
      <w:r w:rsidRPr="00224E98">
        <w:rPr>
          <w:rFonts w:asciiTheme="minorHAnsi" w:hAnsiTheme="minorHAnsi"/>
          <w:lang w:val="en-US"/>
        </w:rPr>
        <w:t xml:space="preserve">46(2), 26-29. </w:t>
      </w:r>
    </w:p>
    <w:p w14:paraId="528B62E0" w14:textId="77777777" w:rsidR="004277D1" w:rsidRPr="00224E98" w:rsidRDefault="004277D1" w:rsidP="00C9378A">
      <w:pPr>
        <w:pStyle w:val="NormalWeb"/>
        <w:spacing w:before="0" w:beforeAutospacing="0" w:after="120" w:afterAutospacing="0"/>
        <w:ind w:hanging="22"/>
        <w:rPr>
          <w:rFonts w:asciiTheme="minorHAnsi" w:hAnsiTheme="minorHAnsi"/>
          <w:lang w:val="en-US"/>
        </w:rPr>
      </w:pPr>
      <w:r w:rsidRPr="00224E98">
        <w:rPr>
          <w:rFonts w:asciiTheme="minorHAnsi" w:hAnsiTheme="minorHAnsi"/>
          <w:lang w:val="en-US"/>
        </w:rPr>
        <w:t xml:space="preserve">Barrow, L. H. (2006) </w:t>
      </w:r>
      <w:proofErr w:type="gramStart"/>
      <w:r w:rsidRPr="00224E98">
        <w:rPr>
          <w:rFonts w:asciiTheme="minorHAnsi" w:hAnsiTheme="minorHAnsi"/>
          <w:lang w:val="en-US"/>
        </w:rPr>
        <w:t>A</w:t>
      </w:r>
      <w:proofErr w:type="gramEnd"/>
      <w:r w:rsidRPr="00224E98">
        <w:rPr>
          <w:rFonts w:asciiTheme="minorHAnsi" w:hAnsiTheme="minorHAnsi"/>
          <w:lang w:val="en-US"/>
        </w:rPr>
        <w:t xml:space="preserve"> brief history of inquiry: From </w:t>
      </w:r>
      <w:r w:rsidR="00224E98">
        <w:rPr>
          <w:rFonts w:asciiTheme="minorHAnsi" w:hAnsiTheme="minorHAnsi"/>
          <w:lang w:val="en-US"/>
        </w:rPr>
        <w:t>D</w:t>
      </w:r>
      <w:r w:rsidRPr="00224E98">
        <w:rPr>
          <w:rFonts w:asciiTheme="minorHAnsi" w:hAnsiTheme="minorHAnsi"/>
          <w:lang w:val="en-US"/>
        </w:rPr>
        <w:t>ewey to standards,</w:t>
      </w:r>
      <w:r w:rsidRPr="00224E98">
        <w:rPr>
          <w:rFonts w:asciiTheme="minorHAnsi" w:hAnsiTheme="minorHAnsi"/>
          <w:i/>
          <w:iCs/>
          <w:lang w:val="en-US"/>
        </w:rPr>
        <w:t xml:space="preserve"> Journal of Science Teacher Education, </w:t>
      </w:r>
      <w:r w:rsidRPr="00224E98">
        <w:rPr>
          <w:rFonts w:asciiTheme="minorHAnsi" w:hAnsiTheme="minorHAnsi"/>
          <w:lang w:val="en-US"/>
        </w:rPr>
        <w:t xml:space="preserve">17(3), 265-278. </w:t>
      </w:r>
    </w:p>
    <w:p w14:paraId="485CFB19" w14:textId="77777777" w:rsidR="001A6654" w:rsidRPr="00224E98" w:rsidRDefault="001A6654" w:rsidP="001A6654">
      <w:pPr>
        <w:pStyle w:val="NormalWeb"/>
        <w:spacing w:before="0" w:beforeAutospacing="0" w:after="120" w:afterAutospacing="0"/>
        <w:rPr>
          <w:rFonts w:asciiTheme="minorHAnsi" w:hAnsiTheme="minorHAnsi"/>
          <w:lang w:val="en-US"/>
        </w:rPr>
      </w:pPr>
      <w:r w:rsidRPr="00224E98">
        <w:rPr>
          <w:rFonts w:asciiTheme="minorHAnsi" w:hAnsiTheme="minorHAnsi"/>
          <w:lang w:val="en-US"/>
        </w:rPr>
        <w:t xml:space="preserve">Bernstein, B. (1977). </w:t>
      </w:r>
      <w:r w:rsidRPr="00224E98">
        <w:rPr>
          <w:rFonts w:asciiTheme="minorHAnsi" w:hAnsiTheme="minorHAnsi"/>
          <w:i/>
          <w:lang w:val="en-US"/>
        </w:rPr>
        <w:t xml:space="preserve">Class, Codes and Control: Towards a theory of educational transmissions. </w:t>
      </w:r>
      <w:proofErr w:type="gramStart"/>
      <w:r w:rsidRPr="00224E98">
        <w:rPr>
          <w:rFonts w:asciiTheme="minorHAnsi" w:hAnsiTheme="minorHAnsi"/>
          <w:i/>
          <w:lang w:val="en-US"/>
        </w:rPr>
        <w:t>Routledge &amp; Kegan Paul.</w:t>
      </w:r>
      <w:proofErr w:type="gramEnd"/>
      <w:r w:rsidRPr="00224E98">
        <w:rPr>
          <w:rFonts w:asciiTheme="minorHAnsi" w:hAnsiTheme="minorHAnsi"/>
          <w:i/>
          <w:lang w:val="en-US"/>
        </w:rPr>
        <w:t xml:space="preserve"> </w:t>
      </w:r>
      <w:r w:rsidRPr="00224E98">
        <w:rPr>
          <w:rFonts w:asciiTheme="minorHAnsi" w:hAnsiTheme="minorHAnsi"/>
          <w:lang w:val="en-US"/>
        </w:rPr>
        <w:t>London, Boston and Henley</w:t>
      </w:r>
    </w:p>
    <w:p w14:paraId="3219D21D" w14:textId="77777777" w:rsidR="00C9378A" w:rsidRPr="00224E98" w:rsidRDefault="00C9378A" w:rsidP="00C9378A">
      <w:pPr>
        <w:pStyle w:val="NormalWeb"/>
        <w:spacing w:before="0" w:beforeAutospacing="0" w:after="120" w:afterAutospacing="0"/>
        <w:rPr>
          <w:rFonts w:asciiTheme="minorHAnsi" w:hAnsiTheme="minorHAnsi"/>
          <w:lang w:val="en-US"/>
        </w:rPr>
      </w:pPr>
      <w:r w:rsidRPr="00224E98">
        <w:rPr>
          <w:rFonts w:asciiTheme="minorHAnsi" w:hAnsiTheme="minorHAnsi"/>
          <w:lang w:val="en-US"/>
        </w:rPr>
        <w:t xml:space="preserve">Bernstein, B. (2000). </w:t>
      </w:r>
      <w:r w:rsidRPr="00224E98">
        <w:rPr>
          <w:rFonts w:asciiTheme="minorHAnsi" w:hAnsiTheme="minorHAnsi"/>
          <w:i/>
          <w:iCs/>
          <w:lang w:val="en-US"/>
        </w:rPr>
        <w:t>Pedagogy, symbolic control, and identity: Theory, research, critique.</w:t>
      </w:r>
      <w:r w:rsidRPr="00224E98">
        <w:rPr>
          <w:rFonts w:asciiTheme="minorHAnsi" w:hAnsiTheme="minorHAnsi"/>
          <w:lang w:val="en-US"/>
        </w:rPr>
        <w:t xml:space="preserve"> </w:t>
      </w:r>
      <w:proofErr w:type="gramStart"/>
      <w:r w:rsidRPr="00224E98">
        <w:rPr>
          <w:rFonts w:asciiTheme="minorHAnsi" w:hAnsiTheme="minorHAnsi"/>
          <w:lang w:val="en-US"/>
        </w:rPr>
        <w:t>Rowman &amp; Littlefield.</w:t>
      </w:r>
      <w:proofErr w:type="gramEnd"/>
      <w:r w:rsidRPr="00224E98">
        <w:rPr>
          <w:rFonts w:asciiTheme="minorHAnsi" w:hAnsiTheme="minorHAnsi"/>
          <w:lang w:val="en-US"/>
        </w:rPr>
        <w:t xml:space="preserve"> </w:t>
      </w:r>
    </w:p>
    <w:p w14:paraId="239E68D2" w14:textId="77777777" w:rsidR="00C9378A" w:rsidRPr="00224E98" w:rsidRDefault="00C9378A" w:rsidP="00C9378A">
      <w:pPr>
        <w:pStyle w:val="NormalWeb"/>
        <w:spacing w:before="0" w:beforeAutospacing="0" w:after="120" w:afterAutospacing="0"/>
        <w:rPr>
          <w:rFonts w:asciiTheme="minorHAnsi" w:hAnsiTheme="minorHAnsi"/>
          <w:lang w:val="en-US"/>
        </w:rPr>
      </w:pPr>
      <w:r w:rsidRPr="00224E98">
        <w:rPr>
          <w:rFonts w:asciiTheme="minorHAnsi" w:hAnsiTheme="minorHAnsi"/>
          <w:lang w:val="en-US"/>
        </w:rPr>
        <w:t xml:space="preserve">Bernstein, B. (2003). </w:t>
      </w:r>
      <w:proofErr w:type="gramStart"/>
      <w:r w:rsidRPr="00224E98">
        <w:rPr>
          <w:rFonts w:asciiTheme="minorHAnsi" w:hAnsiTheme="minorHAnsi"/>
          <w:i/>
          <w:iCs/>
          <w:lang w:val="en-US"/>
        </w:rPr>
        <w:t>The structuring of pedagogic discourse.</w:t>
      </w:r>
      <w:proofErr w:type="gramEnd"/>
      <w:r w:rsidRPr="00224E98">
        <w:rPr>
          <w:rFonts w:asciiTheme="minorHAnsi" w:hAnsiTheme="minorHAnsi"/>
          <w:lang w:val="en-US"/>
        </w:rPr>
        <w:t xml:space="preserve"> </w:t>
      </w:r>
      <w:proofErr w:type="gramStart"/>
      <w:r w:rsidRPr="00224E98">
        <w:rPr>
          <w:rFonts w:asciiTheme="minorHAnsi" w:hAnsiTheme="minorHAnsi"/>
          <w:lang w:val="en-US"/>
        </w:rPr>
        <w:t>Psychology Press.</w:t>
      </w:r>
      <w:proofErr w:type="gramEnd"/>
      <w:r w:rsidRPr="00224E98">
        <w:rPr>
          <w:rFonts w:asciiTheme="minorHAnsi" w:hAnsiTheme="minorHAnsi"/>
          <w:lang w:val="en-US"/>
        </w:rPr>
        <w:t xml:space="preserve"> </w:t>
      </w:r>
    </w:p>
    <w:p w14:paraId="0F28024E" w14:textId="77777777" w:rsidR="004277D1" w:rsidRPr="00224E98" w:rsidRDefault="004277D1" w:rsidP="002E3F32">
      <w:pPr>
        <w:pStyle w:val="NormalWeb"/>
        <w:spacing w:before="0" w:beforeAutospacing="0" w:after="120" w:afterAutospacing="0"/>
        <w:rPr>
          <w:rFonts w:asciiTheme="minorHAnsi" w:hAnsiTheme="minorHAnsi"/>
          <w:lang w:val="en-US"/>
        </w:rPr>
      </w:pPr>
      <w:r w:rsidRPr="00224E98">
        <w:rPr>
          <w:rFonts w:asciiTheme="minorHAnsi" w:hAnsiTheme="minorHAnsi"/>
          <w:lang w:val="en-US"/>
        </w:rPr>
        <w:t>Cort, P. (2010) Education for all</w:t>
      </w:r>
      <w:proofErr w:type="gramStart"/>
      <w:r w:rsidRPr="00224E98">
        <w:rPr>
          <w:rFonts w:asciiTheme="minorHAnsi" w:hAnsiTheme="minorHAnsi"/>
          <w:lang w:val="en-US"/>
        </w:rPr>
        <w:t>?:</w:t>
      </w:r>
      <w:proofErr w:type="gramEnd"/>
      <w:r w:rsidRPr="00224E98">
        <w:rPr>
          <w:rFonts w:asciiTheme="minorHAnsi" w:hAnsiTheme="minorHAnsi"/>
          <w:lang w:val="en-US"/>
        </w:rPr>
        <w:t xml:space="preserve"> Lessons from the reform of the </w:t>
      </w:r>
      <w:proofErr w:type="spellStart"/>
      <w:r w:rsidRPr="00224E98">
        <w:rPr>
          <w:rFonts w:asciiTheme="minorHAnsi" w:hAnsiTheme="minorHAnsi"/>
          <w:lang w:val="en-US"/>
        </w:rPr>
        <w:t>danish</w:t>
      </w:r>
      <w:proofErr w:type="spellEnd"/>
      <w:r w:rsidRPr="00224E98">
        <w:rPr>
          <w:rFonts w:asciiTheme="minorHAnsi" w:hAnsiTheme="minorHAnsi"/>
          <w:lang w:val="en-US"/>
        </w:rPr>
        <w:t xml:space="preserve"> VET programmes,</w:t>
      </w:r>
      <w:r w:rsidRPr="00224E98">
        <w:rPr>
          <w:rFonts w:asciiTheme="minorHAnsi" w:hAnsiTheme="minorHAnsi"/>
          <w:i/>
          <w:iCs/>
          <w:lang w:val="en-US"/>
        </w:rPr>
        <w:t xml:space="preserve"> Berufsbildung in Wissenschaft Und Praxis, </w:t>
      </w:r>
      <w:r w:rsidRPr="00224E98">
        <w:rPr>
          <w:rFonts w:asciiTheme="minorHAnsi" w:hAnsiTheme="minorHAnsi"/>
          <w:lang w:val="en-US"/>
        </w:rPr>
        <w:t xml:space="preserve">39(4), 38-42. </w:t>
      </w:r>
    </w:p>
    <w:p w14:paraId="20246246" w14:textId="7DA0C1C5" w:rsidR="00BD1FC9" w:rsidRPr="00BD1FC9" w:rsidRDefault="00BD1FC9" w:rsidP="002E3F32">
      <w:pPr>
        <w:pStyle w:val="NormalWeb"/>
        <w:spacing w:before="0" w:beforeAutospacing="0" w:after="120" w:afterAutospacing="0"/>
        <w:ind w:hanging="22"/>
        <w:rPr>
          <w:rFonts w:asciiTheme="minorHAnsi" w:hAnsiTheme="minorHAnsi"/>
          <w:lang w:val="en-US"/>
        </w:rPr>
      </w:pPr>
      <w:proofErr w:type="gramStart"/>
      <w:r>
        <w:rPr>
          <w:rFonts w:asciiTheme="minorHAnsi" w:hAnsiTheme="minorHAnsi"/>
          <w:lang w:val="en-US"/>
        </w:rPr>
        <w:t xml:space="preserve">Bourdieu, P. &amp; </w:t>
      </w:r>
      <w:proofErr w:type="spellStart"/>
      <w:r>
        <w:rPr>
          <w:rFonts w:asciiTheme="minorHAnsi" w:hAnsiTheme="minorHAnsi"/>
          <w:lang w:val="en-US"/>
        </w:rPr>
        <w:t>Passeron</w:t>
      </w:r>
      <w:proofErr w:type="spellEnd"/>
      <w:r>
        <w:rPr>
          <w:rFonts w:asciiTheme="minorHAnsi" w:hAnsiTheme="minorHAnsi"/>
          <w:lang w:val="en-US"/>
        </w:rPr>
        <w:t>, J-C.</w:t>
      </w:r>
      <w:proofErr w:type="gramEnd"/>
      <w:r>
        <w:rPr>
          <w:rFonts w:asciiTheme="minorHAnsi" w:hAnsiTheme="minorHAnsi"/>
          <w:lang w:val="en-US"/>
        </w:rPr>
        <w:t xml:space="preserve"> </w:t>
      </w:r>
      <w:proofErr w:type="gramStart"/>
      <w:r>
        <w:rPr>
          <w:rFonts w:asciiTheme="minorHAnsi" w:hAnsiTheme="minorHAnsi"/>
          <w:lang w:val="en-US"/>
        </w:rPr>
        <w:t xml:space="preserve">(2000) </w:t>
      </w:r>
      <w:r>
        <w:rPr>
          <w:rFonts w:asciiTheme="minorHAnsi" w:hAnsiTheme="minorHAnsi"/>
          <w:i/>
          <w:lang w:val="en-US"/>
        </w:rPr>
        <w:t xml:space="preserve">Reproduction in Education, Society and </w:t>
      </w:r>
      <w:proofErr w:type="spellStart"/>
      <w:r>
        <w:rPr>
          <w:rFonts w:asciiTheme="minorHAnsi" w:hAnsiTheme="minorHAnsi"/>
          <w:i/>
          <w:lang w:val="en-US"/>
        </w:rPr>
        <w:t>Culture.Sage</w:t>
      </w:r>
      <w:proofErr w:type="spellEnd"/>
      <w:r>
        <w:rPr>
          <w:rFonts w:asciiTheme="minorHAnsi" w:hAnsiTheme="minorHAnsi"/>
          <w:i/>
          <w:lang w:val="en-US"/>
        </w:rPr>
        <w:t xml:space="preserve"> Publications.</w:t>
      </w:r>
      <w:proofErr w:type="gramEnd"/>
      <w:r>
        <w:rPr>
          <w:rFonts w:asciiTheme="minorHAnsi" w:hAnsiTheme="minorHAnsi"/>
          <w:i/>
          <w:lang w:val="en-US"/>
        </w:rPr>
        <w:t xml:space="preserve"> London, Thousand Oaks, New Delhi </w:t>
      </w:r>
    </w:p>
    <w:p w14:paraId="0CED1ECA" w14:textId="77777777" w:rsidR="004277D1" w:rsidRPr="00224E98" w:rsidRDefault="004277D1" w:rsidP="002E3F32">
      <w:pPr>
        <w:pStyle w:val="NormalWeb"/>
        <w:spacing w:before="0" w:beforeAutospacing="0" w:after="120" w:afterAutospacing="0"/>
        <w:ind w:hanging="22"/>
        <w:rPr>
          <w:rFonts w:asciiTheme="minorHAnsi" w:hAnsiTheme="minorHAnsi"/>
          <w:lang w:val="en-US"/>
        </w:rPr>
      </w:pPr>
      <w:r w:rsidRPr="00224E98">
        <w:rPr>
          <w:rFonts w:asciiTheme="minorHAnsi" w:hAnsiTheme="minorHAnsi"/>
          <w:lang w:val="en-US"/>
        </w:rPr>
        <w:t xml:space="preserve">Darling-Hammond, L. (2004) </w:t>
      </w:r>
      <w:proofErr w:type="gramStart"/>
      <w:r w:rsidRPr="00224E98">
        <w:rPr>
          <w:rFonts w:asciiTheme="minorHAnsi" w:hAnsiTheme="minorHAnsi"/>
          <w:lang w:val="en-US"/>
        </w:rPr>
        <w:t>What</w:t>
      </w:r>
      <w:proofErr w:type="gramEnd"/>
      <w:r w:rsidRPr="00224E98">
        <w:rPr>
          <w:rFonts w:asciiTheme="minorHAnsi" w:hAnsiTheme="minorHAnsi"/>
          <w:lang w:val="en-US"/>
        </w:rPr>
        <w:t xml:space="preserve"> happens to a dream deferred? </w:t>
      </w:r>
      <w:proofErr w:type="gramStart"/>
      <w:r w:rsidRPr="00224E98">
        <w:rPr>
          <w:rFonts w:asciiTheme="minorHAnsi" w:hAnsiTheme="minorHAnsi"/>
          <w:lang w:val="en-US"/>
        </w:rPr>
        <w:t>the</w:t>
      </w:r>
      <w:proofErr w:type="gramEnd"/>
      <w:r w:rsidRPr="00224E98">
        <w:rPr>
          <w:rFonts w:asciiTheme="minorHAnsi" w:hAnsiTheme="minorHAnsi"/>
          <w:lang w:val="en-US"/>
        </w:rPr>
        <w:t xml:space="preserve"> continuing quest for equal educational opportunity,</w:t>
      </w:r>
      <w:r w:rsidRPr="00224E98">
        <w:rPr>
          <w:rFonts w:asciiTheme="minorHAnsi" w:hAnsiTheme="minorHAnsi"/>
          <w:i/>
          <w:iCs/>
          <w:lang w:val="en-US"/>
        </w:rPr>
        <w:t xml:space="preserve"> Handbook of Research on Multicultural Education,</w:t>
      </w:r>
      <w:r w:rsidRPr="00224E98">
        <w:rPr>
          <w:rFonts w:asciiTheme="minorHAnsi" w:hAnsiTheme="minorHAnsi"/>
          <w:lang w:val="en-US"/>
        </w:rPr>
        <w:t xml:space="preserve"> 607-630. </w:t>
      </w:r>
    </w:p>
    <w:p w14:paraId="7FC2E48D" w14:textId="77777777" w:rsidR="004277D1" w:rsidRDefault="004277D1" w:rsidP="002E3F32">
      <w:pPr>
        <w:pStyle w:val="NormalWeb"/>
        <w:spacing w:before="0" w:beforeAutospacing="0" w:after="120" w:afterAutospacing="0"/>
        <w:ind w:left="448" w:hanging="448"/>
        <w:rPr>
          <w:rFonts w:asciiTheme="minorHAnsi" w:hAnsiTheme="minorHAnsi"/>
          <w:lang w:val="en-US"/>
        </w:rPr>
      </w:pPr>
      <w:proofErr w:type="gramStart"/>
      <w:r w:rsidRPr="00224E98">
        <w:rPr>
          <w:rFonts w:asciiTheme="minorHAnsi" w:hAnsiTheme="minorHAnsi"/>
          <w:lang w:val="en-US"/>
        </w:rPr>
        <w:t xml:space="preserve">Dewey, J. (2007) </w:t>
      </w:r>
      <w:r w:rsidRPr="00224E98">
        <w:rPr>
          <w:rFonts w:asciiTheme="minorHAnsi" w:hAnsiTheme="minorHAnsi"/>
          <w:i/>
          <w:iCs/>
          <w:lang w:val="en-US"/>
        </w:rPr>
        <w:t>Experience and education</w:t>
      </w:r>
      <w:r w:rsidRPr="00224E98">
        <w:rPr>
          <w:rFonts w:asciiTheme="minorHAnsi" w:hAnsiTheme="minorHAnsi"/>
          <w:lang w:val="en-US"/>
        </w:rPr>
        <w:t xml:space="preserve"> Simon and Schuster.</w:t>
      </w:r>
      <w:proofErr w:type="gramEnd"/>
      <w:r w:rsidRPr="00224E98">
        <w:rPr>
          <w:rFonts w:asciiTheme="minorHAnsi" w:hAnsiTheme="minorHAnsi"/>
          <w:lang w:val="en-US"/>
        </w:rPr>
        <w:t xml:space="preserve"> </w:t>
      </w:r>
    </w:p>
    <w:p w14:paraId="75EFCB29" w14:textId="5C16E9CC" w:rsidR="00F73896" w:rsidRDefault="00B11B75" w:rsidP="00F73896">
      <w:pPr>
        <w:pStyle w:val="NormalWeb"/>
        <w:spacing w:before="0" w:beforeAutospacing="0" w:after="120" w:afterAutospacing="0"/>
        <w:rPr>
          <w:rFonts w:asciiTheme="minorHAnsi" w:hAnsiTheme="minorHAnsi"/>
          <w:iCs/>
          <w:lang w:val="en-US"/>
        </w:rPr>
      </w:pPr>
      <w:proofErr w:type="gramStart"/>
      <w:r w:rsidRPr="00F73896">
        <w:rPr>
          <w:rFonts w:asciiTheme="minorHAnsi" w:hAnsiTheme="minorHAnsi"/>
          <w:lang w:val="en-US"/>
        </w:rPr>
        <w:t xml:space="preserve">Doll, J.J., </w:t>
      </w:r>
      <w:proofErr w:type="spellStart"/>
      <w:r w:rsidR="00F73896">
        <w:rPr>
          <w:rFonts w:asciiTheme="minorHAnsi" w:hAnsiTheme="minorHAnsi"/>
          <w:lang w:val="en-US"/>
        </w:rPr>
        <w:t>Eslami</w:t>
      </w:r>
      <w:proofErr w:type="spellEnd"/>
      <w:r w:rsidR="00F73896">
        <w:rPr>
          <w:rFonts w:asciiTheme="minorHAnsi" w:hAnsiTheme="minorHAnsi"/>
          <w:lang w:val="en-US"/>
        </w:rPr>
        <w:t xml:space="preserve">, </w:t>
      </w:r>
      <w:r w:rsidRPr="00F73896">
        <w:rPr>
          <w:rFonts w:asciiTheme="minorHAnsi" w:hAnsiTheme="minorHAnsi"/>
          <w:lang w:val="en-US"/>
        </w:rPr>
        <w:t xml:space="preserve">Z. </w:t>
      </w:r>
      <w:r w:rsidR="00F73896">
        <w:rPr>
          <w:rFonts w:asciiTheme="minorHAnsi" w:hAnsiTheme="minorHAnsi"/>
          <w:lang w:val="en-US"/>
        </w:rPr>
        <w:t xml:space="preserve">&amp; Walters, L. </w:t>
      </w:r>
      <w:r w:rsidRPr="00F73896">
        <w:rPr>
          <w:rFonts w:asciiTheme="minorHAnsi" w:hAnsiTheme="minorHAnsi"/>
          <w:lang w:val="en-US"/>
        </w:rPr>
        <w:t xml:space="preserve">(2013) </w:t>
      </w:r>
      <w:r w:rsidRPr="00635605">
        <w:rPr>
          <w:rFonts w:asciiTheme="minorHAnsi" w:hAnsiTheme="minorHAnsi"/>
          <w:i/>
          <w:lang w:val="en-US"/>
        </w:rPr>
        <w:t>Understanding Why Students Drop Out of High School, According to Their Own Reports.</w:t>
      </w:r>
      <w:proofErr w:type="gramEnd"/>
      <w:r w:rsidRPr="00635605">
        <w:rPr>
          <w:rFonts w:asciiTheme="minorHAnsi" w:hAnsiTheme="minorHAnsi"/>
          <w:i/>
          <w:lang w:val="en-US"/>
        </w:rPr>
        <w:t xml:space="preserve"> </w:t>
      </w:r>
      <w:r w:rsidRPr="00A923BA">
        <w:rPr>
          <w:rFonts w:asciiTheme="minorHAnsi" w:hAnsiTheme="minorHAnsi"/>
          <w:i/>
          <w:lang w:val="en-US"/>
        </w:rPr>
        <w:t xml:space="preserve">Are They Pushed or Pulled, or Do They Fall Out? </w:t>
      </w:r>
      <w:proofErr w:type="gramStart"/>
      <w:r w:rsidRPr="00A923BA">
        <w:rPr>
          <w:rFonts w:asciiTheme="minorHAnsi" w:hAnsiTheme="minorHAnsi"/>
          <w:i/>
          <w:lang w:val="en-US"/>
        </w:rPr>
        <w:t>A Comparative Analysis of Seven Nationally Representative</w:t>
      </w:r>
      <w:r w:rsidRPr="00A923BA">
        <w:rPr>
          <w:rFonts w:asciiTheme="minorHAnsi" w:hAnsiTheme="minorHAnsi"/>
          <w:lang w:val="en-US"/>
        </w:rPr>
        <w:t xml:space="preserve"> Studies.</w:t>
      </w:r>
      <w:proofErr w:type="gramEnd"/>
      <w:r w:rsidRPr="00A923BA">
        <w:rPr>
          <w:rFonts w:asciiTheme="minorHAnsi" w:hAnsiTheme="minorHAnsi"/>
          <w:lang w:val="en-US"/>
        </w:rPr>
        <w:t xml:space="preserve"> </w:t>
      </w:r>
      <w:r w:rsidRPr="00635605">
        <w:rPr>
          <w:rFonts w:asciiTheme="minorHAnsi" w:hAnsiTheme="minorHAnsi"/>
          <w:lang w:val="en-US"/>
        </w:rPr>
        <w:t xml:space="preserve">SAGE open, Published </w:t>
      </w:r>
      <w:r w:rsidR="00635605">
        <w:rPr>
          <w:rFonts w:asciiTheme="minorHAnsi" w:hAnsiTheme="minorHAnsi"/>
          <w:lang w:val="en-US"/>
        </w:rPr>
        <w:t>November 7</w:t>
      </w:r>
      <w:r w:rsidR="00635605" w:rsidRPr="00635605">
        <w:rPr>
          <w:rFonts w:asciiTheme="minorHAnsi" w:hAnsiTheme="minorHAnsi"/>
          <w:vertAlign w:val="superscript"/>
          <w:lang w:val="en-US"/>
        </w:rPr>
        <w:t>th</w:t>
      </w:r>
      <w:r w:rsidR="00635605">
        <w:rPr>
          <w:rFonts w:asciiTheme="minorHAnsi" w:hAnsiTheme="minorHAnsi"/>
          <w:lang w:val="en-US"/>
        </w:rPr>
        <w:t xml:space="preserve"> </w:t>
      </w:r>
      <w:r w:rsidRPr="00635605">
        <w:rPr>
          <w:rFonts w:asciiTheme="minorHAnsi" w:hAnsiTheme="minorHAnsi"/>
          <w:lang w:val="en-US"/>
        </w:rPr>
        <w:t xml:space="preserve">2013 </w:t>
      </w:r>
      <w:proofErr w:type="gramStart"/>
      <w:r w:rsidR="00635605" w:rsidRPr="00635605">
        <w:rPr>
          <w:rFonts w:asciiTheme="minorHAnsi" w:hAnsiTheme="minorHAnsi"/>
          <w:lang w:val="en-US"/>
        </w:rPr>
        <w:t>Online</w:t>
      </w:r>
      <w:proofErr w:type="gramEnd"/>
      <w:r w:rsidR="00635605" w:rsidRPr="00635605">
        <w:rPr>
          <w:rFonts w:asciiTheme="minorHAnsi" w:hAnsiTheme="minorHAnsi"/>
          <w:lang w:val="en-US"/>
        </w:rPr>
        <w:t xml:space="preserve"> 1-12-2015: </w:t>
      </w:r>
      <w:hyperlink r:id="rId9" w:history="1">
        <w:r w:rsidRPr="00F73896">
          <w:rPr>
            <w:rFonts w:asciiTheme="minorHAnsi" w:hAnsiTheme="minorHAnsi"/>
            <w:iCs/>
            <w:lang w:val="en-US"/>
          </w:rPr>
          <w:t>http://sgo.sagepub.com/content/3/4/2158244013503834</w:t>
        </w:r>
      </w:hyperlink>
      <w:r w:rsidRPr="00F73896">
        <w:rPr>
          <w:rFonts w:asciiTheme="minorHAnsi" w:hAnsiTheme="minorHAnsi"/>
          <w:iCs/>
          <w:lang w:val="en-US"/>
        </w:rPr>
        <w:t xml:space="preserve"> </w:t>
      </w:r>
    </w:p>
    <w:p w14:paraId="72C6E5C3" w14:textId="0B51E633" w:rsidR="00480C57" w:rsidRPr="00F73896" w:rsidRDefault="00480C57" w:rsidP="00F73896">
      <w:pPr>
        <w:pStyle w:val="NormalWeb"/>
        <w:spacing w:before="0" w:beforeAutospacing="0" w:after="120" w:afterAutospacing="0"/>
        <w:rPr>
          <w:rFonts w:asciiTheme="minorHAnsi" w:eastAsiaTheme="minorEastAsia" w:hAnsiTheme="minorHAnsi" w:cstheme="minorBidi"/>
        </w:rPr>
      </w:pPr>
      <w:r w:rsidRPr="00F73896">
        <w:rPr>
          <w:rFonts w:asciiTheme="minorHAnsi" w:hAnsiTheme="minorHAnsi"/>
          <w:iCs/>
        </w:rPr>
        <w:t>Egelund, N</w:t>
      </w:r>
      <w:r w:rsidR="00F73896" w:rsidRPr="00F73896">
        <w:rPr>
          <w:rFonts w:asciiTheme="minorHAnsi" w:hAnsiTheme="minorHAnsi"/>
          <w:iCs/>
        </w:rPr>
        <w:t>.</w:t>
      </w:r>
      <w:r w:rsidRPr="00F73896">
        <w:rPr>
          <w:rFonts w:asciiTheme="minorHAnsi" w:hAnsiTheme="minorHAnsi"/>
          <w:iCs/>
        </w:rPr>
        <w:t xml:space="preserve"> (2018): PISA og ungdoms- uddannelserne 2006 – kompetencer hos 16 1⁄2-årige elever i fire typer af danske </w:t>
      </w:r>
      <w:r w:rsidRPr="00F73896">
        <w:rPr>
          <w:rFonts w:asciiTheme="minorHAnsi" w:hAnsiTheme="minorHAnsi"/>
          <w:i/>
        </w:rPr>
        <w:t xml:space="preserve">ungdomsuddannelser </w:t>
      </w:r>
      <w:proofErr w:type="spellStart"/>
      <w:r w:rsidRPr="00F73896">
        <w:rPr>
          <w:rFonts w:asciiTheme="minorHAnsi" w:hAnsiTheme="minorHAnsi"/>
          <w:i/>
        </w:rPr>
        <w:t>foråret</w:t>
      </w:r>
      <w:proofErr w:type="spellEnd"/>
      <w:r w:rsidRPr="00F73896">
        <w:rPr>
          <w:rFonts w:asciiTheme="minorHAnsi" w:hAnsiTheme="minorHAnsi"/>
          <w:i/>
        </w:rPr>
        <w:t xml:space="preserve"> 2006.</w:t>
      </w:r>
      <w:r w:rsidRPr="00F73896">
        <w:rPr>
          <w:rFonts w:asciiTheme="minorHAnsi" w:hAnsiTheme="minorHAnsi"/>
        </w:rPr>
        <w:t xml:space="preserve"> Danmarks Pædagogiske Universitetsforlag. </w:t>
      </w:r>
      <w:r w:rsidR="00F73896">
        <w:rPr>
          <w:rFonts w:asciiTheme="minorHAnsi" w:hAnsiTheme="minorHAnsi"/>
        </w:rPr>
        <w:t xml:space="preserve">Online 1-12-2015: </w:t>
      </w:r>
      <w:hyperlink r:id="rId10" w:history="1">
        <w:r w:rsidRPr="00F73896">
          <w:rPr>
            <w:rFonts w:asciiTheme="minorHAnsi" w:hAnsiTheme="minorHAnsi"/>
          </w:rPr>
          <w:t>http://edu.au.dk/fileadmin/www.dpu.dk/omdpu/centerforgrundskoleforskning/internationaleundersoegelser/andreundersoegelser/pisa/forskning_projekter_pisa_20080903095715_pisa_16_aarige_2006.pdf</w:t>
        </w:r>
      </w:hyperlink>
    </w:p>
    <w:p w14:paraId="53696373" w14:textId="189D5C46" w:rsidR="002E3F32" w:rsidRPr="00224E98" w:rsidRDefault="005A2C66" w:rsidP="002E3F32">
      <w:pPr>
        <w:pStyle w:val="NormalWeb"/>
        <w:spacing w:before="0" w:beforeAutospacing="0" w:after="120" w:afterAutospacing="0"/>
        <w:rPr>
          <w:rFonts w:asciiTheme="minorHAnsi" w:hAnsiTheme="minorHAnsi"/>
          <w:iCs/>
          <w:lang w:val="en-US"/>
        </w:rPr>
      </w:pPr>
      <w:proofErr w:type="gramStart"/>
      <w:r w:rsidRPr="00224E98">
        <w:rPr>
          <w:rFonts w:asciiTheme="minorHAnsi" w:hAnsiTheme="minorHAnsi"/>
          <w:iCs/>
          <w:lang w:val="en-US"/>
        </w:rPr>
        <w:lastRenderedPageBreak/>
        <w:t xml:space="preserve">European Commission (2014a) </w:t>
      </w:r>
      <w:r w:rsidRPr="00224E98">
        <w:rPr>
          <w:rFonts w:asciiTheme="minorHAnsi" w:hAnsiTheme="minorHAnsi"/>
          <w:i/>
          <w:iCs/>
          <w:lang w:val="en-US"/>
        </w:rPr>
        <w:t>Strategic framework – education &amp; training 2020 - European Commission</w:t>
      </w:r>
      <w:r w:rsidR="00F73896">
        <w:rPr>
          <w:rFonts w:asciiTheme="minorHAnsi" w:hAnsiTheme="minorHAnsi"/>
          <w:i/>
          <w:iCs/>
          <w:lang w:val="en-US"/>
        </w:rPr>
        <w:t>.</w:t>
      </w:r>
      <w:proofErr w:type="gramEnd"/>
      <w:r w:rsidR="00F73896">
        <w:rPr>
          <w:rFonts w:asciiTheme="minorHAnsi" w:hAnsiTheme="minorHAnsi"/>
          <w:i/>
          <w:iCs/>
          <w:lang w:val="en-US"/>
        </w:rPr>
        <w:t xml:space="preserve"> Online 1-12-2015: </w:t>
      </w:r>
      <w:r w:rsidRPr="00F73896">
        <w:rPr>
          <w:rFonts w:asciiTheme="minorHAnsi" w:eastAsiaTheme="majorEastAsia" w:hAnsiTheme="minorHAnsi"/>
          <w:lang w:val="en-US"/>
        </w:rPr>
        <w:t>http://ec.europa.eu/education/policy/strategic-framework/index_en.htm</w:t>
      </w:r>
    </w:p>
    <w:p w14:paraId="0D190521" w14:textId="67E9B03C" w:rsidR="005A2C66" w:rsidRPr="00224E98" w:rsidRDefault="005A2C66" w:rsidP="002E3F32">
      <w:pPr>
        <w:pStyle w:val="NormalWeb"/>
        <w:spacing w:before="0" w:beforeAutospacing="0" w:after="120" w:afterAutospacing="0"/>
        <w:rPr>
          <w:rFonts w:asciiTheme="minorHAnsi" w:hAnsiTheme="minorHAnsi"/>
          <w:iCs/>
          <w:lang w:val="en-US"/>
        </w:rPr>
      </w:pPr>
      <w:r w:rsidRPr="00224E98">
        <w:rPr>
          <w:rFonts w:asciiTheme="minorHAnsi" w:hAnsiTheme="minorHAnsi"/>
          <w:iCs/>
          <w:lang w:val="en-US"/>
        </w:rPr>
        <w:t>European Commission (2014b)</w:t>
      </w:r>
      <w:r w:rsidRPr="00224E98">
        <w:rPr>
          <w:rFonts w:asciiTheme="minorHAnsi" w:hAnsiTheme="minorHAnsi"/>
          <w:i/>
          <w:iCs/>
          <w:lang w:val="en-US"/>
        </w:rPr>
        <w:t xml:space="preserve"> EUROPA - PRESS RELEASES - press release - EU measures to tackle youth unemployment</w:t>
      </w:r>
      <w:r w:rsidR="00F73896">
        <w:rPr>
          <w:rFonts w:asciiTheme="minorHAnsi" w:hAnsiTheme="minorHAnsi"/>
          <w:i/>
          <w:iCs/>
          <w:lang w:val="en-US"/>
        </w:rPr>
        <w:t xml:space="preserve">. </w:t>
      </w:r>
      <w:r w:rsidR="00F73896">
        <w:rPr>
          <w:rFonts w:asciiTheme="minorHAnsi" w:hAnsiTheme="minorHAnsi"/>
          <w:iCs/>
          <w:lang w:val="en-US"/>
        </w:rPr>
        <w:t>Online 1-12-2015:</w:t>
      </w:r>
      <w:r w:rsidRPr="00224E98">
        <w:rPr>
          <w:rFonts w:asciiTheme="minorHAnsi" w:hAnsiTheme="minorHAnsi"/>
          <w:lang w:val="en-US"/>
        </w:rPr>
        <w:t xml:space="preserve"> </w:t>
      </w:r>
      <w:r w:rsidRPr="00F73896">
        <w:rPr>
          <w:rFonts w:asciiTheme="minorHAnsi" w:eastAsiaTheme="majorEastAsia" w:hAnsiTheme="minorHAnsi"/>
          <w:lang w:val="en-US"/>
        </w:rPr>
        <w:t>http://europa.eu/rapid/press-release_MEMO-14-466_en.htm</w:t>
      </w:r>
    </w:p>
    <w:p w14:paraId="13E66802" w14:textId="0B1AE097" w:rsidR="00EB6309" w:rsidRPr="00224E98" w:rsidRDefault="005A2C66" w:rsidP="00EB6309">
      <w:pPr>
        <w:pStyle w:val="NormalWeb"/>
        <w:spacing w:before="0" w:beforeAutospacing="0" w:after="120" w:afterAutospacing="0"/>
        <w:ind w:hanging="22"/>
        <w:rPr>
          <w:rFonts w:asciiTheme="minorHAnsi" w:hAnsiTheme="minorHAnsi"/>
          <w:lang w:val="en-US"/>
        </w:rPr>
      </w:pPr>
      <w:r w:rsidRPr="00224E98">
        <w:rPr>
          <w:rFonts w:asciiTheme="minorHAnsi" w:hAnsiTheme="minorHAnsi"/>
          <w:iCs/>
          <w:lang w:val="en-US"/>
        </w:rPr>
        <w:t>European Parliament (2000)</w:t>
      </w:r>
      <w:r w:rsidRPr="00224E98">
        <w:rPr>
          <w:rFonts w:asciiTheme="minorHAnsi" w:hAnsiTheme="minorHAnsi"/>
          <w:i/>
          <w:iCs/>
          <w:lang w:val="en-US"/>
        </w:rPr>
        <w:t xml:space="preserve"> Lisbon European council 23-24.03.2000: Conclusions of the presidency </w:t>
      </w:r>
      <w:r w:rsidR="00F73896">
        <w:rPr>
          <w:rFonts w:asciiTheme="minorHAnsi" w:hAnsiTheme="minorHAnsi"/>
          <w:i/>
          <w:iCs/>
          <w:lang w:val="en-US"/>
        </w:rPr>
        <w:t xml:space="preserve">Online </w:t>
      </w:r>
      <w:r w:rsidR="00F73896">
        <w:rPr>
          <w:rFonts w:asciiTheme="minorHAnsi" w:hAnsiTheme="minorHAnsi"/>
          <w:lang w:val="en-US"/>
        </w:rPr>
        <w:t xml:space="preserve">1-12-2015: </w:t>
      </w:r>
      <w:r w:rsidRPr="00F73896">
        <w:rPr>
          <w:rFonts w:asciiTheme="minorHAnsi" w:eastAsiaTheme="majorEastAsia" w:hAnsiTheme="minorHAnsi"/>
          <w:lang w:val="en-US"/>
        </w:rPr>
        <w:t>http://www.europarl.europa.eu/summits/lis1_en.htm</w:t>
      </w:r>
    </w:p>
    <w:p w14:paraId="0930BDDE" w14:textId="69B839C6" w:rsidR="006F4189" w:rsidRPr="006A5550" w:rsidRDefault="006F4189" w:rsidP="006F7073">
      <w:pPr>
        <w:pStyle w:val="NormalWeb"/>
        <w:spacing w:before="0" w:beforeAutospacing="0" w:after="120" w:afterAutospacing="0"/>
        <w:ind w:hanging="22"/>
        <w:rPr>
          <w:rFonts w:asciiTheme="minorHAnsi" w:hAnsiTheme="minorHAnsi"/>
          <w:lang w:val="en-US"/>
        </w:rPr>
      </w:pPr>
      <w:r w:rsidRPr="006A5550">
        <w:rPr>
          <w:rFonts w:asciiTheme="minorHAnsi" w:hAnsiTheme="minorHAnsi"/>
          <w:lang w:val="en-US"/>
        </w:rPr>
        <w:t>Frisdahl, K.</w:t>
      </w:r>
      <w:r w:rsidR="006F7073" w:rsidRPr="006A5550">
        <w:rPr>
          <w:rFonts w:asciiTheme="minorHAnsi" w:hAnsiTheme="minorHAnsi"/>
          <w:lang w:val="en-US"/>
        </w:rPr>
        <w:t xml:space="preserve"> (red.)</w:t>
      </w:r>
      <w:r w:rsidRPr="006A5550">
        <w:rPr>
          <w:rFonts w:asciiTheme="minorHAnsi" w:hAnsiTheme="minorHAnsi"/>
          <w:lang w:val="en-US"/>
        </w:rPr>
        <w:t xml:space="preserve"> (2014) </w:t>
      </w:r>
      <w:proofErr w:type="spellStart"/>
      <w:r w:rsidRPr="006A5550">
        <w:rPr>
          <w:rFonts w:asciiTheme="minorHAnsi" w:hAnsiTheme="minorHAnsi"/>
          <w:i/>
          <w:lang w:val="en-US"/>
        </w:rPr>
        <w:t>Kompendium</w:t>
      </w:r>
      <w:proofErr w:type="spellEnd"/>
      <w:r w:rsidRPr="006A5550">
        <w:rPr>
          <w:rFonts w:asciiTheme="minorHAnsi" w:hAnsiTheme="minorHAnsi"/>
          <w:i/>
          <w:lang w:val="en-US"/>
        </w:rPr>
        <w:t xml:space="preserve">: Inquiry Based Science Education - </w:t>
      </w:r>
      <w:proofErr w:type="gramStart"/>
      <w:r w:rsidRPr="006A5550">
        <w:rPr>
          <w:rFonts w:asciiTheme="minorHAnsi" w:hAnsiTheme="minorHAnsi"/>
          <w:i/>
          <w:lang w:val="en-US"/>
        </w:rPr>
        <w:t>IBSE .</w:t>
      </w:r>
      <w:proofErr w:type="gramEnd"/>
      <w:r w:rsidRPr="006A5550">
        <w:rPr>
          <w:rFonts w:asciiTheme="minorHAnsi" w:hAnsiTheme="minorHAnsi"/>
          <w:i/>
          <w:lang w:val="en-US"/>
        </w:rPr>
        <w:t xml:space="preserve"> </w:t>
      </w:r>
      <w:r w:rsidRPr="00F73896">
        <w:rPr>
          <w:rFonts w:asciiTheme="minorHAnsi" w:hAnsiTheme="minorHAnsi"/>
          <w:i/>
        </w:rPr>
        <w:t xml:space="preserve">Termer, metoder, </w:t>
      </w:r>
      <w:r w:rsidR="00F73896">
        <w:rPr>
          <w:rFonts w:asciiTheme="minorHAnsi" w:hAnsiTheme="minorHAnsi"/>
          <w:i/>
        </w:rPr>
        <w:t xml:space="preserve">tankegange og erfaringer. Undersøgelsesbaseret undervisning i naturfag og matematik. Institut </w:t>
      </w:r>
      <w:r w:rsidRPr="00F73896">
        <w:rPr>
          <w:rFonts w:asciiTheme="minorHAnsi" w:hAnsiTheme="minorHAnsi"/>
          <w:i/>
        </w:rPr>
        <w:t>naturfag og matematik</w:t>
      </w:r>
      <w:r w:rsidR="00F73896">
        <w:rPr>
          <w:rFonts w:asciiTheme="minorHAnsi" w:hAnsiTheme="minorHAnsi"/>
          <w:i/>
        </w:rPr>
        <w:t>.</w:t>
      </w:r>
      <w:r w:rsidRPr="00F73896">
        <w:rPr>
          <w:rFonts w:asciiTheme="minorHAnsi" w:hAnsiTheme="minorHAnsi"/>
        </w:rPr>
        <w:t xml:space="preserve"> Institut for Naturfagenes Didaktik, Københavns Universitet</w:t>
      </w:r>
      <w:r w:rsidR="00F73896">
        <w:rPr>
          <w:rFonts w:asciiTheme="minorHAnsi" w:hAnsiTheme="minorHAnsi"/>
        </w:rPr>
        <w:t xml:space="preserve">. </w:t>
      </w:r>
      <w:r w:rsidR="00F73896" w:rsidRPr="006A5550">
        <w:rPr>
          <w:rFonts w:asciiTheme="minorHAnsi" w:hAnsiTheme="minorHAnsi"/>
          <w:lang w:val="en-US"/>
        </w:rPr>
        <w:t>Online 1-12-2015:</w:t>
      </w:r>
      <w:r w:rsidRPr="006A5550">
        <w:rPr>
          <w:rFonts w:asciiTheme="minorHAnsi" w:hAnsiTheme="minorHAnsi"/>
          <w:lang w:val="en-US"/>
        </w:rPr>
        <w:t xml:space="preserve"> </w:t>
      </w:r>
      <w:hyperlink r:id="rId11" w:history="1">
        <w:r w:rsidRPr="006A5550">
          <w:rPr>
            <w:rFonts w:asciiTheme="minorHAnsi" w:hAnsiTheme="minorHAnsi"/>
            <w:lang w:val="en-US"/>
          </w:rPr>
          <w:t>http://www.ind.ku.dk/publikationer/inds_skriftserie/2014-36/Kompendie-IBSE_ny_web2.pdf</w:t>
        </w:r>
      </w:hyperlink>
      <w:r w:rsidRPr="006A5550">
        <w:rPr>
          <w:rFonts w:asciiTheme="minorHAnsi" w:hAnsiTheme="minorHAnsi"/>
          <w:lang w:val="en-US"/>
        </w:rPr>
        <w:t xml:space="preserve"> </w:t>
      </w:r>
    </w:p>
    <w:p w14:paraId="2DF09669" w14:textId="77777777" w:rsidR="004277D1" w:rsidRPr="00224E98" w:rsidRDefault="004277D1" w:rsidP="00EB6309">
      <w:pPr>
        <w:pStyle w:val="NormalWeb"/>
        <w:spacing w:before="0" w:beforeAutospacing="0" w:after="120" w:afterAutospacing="0"/>
        <w:ind w:hanging="22"/>
        <w:rPr>
          <w:rFonts w:asciiTheme="minorHAnsi" w:hAnsiTheme="minorHAnsi"/>
          <w:lang w:val="en-US"/>
        </w:rPr>
      </w:pPr>
      <w:r w:rsidRPr="006A5550">
        <w:rPr>
          <w:rFonts w:asciiTheme="minorHAnsi" w:hAnsiTheme="minorHAnsi"/>
          <w:lang w:val="en-US"/>
        </w:rPr>
        <w:t>G</w:t>
      </w:r>
      <w:r w:rsidR="001A6654" w:rsidRPr="006A5550">
        <w:rPr>
          <w:rFonts w:asciiTheme="minorHAnsi" w:hAnsiTheme="minorHAnsi"/>
          <w:lang w:val="en-US"/>
        </w:rPr>
        <w:t>orur</w:t>
      </w:r>
      <w:r w:rsidRPr="006A5550">
        <w:rPr>
          <w:rFonts w:asciiTheme="minorHAnsi" w:hAnsiTheme="minorHAnsi"/>
          <w:lang w:val="en-US"/>
        </w:rPr>
        <w:t xml:space="preserve">, R. (2014) </w:t>
      </w:r>
      <w:proofErr w:type="gramStart"/>
      <w:r w:rsidRPr="006A5550">
        <w:rPr>
          <w:rFonts w:asciiTheme="minorHAnsi" w:hAnsiTheme="minorHAnsi"/>
          <w:lang w:val="en-US"/>
        </w:rPr>
        <w:t>Towards</w:t>
      </w:r>
      <w:proofErr w:type="gramEnd"/>
      <w:r w:rsidRPr="006A5550">
        <w:rPr>
          <w:rFonts w:asciiTheme="minorHAnsi" w:hAnsiTheme="minorHAnsi"/>
          <w:lang w:val="en-US"/>
        </w:rPr>
        <w:t xml:space="preserve"> a sociology o</w:t>
      </w:r>
      <w:r w:rsidRPr="00224E98">
        <w:rPr>
          <w:rFonts w:asciiTheme="minorHAnsi" w:hAnsiTheme="minorHAnsi"/>
          <w:lang w:val="en-US"/>
        </w:rPr>
        <w:t>f measurement in education policy,</w:t>
      </w:r>
      <w:r w:rsidRPr="00224E98">
        <w:rPr>
          <w:rFonts w:asciiTheme="minorHAnsi" w:hAnsiTheme="minorHAnsi"/>
          <w:i/>
          <w:iCs/>
          <w:lang w:val="en-US"/>
        </w:rPr>
        <w:t xml:space="preserve"> European Educational Research Journal, </w:t>
      </w:r>
      <w:r w:rsidRPr="00224E98">
        <w:rPr>
          <w:rFonts w:asciiTheme="minorHAnsi" w:hAnsiTheme="minorHAnsi"/>
          <w:lang w:val="en-US"/>
        </w:rPr>
        <w:t xml:space="preserve">13(1), 58-72. </w:t>
      </w:r>
    </w:p>
    <w:p w14:paraId="01C70CCB" w14:textId="77777777" w:rsidR="004277D1" w:rsidRPr="00224E98" w:rsidRDefault="004277D1" w:rsidP="002E3F32">
      <w:pPr>
        <w:pStyle w:val="NormalWeb"/>
        <w:spacing w:before="0" w:beforeAutospacing="0" w:after="120" w:afterAutospacing="0"/>
        <w:ind w:hanging="22"/>
        <w:rPr>
          <w:rFonts w:asciiTheme="minorHAnsi" w:hAnsiTheme="minorHAnsi"/>
          <w:lang w:val="en-US"/>
        </w:rPr>
      </w:pPr>
      <w:r w:rsidRPr="00224E98">
        <w:rPr>
          <w:rFonts w:asciiTheme="minorHAnsi" w:hAnsiTheme="minorHAnsi"/>
        </w:rPr>
        <w:t xml:space="preserve">Gregersen, F. (2001) Basil </w:t>
      </w:r>
      <w:r w:rsidR="002E3F32" w:rsidRPr="00224E98">
        <w:rPr>
          <w:rFonts w:asciiTheme="minorHAnsi" w:hAnsiTheme="minorHAnsi"/>
        </w:rPr>
        <w:t>B</w:t>
      </w:r>
      <w:r w:rsidRPr="00224E98">
        <w:rPr>
          <w:rFonts w:asciiTheme="minorHAnsi" w:hAnsiTheme="minorHAnsi"/>
        </w:rPr>
        <w:t xml:space="preserve">ernstein i </w:t>
      </w:r>
      <w:r w:rsidR="002E3F32" w:rsidRPr="00224E98">
        <w:rPr>
          <w:rFonts w:asciiTheme="minorHAnsi" w:hAnsiTheme="minorHAnsi"/>
        </w:rPr>
        <w:t>D</w:t>
      </w:r>
      <w:r w:rsidRPr="00224E98">
        <w:rPr>
          <w:rFonts w:asciiTheme="minorHAnsi" w:hAnsiTheme="minorHAnsi"/>
        </w:rPr>
        <w:t>anmark, i</w:t>
      </w:r>
      <w:r w:rsidR="002E3F32" w:rsidRPr="00224E98">
        <w:rPr>
          <w:rFonts w:asciiTheme="minorHAnsi" w:hAnsiTheme="minorHAnsi"/>
        </w:rPr>
        <w:t>n</w:t>
      </w:r>
      <w:r w:rsidRPr="00224E98">
        <w:rPr>
          <w:rFonts w:asciiTheme="minorHAnsi" w:hAnsiTheme="minorHAnsi"/>
        </w:rPr>
        <w:t xml:space="preserve"> Chouliaraki, </w:t>
      </w:r>
      <w:r w:rsidR="002E3F32" w:rsidRPr="00224E98">
        <w:rPr>
          <w:rFonts w:asciiTheme="minorHAnsi" w:hAnsiTheme="minorHAnsi"/>
        </w:rPr>
        <w:t>L.</w:t>
      </w:r>
      <w:r w:rsidRPr="00224E98">
        <w:rPr>
          <w:rFonts w:asciiTheme="minorHAnsi" w:hAnsiTheme="minorHAnsi"/>
        </w:rPr>
        <w:t xml:space="preserve"> &amp; </w:t>
      </w:r>
      <w:r w:rsidR="002E3F32" w:rsidRPr="00224E98">
        <w:rPr>
          <w:rFonts w:asciiTheme="minorHAnsi" w:hAnsiTheme="minorHAnsi"/>
        </w:rPr>
        <w:t>B</w:t>
      </w:r>
      <w:r w:rsidRPr="00224E98">
        <w:rPr>
          <w:rFonts w:asciiTheme="minorHAnsi" w:hAnsiTheme="minorHAnsi"/>
        </w:rPr>
        <w:t xml:space="preserve">ayer, </w:t>
      </w:r>
      <w:r w:rsidR="002E3F32" w:rsidRPr="00224E98">
        <w:rPr>
          <w:rFonts w:asciiTheme="minorHAnsi" w:hAnsiTheme="minorHAnsi"/>
        </w:rPr>
        <w:t>M</w:t>
      </w:r>
      <w:r w:rsidRPr="00224E98">
        <w:rPr>
          <w:rFonts w:asciiTheme="minorHAnsi" w:hAnsiTheme="minorHAnsi"/>
        </w:rPr>
        <w:t>artin (</w:t>
      </w:r>
      <w:r w:rsidR="002E3F32" w:rsidRPr="00224E98">
        <w:rPr>
          <w:rFonts w:asciiTheme="minorHAnsi" w:hAnsiTheme="minorHAnsi"/>
        </w:rPr>
        <w:t>Eds</w:t>
      </w:r>
      <w:r w:rsidRPr="00224E98">
        <w:rPr>
          <w:rFonts w:asciiTheme="minorHAnsi" w:hAnsiTheme="minorHAnsi"/>
        </w:rPr>
        <w:t xml:space="preserve">): </w:t>
      </w:r>
      <w:r w:rsidRPr="00224E98">
        <w:rPr>
          <w:rFonts w:asciiTheme="minorHAnsi" w:hAnsiTheme="minorHAnsi"/>
          <w:i/>
        </w:rPr>
        <w:t xml:space="preserve">Basil </w:t>
      </w:r>
      <w:r w:rsidR="002E3F32" w:rsidRPr="00224E98">
        <w:rPr>
          <w:rFonts w:asciiTheme="minorHAnsi" w:hAnsiTheme="minorHAnsi"/>
          <w:i/>
        </w:rPr>
        <w:t>B</w:t>
      </w:r>
      <w:r w:rsidRPr="00224E98">
        <w:rPr>
          <w:rFonts w:asciiTheme="minorHAnsi" w:hAnsiTheme="minorHAnsi"/>
          <w:i/>
        </w:rPr>
        <w:t>ernstein</w:t>
      </w:r>
      <w:r w:rsidR="002E3F32" w:rsidRPr="00224E98">
        <w:rPr>
          <w:rFonts w:asciiTheme="minorHAnsi" w:hAnsiTheme="minorHAnsi"/>
          <w:i/>
        </w:rPr>
        <w:t>.</w:t>
      </w:r>
      <w:r w:rsidRPr="00224E98">
        <w:rPr>
          <w:rFonts w:asciiTheme="minorHAnsi" w:hAnsiTheme="minorHAnsi"/>
          <w:i/>
          <w:iCs/>
        </w:rPr>
        <w:t xml:space="preserve"> Pædagogik, </w:t>
      </w:r>
      <w:r w:rsidR="002E3F32" w:rsidRPr="00224E98">
        <w:rPr>
          <w:rFonts w:asciiTheme="minorHAnsi" w:hAnsiTheme="minorHAnsi"/>
          <w:i/>
          <w:iCs/>
        </w:rPr>
        <w:t>d</w:t>
      </w:r>
      <w:r w:rsidRPr="00224E98">
        <w:rPr>
          <w:rFonts w:asciiTheme="minorHAnsi" w:hAnsiTheme="minorHAnsi"/>
          <w:i/>
          <w:iCs/>
        </w:rPr>
        <w:t xml:space="preserve">iskurs </w:t>
      </w:r>
      <w:r w:rsidR="002E3F32" w:rsidRPr="00224E98">
        <w:rPr>
          <w:rFonts w:asciiTheme="minorHAnsi" w:hAnsiTheme="minorHAnsi"/>
          <w:i/>
          <w:iCs/>
        </w:rPr>
        <w:t>o</w:t>
      </w:r>
      <w:r w:rsidRPr="00224E98">
        <w:rPr>
          <w:rFonts w:asciiTheme="minorHAnsi" w:hAnsiTheme="minorHAnsi"/>
          <w:i/>
          <w:iCs/>
        </w:rPr>
        <w:t xml:space="preserve">g </w:t>
      </w:r>
      <w:r w:rsidR="002E3F32" w:rsidRPr="00224E98">
        <w:rPr>
          <w:rFonts w:asciiTheme="minorHAnsi" w:hAnsiTheme="minorHAnsi"/>
          <w:i/>
          <w:iCs/>
        </w:rPr>
        <w:t>m</w:t>
      </w:r>
      <w:r w:rsidRPr="00224E98">
        <w:rPr>
          <w:rFonts w:asciiTheme="minorHAnsi" w:hAnsiTheme="minorHAnsi"/>
          <w:i/>
          <w:iCs/>
        </w:rPr>
        <w:t>agt</w:t>
      </w:r>
      <w:r w:rsidR="002E3F32" w:rsidRPr="00224E98">
        <w:rPr>
          <w:rFonts w:asciiTheme="minorHAnsi" w:hAnsiTheme="minorHAnsi"/>
          <w:i/>
          <w:iCs/>
        </w:rPr>
        <w:t xml:space="preserve">. </w:t>
      </w:r>
      <w:r w:rsidR="002E3F32" w:rsidRPr="00224E98">
        <w:rPr>
          <w:rFonts w:asciiTheme="minorHAnsi" w:hAnsiTheme="minorHAnsi"/>
          <w:iCs/>
          <w:lang w:val="en-US"/>
        </w:rPr>
        <w:t>Akademisk Forlag</w:t>
      </w:r>
    </w:p>
    <w:p w14:paraId="4C4288A2" w14:textId="77777777" w:rsidR="004277D1" w:rsidRPr="006F7073" w:rsidRDefault="004277D1" w:rsidP="002E3F32">
      <w:pPr>
        <w:pStyle w:val="NormalWeb"/>
        <w:spacing w:before="0" w:beforeAutospacing="0" w:after="120" w:afterAutospacing="0"/>
        <w:ind w:hanging="22"/>
        <w:rPr>
          <w:rFonts w:asciiTheme="minorHAnsi" w:hAnsiTheme="minorHAnsi"/>
          <w:lang w:val="en-US"/>
        </w:rPr>
      </w:pPr>
      <w:r w:rsidRPr="00224E98">
        <w:rPr>
          <w:rFonts w:asciiTheme="minorHAnsi" w:hAnsiTheme="minorHAnsi"/>
          <w:lang w:val="en-US"/>
        </w:rPr>
        <w:t xml:space="preserve">Hattie, J. (2005) </w:t>
      </w:r>
      <w:proofErr w:type="gramStart"/>
      <w:r w:rsidRPr="00224E98">
        <w:rPr>
          <w:rFonts w:asciiTheme="minorHAnsi" w:hAnsiTheme="minorHAnsi"/>
          <w:lang w:val="en-US"/>
        </w:rPr>
        <w:t>What</w:t>
      </w:r>
      <w:proofErr w:type="gramEnd"/>
      <w:r w:rsidRPr="00224E98">
        <w:rPr>
          <w:rFonts w:asciiTheme="minorHAnsi" w:hAnsiTheme="minorHAnsi"/>
          <w:lang w:val="en-US"/>
        </w:rPr>
        <w:t xml:space="preserve"> is the nature of evidence that makes a difference to learning?</w:t>
      </w:r>
      <w:r w:rsidRPr="00224E98">
        <w:rPr>
          <w:rFonts w:asciiTheme="minorHAnsi" w:hAnsiTheme="minorHAnsi"/>
          <w:i/>
          <w:iCs/>
          <w:lang w:val="en-US"/>
        </w:rPr>
        <w:t xml:space="preserve"> </w:t>
      </w:r>
      <w:proofErr w:type="gramStart"/>
      <w:r w:rsidRPr="006F7073">
        <w:rPr>
          <w:rFonts w:asciiTheme="minorHAnsi" w:hAnsiTheme="minorHAnsi"/>
          <w:i/>
          <w:iCs/>
          <w:lang w:val="en-US"/>
        </w:rPr>
        <w:t xml:space="preserve">Australian Council for Educational Research, </w:t>
      </w:r>
      <w:r w:rsidRPr="006F7073">
        <w:rPr>
          <w:rFonts w:asciiTheme="minorHAnsi" w:hAnsiTheme="minorHAnsi"/>
          <w:lang w:val="en-US"/>
        </w:rPr>
        <w:t>7.</w:t>
      </w:r>
      <w:proofErr w:type="gramEnd"/>
      <w:r w:rsidRPr="006F7073">
        <w:rPr>
          <w:rFonts w:asciiTheme="minorHAnsi" w:hAnsiTheme="minorHAnsi"/>
          <w:lang w:val="en-US"/>
        </w:rPr>
        <w:t xml:space="preserve"> </w:t>
      </w:r>
    </w:p>
    <w:p w14:paraId="5CCD5AE3" w14:textId="2F85EE5A" w:rsidR="001C655B" w:rsidRPr="006F7073" w:rsidRDefault="001C655B" w:rsidP="006F7073">
      <w:pPr>
        <w:pStyle w:val="NormalWeb"/>
        <w:spacing w:before="0" w:beforeAutospacing="0" w:after="120" w:afterAutospacing="0"/>
        <w:ind w:hanging="22"/>
        <w:rPr>
          <w:rFonts w:asciiTheme="minorHAnsi" w:hAnsiTheme="minorHAnsi"/>
          <w:lang w:val="en-US"/>
        </w:rPr>
      </w:pPr>
      <w:r w:rsidRPr="006F7073">
        <w:rPr>
          <w:rFonts w:asciiTheme="minorHAnsi" w:hAnsiTheme="minorHAnsi"/>
          <w:lang w:val="en-US"/>
        </w:rPr>
        <w:t xml:space="preserve">Illeris, K. (2010): </w:t>
      </w:r>
      <w:proofErr w:type="gramStart"/>
      <w:r w:rsidRPr="006F7073">
        <w:rPr>
          <w:rFonts w:asciiTheme="minorHAnsi" w:hAnsiTheme="minorHAnsi"/>
          <w:lang w:val="en-US"/>
        </w:rPr>
        <w:t>Vi</w:t>
      </w:r>
      <w:proofErr w:type="gramEnd"/>
      <w:r w:rsidRPr="006F7073">
        <w:rPr>
          <w:rFonts w:asciiTheme="minorHAnsi" w:hAnsiTheme="minorHAnsi"/>
          <w:lang w:val="en-US"/>
        </w:rPr>
        <w:t xml:space="preserve"> </w:t>
      </w:r>
      <w:proofErr w:type="spellStart"/>
      <w:r w:rsidRPr="006F7073">
        <w:rPr>
          <w:rFonts w:asciiTheme="minorHAnsi" w:hAnsiTheme="minorHAnsi"/>
          <w:lang w:val="en-US"/>
        </w:rPr>
        <w:t>bør</w:t>
      </w:r>
      <w:proofErr w:type="spellEnd"/>
      <w:r w:rsidRPr="006F7073">
        <w:rPr>
          <w:rFonts w:asciiTheme="minorHAnsi" w:hAnsiTheme="minorHAnsi"/>
          <w:lang w:val="en-US"/>
        </w:rPr>
        <w:t xml:space="preserve"> </w:t>
      </w:r>
      <w:proofErr w:type="spellStart"/>
      <w:r w:rsidRPr="006F7073">
        <w:rPr>
          <w:rFonts w:asciiTheme="minorHAnsi" w:hAnsiTheme="minorHAnsi"/>
          <w:lang w:val="en-US"/>
        </w:rPr>
        <w:t>satse</w:t>
      </w:r>
      <w:proofErr w:type="spellEnd"/>
      <w:r w:rsidRPr="006F7073">
        <w:rPr>
          <w:rFonts w:asciiTheme="minorHAnsi" w:hAnsiTheme="minorHAnsi"/>
          <w:lang w:val="en-US"/>
        </w:rPr>
        <w:t xml:space="preserve"> </w:t>
      </w:r>
      <w:proofErr w:type="spellStart"/>
      <w:r w:rsidRPr="006F7073">
        <w:rPr>
          <w:rFonts w:asciiTheme="minorHAnsi" w:hAnsiTheme="minorHAnsi"/>
          <w:lang w:val="en-US"/>
        </w:rPr>
        <w:t>på</w:t>
      </w:r>
      <w:proofErr w:type="spellEnd"/>
      <w:r w:rsidRPr="006F7073">
        <w:rPr>
          <w:rFonts w:asciiTheme="minorHAnsi" w:hAnsiTheme="minorHAnsi"/>
          <w:lang w:val="en-US"/>
        </w:rPr>
        <w:t xml:space="preserve"> </w:t>
      </w:r>
      <w:proofErr w:type="spellStart"/>
      <w:r w:rsidRPr="006F7073">
        <w:rPr>
          <w:rFonts w:asciiTheme="minorHAnsi" w:hAnsiTheme="minorHAnsi"/>
          <w:lang w:val="en-US"/>
        </w:rPr>
        <w:t>rundkredspædagogigk</w:t>
      </w:r>
      <w:proofErr w:type="spellEnd"/>
      <w:r w:rsidRPr="006F7073">
        <w:rPr>
          <w:rFonts w:asciiTheme="minorHAnsi" w:hAnsiTheme="minorHAnsi"/>
          <w:lang w:val="en-US"/>
        </w:rPr>
        <w:t xml:space="preserve">. </w:t>
      </w:r>
      <w:proofErr w:type="spellStart"/>
      <w:r w:rsidRPr="006F7073">
        <w:rPr>
          <w:rFonts w:asciiTheme="minorHAnsi" w:hAnsiTheme="minorHAnsi"/>
          <w:lang w:val="en-US"/>
        </w:rPr>
        <w:t>Politiken</w:t>
      </w:r>
      <w:proofErr w:type="spellEnd"/>
      <w:r w:rsidRPr="006F7073">
        <w:rPr>
          <w:rFonts w:asciiTheme="minorHAnsi" w:hAnsiTheme="minorHAnsi"/>
          <w:lang w:val="en-US"/>
        </w:rPr>
        <w:t xml:space="preserve"> 10</w:t>
      </w:r>
      <w:r w:rsidR="006F7073">
        <w:rPr>
          <w:rFonts w:asciiTheme="minorHAnsi" w:hAnsiTheme="minorHAnsi"/>
          <w:lang w:val="en-US"/>
        </w:rPr>
        <w:t xml:space="preserve">-6-2015. Online 1-12-15: </w:t>
      </w:r>
      <w:r w:rsidRPr="006F7073">
        <w:rPr>
          <w:rFonts w:asciiTheme="minorHAnsi" w:hAnsiTheme="minorHAnsi"/>
          <w:lang w:val="en-US"/>
        </w:rPr>
        <w:t xml:space="preserve">http://politiken.dk/debat/kroniken/ECE989866/vi-boer-satse-paa-rundkredspaedagogik/ </w:t>
      </w:r>
    </w:p>
    <w:p w14:paraId="2F80943C" w14:textId="77777777" w:rsidR="004277D1" w:rsidRPr="00224E98" w:rsidRDefault="004277D1" w:rsidP="002E3F32">
      <w:pPr>
        <w:pStyle w:val="NormalWeb"/>
        <w:spacing w:before="0" w:beforeAutospacing="0" w:after="120" w:afterAutospacing="0"/>
        <w:ind w:left="448" w:hanging="448"/>
        <w:rPr>
          <w:rFonts w:asciiTheme="minorHAnsi" w:hAnsiTheme="minorHAnsi"/>
        </w:rPr>
      </w:pPr>
      <w:r w:rsidRPr="00224E98">
        <w:rPr>
          <w:rFonts w:asciiTheme="minorHAnsi" w:hAnsiTheme="minorHAnsi"/>
        </w:rPr>
        <w:t xml:space="preserve">Jensen, U. H., &amp; Jensen, T. P. (2005) </w:t>
      </w:r>
      <w:r w:rsidRPr="00224E98">
        <w:rPr>
          <w:rFonts w:asciiTheme="minorHAnsi" w:hAnsiTheme="minorHAnsi"/>
          <w:i/>
          <w:iCs/>
        </w:rPr>
        <w:t>Unge uden uddannelse</w:t>
      </w:r>
      <w:r w:rsidR="002E3F32" w:rsidRPr="00224E98">
        <w:rPr>
          <w:rFonts w:asciiTheme="minorHAnsi" w:hAnsiTheme="minorHAnsi"/>
          <w:i/>
          <w:iCs/>
        </w:rPr>
        <w:t>.</w:t>
      </w:r>
      <w:r w:rsidRPr="00224E98">
        <w:rPr>
          <w:rFonts w:asciiTheme="minorHAnsi" w:hAnsiTheme="minorHAnsi"/>
        </w:rPr>
        <w:t xml:space="preserve"> Socialforskningsinstituttet. </w:t>
      </w:r>
    </w:p>
    <w:p w14:paraId="72C3830F" w14:textId="77777777" w:rsidR="004277D1" w:rsidRPr="006F7073" w:rsidRDefault="004277D1" w:rsidP="002E3F32">
      <w:pPr>
        <w:pStyle w:val="NormalWeb"/>
        <w:spacing w:before="0" w:beforeAutospacing="0" w:after="120" w:afterAutospacing="0"/>
        <w:ind w:left="448" w:hanging="448"/>
        <w:rPr>
          <w:rFonts w:asciiTheme="minorHAnsi" w:hAnsiTheme="minorHAnsi"/>
        </w:rPr>
      </w:pPr>
      <w:r w:rsidRPr="00224E98">
        <w:rPr>
          <w:rFonts w:asciiTheme="minorHAnsi" w:hAnsiTheme="minorHAnsi"/>
        </w:rPr>
        <w:t>Jørgensen, C. H. (2010) Fra vekseluddannelse til udvekslingsuddannelse</w:t>
      </w:r>
      <w:r w:rsidR="002E3F32" w:rsidRPr="00224E98">
        <w:rPr>
          <w:rFonts w:asciiTheme="minorHAnsi" w:hAnsiTheme="minorHAnsi"/>
        </w:rPr>
        <w:t xml:space="preserve">. </w:t>
      </w:r>
      <w:r w:rsidR="002E3F32" w:rsidRPr="006F7073">
        <w:rPr>
          <w:rFonts w:asciiTheme="minorHAnsi" w:hAnsiTheme="minorHAnsi"/>
        </w:rPr>
        <w:t>Roskilde Universitet</w:t>
      </w:r>
      <w:r w:rsidRPr="006F7073">
        <w:rPr>
          <w:rFonts w:asciiTheme="minorHAnsi" w:hAnsiTheme="minorHAnsi"/>
        </w:rPr>
        <w:t xml:space="preserve"> </w:t>
      </w:r>
    </w:p>
    <w:p w14:paraId="3A1B0F2E" w14:textId="3B221993" w:rsidR="006F7073" w:rsidRPr="006A5550" w:rsidRDefault="00381FB5" w:rsidP="006F7073">
      <w:pPr>
        <w:pStyle w:val="NormalWeb"/>
        <w:spacing w:before="0" w:beforeAutospacing="0" w:after="120" w:afterAutospacing="0"/>
        <w:ind w:hanging="22"/>
        <w:rPr>
          <w:rFonts w:asciiTheme="minorHAnsi" w:hAnsiTheme="minorHAnsi"/>
        </w:rPr>
      </w:pPr>
      <w:r w:rsidRPr="006F7073">
        <w:rPr>
          <w:rFonts w:asciiTheme="minorHAnsi" w:hAnsiTheme="minorHAnsi"/>
        </w:rPr>
        <w:t>Kreiner, S</w:t>
      </w:r>
      <w:r w:rsidR="006F7073" w:rsidRPr="006F7073">
        <w:rPr>
          <w:rFonts w:asciiTheme="minorHAnsi" w:hAnsiTheme="minorHAnsi"/>
        </w:rPr>
        <w:t>.</w:t>
      </w:r>
      <w:r w:rsidRPr="006F7073">
        <w:rPr>
          <w:rFonts w:asciiTheme="minorHAnsi" w:hAnsiTheme="minorHAnsi"/>
        </w:rPr>
        <w:t xml:space="preserve"> (2011</w:t>
      </w:r>
      <w:r w:rsidR="00F00D47" w:rsidRPr="006F7073">
        <w:rPr>
          <w:rFonts w:asciiTheme="minorHAnsi" w:hAnsiTheme="minorHAnsi"/>
        </w:rPr>
        <w:t>)</w:t>
      </w:r>
      <w:r w:rsidRPr="006F7073">
        <w:rPr>
          <w:rFonts w:asciiTheme="minorHAnsi" w:hAnsiTheme="minorHAnsi"/>
        </w:rPr>
        <w:t xml:space="preserve"> </w:t>
      </w:r>
      <w:r w:rsidRPr="006F7073">
        <w:rPr>
          <w:rFonts w:asciiTheme="minorHAnsi" w:hAnsiTheme="minorHAnsi"/>
          <w:i/>
        </w:rPr>
        <w:t>Analyse af PISA data fra 2006</w:t>
      </w:r>
      <w:r w:rsidRPr="006F7073">
        <w:rPr>
          <w:rFonts w:asciiTheme="minorHAnsi" w:hAnsiTheme="minorHAnsi"/>
        </w:rPr>
        <w:t xml:space="preserve">. </w:t>
      </w:r>
      <w:r w:rsidR="006F7073" w:rsidRPr="006A5550">
        <w:rPr>
          <w:rFonts w:asciiTheme="minorHAnsi" w:hAnsiTheme="minorHAnsi"/>
        </w:rPr>
        <w:t xml:space="preserve">Online 1-2-2015: </w:t>
      </w:r>
      <w:hyperlink r:id="rId12" w:history="1">
        <w:r w:rsidRPr="006A5550">
          <w:t>http://www.dr.dk/NR/rdonlyres/491D9B95-17B2-452E-97DE-1B674F25CA63/2731103/Analyse_af_PISA_data__version_3.pdf</w:t>
        </w:r>
      </w:hyperlink>
      <w:r w:rsidRPr="006A5550">
        <w:rPr>
          <w:rFonts w:asciiTheme="minorHAnsi" w:hAnsiTheme="minorHAnsi"/>
        </w:rPr>
        <w:t xml:space="preserve">  </w:t>
      </w:r>
    </w:p>
    <w:p w14:paraId="00FD7687" w14:textId="63713091" w:rsidR="0067007C" w:rsidRDefault="0067007C" w:rsidP="002E3F32">
      <w:pPr>
        <w:pStyle w:val="NormalWeb"/>
        <w:spacing w:before="0" w:beforeAutospacing="0" w:after="120" w:afterAutospacing="0"/>
        <w:ind w:hanging="22"/>
        <w:rPr>
          <w:rFonts w:asciiTheme="minorHAnsi" w:hAnsiTheme="minorHAnsi"/>
          <w:lang w:val="en-US"/>
        </w:rPr>
      </w:pPr>
      <w:r w:rsidRPr="006F7073">
        <w:rPr>
          <w:rFonts w:asciiTheme="minorHAnsi" w:hAnsiTheme="minorHAnsi"/>
          <w:lang w:val="en-US"/>
        </w:rPr>
        <w:t>Kilpatrick, W</w:t>
      </w:r>
      <w:r w:rsidRPr="0067007C">
        <w:rPr>
          <w:rFonts w:asciiTheme="minorHAnsi" w:hAnsiTheme="minorHAnsi"/>
          <w:lang w:val="en-US"/>
        </w:rPr>
        <w:t xml:space="preserve">.H. (1918) </w:t>
      </w:r>
      <w:proofErr w:type="gramStart"/>
      <w:r w:rsidRPr="006F7073">
        <w:rPr>
          <w:rFonts w:asciiTheme="minorHAnsi" w:hAnsiTheme="minorHAnsi"/>
          <w:i/>
          <w:lang w:val="en-US"/>
        </w:rPr>
        <w:t>The</w:t>
      </w:r>
      <w:proofErr w:type="gramEnd"/>
      <w:r w:rsidRPr="006F7073">
        <w:rPr>
          <w:rFonts w:asciiTheme="minorHAnsi" w:hAnsiTheme="minorHAnsi"/>
          <w:i/>
          <w:lang w:val="en-US"/>
        </w:rPr>
        <w:t xml:space="preserve"> Project Method: The Use of the Purposeful Act in the Educative Process</w:t>
      </w:r>
      <w:r w:rsidRPr="0067007C">
        <w:rPr>
          <w:rFonts w:asciiTheme="minorHAnsi" w:hAnsiTheme="minorHAnsi"/>
          <w:lang w:val="en-US"/>
        </w:rPr>
        <w:t xml:space="preserve">. </w:t>
      </w:r>
      <w:proofErr w:type="gramStart"/>
      <w:r w:rsidRPr="0067007C">
        <w:rPr>
          <w:rFonts w:asciiTheme="minorHAnsi" w:hAnsiTheme="minorHAnsi"/>
          <w:lang w:val="en-US"/>
        </w:rPr>
        <w:t>Teachers College, Columbia University.</w:t>
      </w:r>
      <w:proofErr w:type="gramEnd"/>
    </w:p>
    <w:p w14:paraId="5EB66ADD" w14:textId="77777777" w:rsidR="004277D1" w:rsidRPr="00224E98" w:rsidRDefault="004277D1" w:rsidP="002E3F32">
      <w:pPr>
        <w:pStyle w:val="NormalWeb"/>
        <w:spacing w:before="0" w:beforeAutospacing="0" w:after="120" w:afterAutospacing="0"/>
        <w:ind w:hanging="22"/>
        <w:rPr>
          <w:rFonts w:asciiTheme="minorHAnsi" w:hAnsiTheme="minorHAnsi"/>
          <w:lang w:val="en-US"/>
        </w:rPr>
      </w:pPr>
      <w:r w:rsidRPr="00224E98">
        <w:rPr>
          <w:rFonts w:asciiTheme="minorHAnsi" w:hAnsiTheme="minorHAnsi"/>
          <w:lang w:val="en-US"/>
        </w:rPr>
        <w:t xml:space="preserve">Lave, J., &amp; Wenger, E. (1991) </w:t>
      </w:r>
      <w:r w:rsidRPr="00224E98">
        <w:rPr>
          <w:rFonts w:asciiTheme="minorHAnsi" w:hAnsiTheme="minorHAnsi"/>
          <w:i/>
          <w:iCs/>
          <w:lang w:val="en-US"/>
        </w:rPr>
        <w:t>Situated learning: Legitimate peripheral participation</w:t>
      </w:r>
      <w:r w:rsidRPr="00224E98">
        <w:rPr>
          <w:rFonts w:asciiTheme="minorHAnsi" w:hAnsiTheme="minorHAnsi"/>
          <w:lang w:val="en-US"/>
        </w:rPr>
        <w:t xml:space="preserve"> Cambridge </w:t>
      </w:r>
      <w:r w:rsidR="007548B1">
        <w:rPr>
          <w:rFonts w:asciiTheme="minorHAnsi" w:hAnsiTheme="minorHAnsi"/>
          <w:lang w:val="en-US"/>
        </w:rPr>
        <w:t>U</w:t>
      </w:r>
      <w:r w:rsidRPr="00224E98">
        <w:rPr>
          <w:rFonts w:asciiTheme="minorHAnsi" w:hAnsiTheme="minorHAnsi"/>
          <w:lang w:val="en-US"/>
        </w:rPr>
        <w:t xml:space="preserve">niversity </w:t>
      </w:r>
      <w:r w:rsidR="007548B1">
        <w:rPr>
          <w:rFonts w:asciiTheme="minorHAnsi" w:hAnsiTheme="minorHAnsi"/>
          <w:lang w:val="en-US"/>
        </w:rPr>
        <w:t>P</w:t>
      </w:r>
      <w:r w:rsidRPr="00224E98">
        <w:rPr>
          <w:rFonts w:asciiTheme="minorHAnsi" w:hAnsiTheme="minorHAnsi"/>
          <w:lang w:val="en-US"/>
        </w:rPr>
        <w:t xml:space="preserve">ress. </w:t>
      </w:r>
    </w:p>
    <w:p w14:paraId="172E9B05" w14:textId="77777777" w:rsidR="004277D1" w:rsidRPr="00224E98" w:rsidRDefault="004277D1" w:rsidP="002E3F32">
      <w:pPr>
        <w:pStyle w:val="NormalWeb"/>
        <w:spacing w:before="0" w:beforeAutospacing="0" w:after="120" w:afterAutospacing="0"/>
        <w:ind w:hanging="22"/>
        <w:rPr>
          <w:rFonts w:asciiTheme="minorHAnsi" w:hAnsiTheme="minorHAnsi"/>
          <w:lang w:val="en-US"/>
        </w:rPr>
      </w:pPr>
      <w:r w:rsidRPr="00224E98">
        <w:rPr>
          <w:rFonts w:asciiTheme="minorHAnsi" w:hAnsiTheme="minorHAnsi"/>
          <w:lang w:val="en-US"/>
        </w:rPr>
        <w:t>Louw, A. V. (2013a) Pedagogical practices in VET: Between direct and indirect teacher approaches,</w:t>
      </w:r>
      <w:r w:rsidRPr="00224E98">
        <w:rPr>
          <w:rFonts w:asciiTheme="minorHAnsi" w:hAnsiTheme="minorHAnsi"/>
          <w:i/>
          <w:iCs/>
          <w:lang w:val="en-US"/>
        </w:rPr>
        <w:t xml:space="preserve"> Nordic Journal of Vocational Education and Training, </w:t>
      </w:r>
      <w:r w:rsidRPr="00224E98">
        <w:rPr>
          <w:rFonts w:asciiTheme="minorHAnsi" w:hAnsiTheme="minorHAnsi"/>
          <w:lang w:val="en-US"/>
        </w:rPr>
        <w:t xml:space="preserve">3, 1-12. </w:t>
      </w:r>
    </w:p>
    <w:p w14:paraId="71FDD685" w14:textId="77777777" w:rsidR="004277D1" w:rsidRPr="001A6654" w:rsidRDefault="004277D1" w:rsidP="002E3F32">
      <w:pPr>
        <w:pStyle w:val="NormalWeb"/>
        <w:spacing w:before="0" w:beforeAutospacing="0" w:after="120" w:afterAutospacing="0"/>
        <w:ind w:hanging="22"/>
        <w:rPr>
          <w:rFonts w:asciiTheme="minorHAnsi" w:hAnsiTheme="minorHAnsi"/>
          <w:lang w:val="en-US"/>
        </w:rPr>
      </w:pPr>
      <w:r w:rsidRPr="00224E98">
        <w:rPr>
          <w:rFonts w:asciiTheme="minorHAnsi" w:hAnsiTheme="minorHAnsi"/>
        </w:rPr>
        <w:t xml:space="preserve">Louw, A. V. (2013b) </w:t>
      </w:r>
      <w:r w:rsidRPr="00224E98">
        <w:rPr>
          <w:rFonts w:asciiTheme="minorHAnsi" w:hAnsiTheme="minorHAnsi"/>
          <w:i/>
          <w:iCs/>
        </w:rPr>
        <w:t xml:space="preserve">Indgang og adgang på </w:t>
      </w:r>
      <w:proofErr w:type="gramStart"/>
      <w:r w:rsidRPr="00224E98">
        <w:rPr>
          <w:rFonts w:asciiTheme="minorHAnsi" w:hAnsiTheme="minorHAnsi"/>
          <w:i/>
          <w:iCs/>
        </w:rPr>
        <w:t>erhvervsuddannelserne :</w:t>
      </w:r>
      <w:proofErr w:type="gramEnd"/>
      <w:r w:rsidRPr="00224E98">
        <w:rPr>
          <w:rFonts w:asciiTheme="minorHAnsi" w:hAnsiTheme="minorHAnsi"/>
          <w:i/>
          <w:iCs/>
        </w:rPr>
        <w:t xml:space="preserve"> Analyse af tømrerelevernes muligheder og udfordringer i mødet med faget, lærerne og de pædagogiske praksisser på grundforløbet</w:t>
      </w:r>
      <w:r w:rsidR="002E3F32" w:rsidRPr="00224E98">
        <w:rPr>
          <w:rFonts w:asciiTheme="minorHAnsi" w:hAnsiTheme="minorHAnsi"/>
          <w:i/>
          <w:iCs/>
        </w:rPr>
        <w:t xml:space="preserve">. </w:t>
      </w:r>
      <w:r w:rsidR="002E3F32" w:rsidRPr="001A6654">
        <w:rPr>
          <w:rFonts w:asciiTheme="minorHAnsi" w:hAnsiTheme="minorHAnsi"/>
          <w:lang w:val="en-US"/>
        </w:rPr>
        <w:t>PhD dissertation,</w:t>
      </w:r>
      <w:r w:rsidRPr="001A6654">
        <w:rPr>
          <w:rFonts w:asciiTheme="minorHAnsi" w:hAnsiTheme="minorHAnsi"/>
          <w:lang w:val="en-US"/>
        </w:rPr>
        <w:t xml:space="preserve"> </w:t>
      </w:r>
      <w:proofErr w:type="spellStart"/>
      <w:r w:rsidRPr="001A6654">
        <w:rPr>
          <w:rFonts w:asciiTheme="minorHAnsi" w:hAnsiTheme="minorHAnsi"/>
          <w:lang w:val="en-US"/>
        </w:rPr>
        <w:t>Institut</w:t>
      </w:r>
      <w:proofErr w:type="spellEnd"/>
      <w:r w:rsidRPr="001A6654">
        <w:rPr>
          <w:rFonts w:asciiTheme="minorHAnsi" w:hAnsiTheme="minorHAnsi"/>
          <w:lang w:val="en-US"/>
        </w:rPr>
        <w:t xml:space="preserve"> for </w:t>
      </w:r>
      <w:proofErr w:type="spellStart"/>
      <w:r w:rsidRPr="001A6654">
        <w:rPr>
          <w:rFonts w:asciiTheme="minorHAnsi" w:hAnsiTheme="minorHAnsi"/>
          <w:lang w:val="en-US"/>
        </w:rPr>
        <w:t>Uddannelse</w:t>
      </w:r>
      <w:proofErr w:type="spellEnd"/>
      <w:r w:rsidRPr="001A6654">
        <w:rPr>
          <w:rFonts w:asciiTheme="minorHAnsi" w:hAnsiTheme="minorHAnsi"/>
          <w:lang w:val="en-US"/>
        </w:rPr>
        <w:t xml:space="preserve"> </w:t>
      </w:r>
      <w:proofErr w:type="gramStart"/>
      <w:r w:rsidRPr="001A6654">
        <w:rPr>
          <w:rFonts w:asciiTheme="minorHAnsi" w:hAnsiTheme="minorHAnsi"/>
          <w:lang w:val="en-US"/>
        </w:rPr>
        <w:t>og</w:t>
      </w:r>
      <w:proofErr w:type="gramEnd"/>
      <w:r w:rsidRPr="001A6654">
        <w:rPr>
          <w:rFonts w:asciiTheme="minorHAnsi" w:hAnsiTheme="minorHAnsi"/>
          <w:lang w:val="en-US"/>
        </w:rPr>
        <w:t xml:space="preserve"> Pædagogik, Aarhus Universitet. </w:t>
      </w:r>
    </w:p>
    <w:p w14:paraId="321BA600" w14:textId="77777777" w:rsidR="001A6654" w:rsidRPr="00224E98" w:rsidRDefault="001A6654" w:rsidP="001A6654">
      <w:pPr>
        <w:pStyle w:val="NormalWeb"/>
        <w:spacing w:before="0" w:beforeAutospacing="0" w:after="120" w:afterAutospacing="0"/>
        <w:ind w:hanging="22"/>
        <w:rPr>
          <w:rFonts w:asciiTheme="minorHAnsi" w:hAnsiTheme="minorHAnsi"/>
          <w:lang w:val="en-US"/>
        </w:rPr>
      </w:pPr>
      <w:r w:rsidRPr="00224E98">
        <w:rPr>
          <w:rFonts w:asciiTheme="minorHAnsi" w:hAnsiTheme="minorHAnsi"/>
          <w:lang w:val="en-US"/>
        </w:rPr>
        <w:t>Louw, A. V., &amp; Jensen, U. H. (2013) In search of learning opportunities for all - exploring learning environments in upper secondary schools,</w:t>
      </w:r>
      <w:r w:rsidRPr="00224E98">
        <w:rPr>
          <w:rFonts w:asciiTheme="minorHAnsi" w:hAnsiTheme="minorHAnsi"/>
          <w:i/>
          <w:iCs/>
          <w:lang w:val="en-US"/>
        </w:rPr>
        <w:t xml:space="preserve"> Designs for Learning, </w:t>
      </w:r>
      <w:r w:rsidRPr="00224E98">
        <w:rPr>
          <w:rFonts w:asciiTheme="minorHAnsi" w:hAnsiTheme="minorHAnsi"/>
          <w:lang w:val="en-US"/>
        </w:rPr>
        <w:t xml:space="preserve">6(1-2), 94-129. </w:t>
      </w:r>
    </w:p>
    <w:p w14:paraId="0864C6AF" w14:textId="3B46ADEE" w:rsidR="004516EA" w:rsidRDefault="004516EA" w:rsidP="00EB6309">
      <w:pPr>
        <w:pStyle w:val="NormalWeb"/>
        <w:spacing w:before="0" w:beforeAutospacing="0" w:after="120" w:afterAutospacing="0"/>
        <w:ind w:hanging="22"/>
        <w:rPr>
          <w:rFonts w:asciiTheme="minorHAnsi" w:hAnsiTheme="minorHAnsi"/>
        </w:rPr>
      </w:pPr>
      <w:proofErr w:type="spellStart"/>
      <w:r w:rsidRPr="006A5550">
        <w:rPr>
          <w:rFonts w:asciiTheme="minorHAnsi" w:hAnsiTheme="minorHAnsi"/>
          <w:lang w:val="en-US"/>
        </w:rPr>
        <w:t>Nickols</w:t>
      </w:r>
      <w:proofErr w:type="spellEnd"/>
      <w:r w:rsidRPr="006A5550">
        <w:rPr>
          <w:rFonts w:asciiTheme="minorHAnsi" w:hAnsiTheme="minorHAnsi"/>
          <w:lang w:val="en-US"/>
        </w:rPr>
        <w:t xml:space="preserve">, F. (2000): The Knowledge in Knowledge Management. </w:t>
      </w:r>
      <w:r w:rsidRPr="006F7073">
        <w:rPr>
          <w:rFonts w:asciiTheme="minorHAnsi" w:hAnsiTheme="minorHAnsi"/>
          <w:lang w:val="en-US"/>
        </w:rPr>
        <w:t xml:space="preserve">In </w:t>
      </w:r>
      <w:proofErr w:type="spellStart"/>
      <w:r w:rsidRPr="006F7073">
        <w:rPr>
          <w:rFonts w:asciiTheme="minorHAnsi" w:hAnsiTheme="minorHAnsi"/>
          <w:lang w:val="en-US"/>
        </w:rPr>
        <w:t>Cortada</w:t>
      </w:r>
      <w:proofErr w:type="spellEnd"/>
      <w:r w:rsidRPr="006F7073">
        <w:rPr>
          <w:rFonts w:asciiTheme="minorHAnsi" w:hAnsiTheme="minorHAnsi"/>
          <w:lang w:val="en-US"/>
        </w:rPr>
        <w:t xml:space="preserve">, J.W. </w:t>
      </w:r>
      <w:r w:rsidR="006F7073">
        <w:rPr>
          <w:rFonts w:asciiTheme="minorHAnsi" w:hAnsiTheme="minorHAnsi"/>
          <w:lang w:val="en-US"/>
        </w:rPr>
        <w:t>&amp;</w:t>
      </w:r>
      <w:r w:rsidRPr="006F7073">
        <w:rPr>
          <w:rFonts w:asciiTheme="minorHAnsi" w:hAnsiTheme="minorHAnsi"/>
          <w:lang w:val="en-US"/>
        </w:rPr>
        <w:t xml:space="preserve"> </w:t>
      </w:r>
      <w:r w:rsidR="006F7073">
        <w:rPr>
          <w:rFonts w:asciiTheme="minorHAnsi" w:hAnsiTheme="minorHAnsi"/>
          <w:lang w:val="en-US"/>
        </w:rPr>
        <w:t xml:space="preserve">Woods, </w:t>
      </w:r>
      <w:r w:rsidRPr="006F7073">
        <w:rPr>
          <w:rFonts w:asciiTheme="minorHAnsi" w:hAnsiTheme="minorHAnsi"/>
          <w:lang w:val="en-US"/>
        </w:rPr>
        <w:t>J.A. (2000)</w:t>
      </w:r>
      <w:r w:rsidR="006F7073">
        <w:rPr>
          <w:rFonts w:asciiTheme="minorHAnsi" w:hAnsiTheme="minorHAnsi"/>
          <w:lang w:val="en-US"/>
        </w:rPr>
        <w:t>,</w:t>
      </w:r>
      <w:r w:rsidRPr="006F7073">
        <w:rPr>
          <w:rFonts w:asciiTheme="minorHAnsi" w:hAnsiTheme="minorHAnsi"/>
          <w:lang w:val="en-US"/>
        </w:rPr>
        <w:t xml:space="preserve"> </w:t>
      </w:r>
      <w:proofErr w:type="gramStart"/>
      <w:r w:rsidRPr="006F7073">
        <w:rPr>
          <w:rFonts w:asciiTheme="minorHAnsi" w:hAnsiTheme="minorHAnsi"/>
          <w:i/>
          <w:lang w:val="en-US"/>
        </w:rPr>
        <w:t>The</w:t>
      </w:r>
      <w:proofErr w:type="gramEnd"/>
      <w:r w:rsidRPr="006F7073">
        <w:rPr>
          <w:rFonts w:asciiTheme="minorHAnsi" w:hAnsiTheme="minorHAnsi"/>
          <w:i/>
          <w:lang w:val="en-US"/>
        </w:rPr>
        <w:t xml:space="preserve"> Knowledge Management Yearbook 2000-2001</w:t>
      </w:r>
      <w:r w:rsidRPr="006F7073">
        <w:rPr>
          <w:rFonts w:asciiTheme="minorHAnsi" w:hAnsiTheme="minorHAnsi"/>
          <w:lang w:val="en-US"/>
        </w:rPr>
        <w:t xml:space="preserve">. </w:t>
      </w:r>
      <w:proofErr w:type="spellStart"/>
      <w:r>
        <w:rPr>
          <w:rFonts w:asciiTheme="minorHAnsi" w:hAnsiTheme="minorHAnsi"/>
        </w:rPr>
        <w:t>Butterworth</w:t>
      </w:r>
      <w:proofErr w:type="spellEnd"/>
      <w:r>
        <w:rPr>
          <w:rFonts w:asciiTheme="minorHAnsi" w:hAnsiTheme="minorHAnsi"/>
        </w:rPr>
        <w:t>-Heinemann, USA.</w:t>
      </w:r>
    </w:p>
    <w:p w14:paraId="69BC273D" w14:textId="77777777" w:rsidR="00EB6309" w:rsidRPr="00224E98" w:rsidRDefault="00EB6309" w:rsidP="00EB6309">
      <w:pPr>
        <w:pStyle w:val="NormalWeb"/>
        <w:spacing w:before="0" w:beforeAutospacing="0" w:after="120" w:afterAutospacing="0"/>
        <w:ind w:hanging="22"/>
        <w:rPr>
          <w:rFonts w:asciiTheme="minorHAnsi" w:hAnsiTheme="minorHAnsi"/>
          <w:lang w:val="en-US"/>
        </w:rPr>
      </w:pPr>
      <w:r w:rsidRPr="00224E98">
        <w:rPr>
          <w:rFonts w:asciiTheme="minorHAnsi" w:hAnsiTheme="minorHAnsi"/>
        </w:rPr>
        <w:lastRenderedPageBreak/>
        <w:t xml:space="preserve">Nielsen, K. (2004) Reform 2000 og sammenhængen mellem skole og praktik, in </w:t>
      </w:r>
      <w:r w:rsidRPr="00224E98">
        <w:rPr>
          <w:rFonts w:asciiTheme="minorHAnsi" w:hAnsiTheme="minorHAnsi"/>
          <w:i/>
          <w:iCs/>
        </w:rPr>
        <w:t xml:space="preserve">Samfundsborger - </w:t>
      </w:r>
      <w:proofErr w:type="gramStart"/>
      <w:r w:rsidRPr="00224E98">
        <w:rPr>
          <w:rFonts w:asciiTheme="minorHAnsi" w:hAnsiTheme="minorHAnsi"/>
          <w:i/>
          <w:iCs/>
        </w:rPr>
        <w:t>medarbejder :</w:t>
      </w:r>
      <w:proofErr w:type="gramEnd"/>
      <w:r w:rsidRPr="00224E98">
        <w:rPr>
          <w:rFonts w:asciiTheme="minorHAnsi" w:hAnsiTheme="minorHAnsi"/>
          <w:i/>
          <w:iCs/>
        </w:rPr>
        <w:t xml:space="preserve"> Debat om de erhvervsrelaterede uddannelser</w:t>
      </w:r>
      <w:r w:rsidRPr="00224E98">
        <w:rPr>
          <w:rFonts w:asciiTheme="minorHAnsi" w:hAnsiTheme="minorHAnsi"/>
        </w:rPr>
        <w:t xml:space="preserve">. </w:t>
      </w:r>
      <w:r w:rsidRPr="00224E98">
        <w:rPr>
          <w:rFonts w:asciiTheme="minorHAnsi" w:hAnsiTheme="minorHAnsi"/>
          <w:lang w:val="en-US"/>
        </w:rPr>
        <w:t xml:space="preserve">Odense: Erhvervsskolernes Forlag. </w:t>
      </w:r>
    </w:p>
    <w:p w14:paraId="723A35CF" w14:textId="77777777" w:rsidR="001A6654" w:rsidRPr="00224E98" w:rsidRDefault="001A6654" w:rsidP="001A6654">
      <w:pPr>
        <w:pStyle w:val="NormalWeb"/>
        <w:spacing w:before="0" w:beforeAutospacing="0" w:after="120" w:afterAutospacing="0"/>
        <w:ind w:hanging="23"/>
        <w:rPr>
          <w:rFonts w:asciiTheme="minorHAnsi" w:hAnsiTheme="minorHAnsi"/>
          <w:lang w:val="en-US"/>
        </w:rPr>
      </w:pPr>
      <w:r w:rsidRPr="00224E98">
        <w:rPr>
          <w:rFonts w:asciiTheme="minorHAnsi" w:hAnsiTheme="minorHAnsi"/>
          <w:lang w:val="en-US"/>
        </w:rPr>
        <w:t xml:space="preserve">Nielsen, K. (2009) </w:t>
      </w:r>
      <w:proofErr w:type="gramStart"/>
      <w:r w:rsidRPr="00224E98">
        <w:rPr>
          <w:rFonts w:asciiTheme="minorHAnsi" w:hAnsiTheme="minorHAnsi"/>
          <w:lang w:val="en-US"/>
        </w:rPr>
        <w:t>A</w:t>
      </w:r>
      <w:proofErr w:type="gramEnd"/>
      <w:r w:rsidRPr="00224E98">
        <w:rPr>
          <w:rFonts w:asciiTheme="minorHAnsi" w:hAnsiTheme="minorHAnsi"/>
          <w:lang w:val="en-US"/>
        </w:rPr>
        <w:t xml:space="preserve"> collaborative perspective on learning transfer,</w:t>
      </w:r>
      <w:r w:rsidRPr="00224E98">
        <w:rPr>
          <w:rFonts w:asciiTheme="minorHAnsi" w:hAnsiTheme="minorHAnsi"/>
          <w:i/>
          <w:iCs/>
          <w:lang w:val="en-US"/>
        </w:rPr>
        <w:t xml:space="preserve"> Journal of Workplace Learning, </w:t>
      </w:r>
      <w:r w:rsidRPr="00224E98">
        <w:rPr>
          <w:rFonts w:asciiTheme="minorHAnsi" w:hAnsiTheme="minorHAnsi"/>
          <w:lang w:val="en-US"/>
        </w:rPr>
        <w:t xml:space="preserve">21(1), 58-70. </w:t>
      </w:r>
    </w:p>
    <w:p w14:paraId="3E2F408F" w14:textId="77777777" w:rsidR="002536AB" w:rsidRDefault="004277D1" w:rsidP="002536AB">
      <w:pPr>
        <w:pStyle w:val="NormalWeb"/>
        <w:spacing w:before="0" w:beforeAutospacing="0" w:after="120" w:afterAutospacing="0"/>
        <w:rPr>
          <w:rFonts w:asciiTheme="minorHAnsi" w:hAnsiTheme="minorHAnsi"/>
          <w:lang w:val="en-US"/>
        </w:rPr>
      </w:pPr>
      <w:proofErr w:type="gramStart"/>
      <w:r w:rsidRPr="00224E98">
        <w:rPr>
          <w:rFonts w:asciiTheme="minorHAnsi" w:hAnsiTheme="minorHAnsi"/>
          <w:lang w:val="en-US"/>
        </w:rPr>
        <w:t>Rasmussen, P. (2014) Lifelong learning policy in two national contexts,</w:t>
      </w:r>
      <w:r w:rsidRPr="00224E98">
        <w:rPr>
          <w:rFonts w:asciiTheme="minorHAnsi" w:hAnsiTheme="minorHAnsi"/>
          <w:i/>
          <w:iCs/>
          <w:lang w:val="en-US"/>
        </w:rPr>
        <w:t xml:space="preserve"> International Journal of </w:t>
      </w:r>
      <w:r w:rsidRPr="002536AB">
        <w:rPr>
          <w:rFonts w:asciiTheme="minorHAnsi" w:hAnsiTheme="minorHAnsi"/>
          <w:i/>
          <w:lang w:val="en-US"/>
        </w:rPr>
        <w:t>Lifelong Education</w:t>
      </w:r>
      <w:r w:rsidRPr="002536AB">
        <w:rPr>
          <w:rFonts w:asciiTheme="minorHAnsi" w:hAnsiTheme="minorHAnsi"/>
          <w:lang w:val="en-US"/>
        </w:rPr>
        <w:t xml:space="preserve">, </w:t>
      </w:r>
      <w:r w:rsidRPr="00224E98">
        <w:rPr>
          <w:rFonts w:asciiTheme="minorHAnsi" w:hAnsiTheme="minorHAnsi"/>
          <w:lang w:val="en-US"/>
        </w:rPr>
        <w:t>33(3), 326-342.</w:t>
      </w:r>
      <w:proofErr w:type="gramEnd"/>
      <w:r w:rsidRPr="00224E98">
        <w:rPr>
          <w:rFonts w:asciiTheme="minorHAnsi" w:hAnsiTheme="minorHAnsi"/>
          <w:lang w:val="en-US"/>
        </w:rPr>
        <w:t xml:space="preserve"> </w:t>
      </w:r>
    </w:p>
    <w:p w14:paraId="35CC7941" w14:textId="77777777" w:rsidR="002536AB" w:rsidRPr="001A6654" w:rsidRDefault="002536AB" w:rsidP="002536AB">
      <w:pPr>
        <w:pStyle w:val="NormalWeb"/>
        <w:spacing w:before="0" w:beforeAutospacing="0" w:after="120" w:afterAutospacing="0"/>
        <w:rPr>
          <w:rFonts w:asciiTheme="minorHAnsi" w:hAnsiTheme="minorHAnsi"/>
          <w:lang w:val="en-US"/>
        </w:rPr>
      </w:pPr>
      <w:r w:rsidRPr="001A6654">
        <w:rPr>
          <w:rFonts w:asciiTheme="minorHAnsi" w:hAnsiTheme="minorHAnsi"/>
          <w:lang w:val="en-US"/>
        </w:rPr>
        <w:t>Rasmussen</w:t>
      </w:r>
      <w:r w:rsidR="001A6654">
        <w:rPr>
          <w:rFonts w:asciiTheme="minorHAnsi" w:hAnsiTheme="minorHAnsi"/>
          <w:lang w:val="en-US"/>
        </w:rPr>
        <w:t xml:space="preserve"> &amp;</w:t>
      </w:r>
      <w:r w:rsidRPr="001A6654">
        <w:rPr>
          <w:rFonts w:asciiTheme="minorHAnsi" w:hAnsiTheme="minorHAnsi"/>
          <w:lang w:val="en-US"/>
        </w:rPr>
        <w:t xml:space="preserve"> Jensen (2014): </w:t>
      </w:r>
      <w:r w:rsidRPr="001A6654">
        <w:rPr>
          <w:rFonts w:asciiTheme="minorHAnsi" w:hAnsiTheme="minorHAnsi"/>
          <w:i/>
          <w:lang w:val="en-US"/>
        </w:rPr>
        <w:t>NESET country report on Denmark</w:t>
      </w:r>
      <w:r w:rsidRPr="001A6654">
        <w:rPr>
          <w:rFonts w:asciiTheme="minorHAnsi" w:hAnsiTheme="minorHAnsi"/>
          <w:lang w:val="en-US"/>
        </w:rPr>
        <w:t xml:space="preserve"> (in </w:t>
      </w:r>
      <w:proofErr w:type="spellStart"/>
      <w:r w:rsidRPr="001A6654">
        <w:rPr>
          <w:rFonts w:asciiTheme="minorHAnsi" w:hAnsiTheme="minorHAnsi"/>
          <w:lang w:val="en-US"/>
        </w:rPr>
        <w:t>proces</w:t>
      </w:r>
      <w:proofErr w:type="spellEnd"/>
      <w:r w:rsidRPr="001A6654">
        <w:rPr>
          <w:rFonts w:asciiTheme="minorHAnsi" w:hAnsiTheme="minorHAnsi"/>
          <w:lang w:val="en-US"/>
        </w:rPr>
        <w:t>)</w:t>
      </w:r>
    </w:p>
    <w:p w14:paraId="00547B26" w14:textId="77777777" w:rsidR="004277D1" w:rsidRPr="002536AB" w:rsidRDefault="002E3F32" w:rsidP="002536AB">
      <w:pPr>
        <w:pStyle w:val="NormalWeb"/>
        <w:spacing w:before="0" w:beforeAutospacing="0" w:after="120" w:afterAutospacing="0"/>
        <w:rPr>
          <w:rFonts w:asciiTheme="minorHAnsi" w:hAnsiTheme="minorHAnsi"/>
        </w:rPr>
      </w:pPr>
      <w:r w:rsidRPr="002536AB">
        <w:rPr>
          <w:rFonts w:asciiTheme="minorHAnsi" w:hAnsiTheme="minorHAnsi"/>
        </w:rPr>
        <w:t xml:space="preserve">Regeringen (2011) </w:t>
      </w:r>
      <w:r w:rsidR="004277D1" w:rsidRPr="002536AB">
        <w:rPr>
          <w:rFonts w:asciiTheme="minorHAnsi" w:hAnsiTheme="minorHAnsi"/>
        </w:rPr>
        <w:t xml:space="preserve">Et Danmark </w:t>
      </w:r>
      <w:r w:rsidR="00224E98" w:rsidRPr="002536AB">
        <w:rPr>
          <w:rFonts w:asciiTheme="minorHAnsi" w:hAnsiTheme="minorHAnsi"/>
        </w:rPr>
        <w:t>d</w:t>
      </w:r>
      <w:r w:rsidR="004277D1" w:rsidRPr="002536AB">
        <w:rPr>
          <w:rFonts w:asciiTheme="minorHAnsi" w:hAnsiTheme="minorHAnsi"/>
        </w:rPr>
        <w:t xml:space="preserve">er </w:t>
      </w:r>
      <w:r w:rsidR="00224E98" w:rsidRPr="002536AB">
        <w:rPr>
          <w:rFonts w:asciiTheme="minorHAnsi" w:hAnsiTheme="minorHAnsi"/>
        </w:rPr>
        <w:t>s</w:t>
      </w:r>
      <w:r w:rsidR="004277D1" w:rsidRPr="002536AB">
        <w:rPr>
          <w:rFonts w:asciiTheme="minorHAnsi" w:hAnsiTheme="minorHAnsi"/>
        </w:rPr>
        <w:t xml:space="preserve">tår </w:t>
      </w:r>
      <w:r w:rsidR="00224E98" w:rsidRPr="002536AB">
        <w:rPr>
          <w:rFonts w:asciiTheme="minorHAnsi" w:hAnsiTheme="minorHAnsi"/>
        </w:rPr>
        <w:t>s</w:t>
      </w:r>
      <w:r w:rsidR="004277D1" w:rsidRPr="002536AB">
        <w:rPr>
          <w:rFonts w:asciiTheme="minorHAnsi" w:hAnsiTheme="minorHAnsi"/>
        </w:rPr>
        <w:t>ammen.</w:t>
      </w:r>
    </w:p>
    <w:p w14:paraId="44050DB0" w14:textId="13F8838D" w:rsidR="004277D1" w:rsidRPr="001A6654" w:rsidRDefault="004277D1" w:rsidP="002E3F32">
      <w:pPr>
        <w:pStyle w:val="NormalWeb"/>
        <w:spacing w:before="0" w:beforeAutospacing="0" w:after="120" w:afterAutospacing="0"/>
        <w:ind w:left="448" w:hanging="448"/>
        <w:rPr>
          <w:rFonts w:asciiTheme="minorHAnsi" w:hAnsiTheme="minorHAnsi"/>
          <w:lang w:val="en-US"/>
        </w:rPr>
      </w:pPr>
      <w:r w:rsidRPr="001A6654">
        <w:rPr>
          <w:rFonts w:asciiTheme="minorHAnsi" w:hAnsiTheme="minorHAnsi"/>
          <w:lang w:val="en-US"/>
        </w:rPr>
        <w:t xml:space="preserve">Sadovnik, A. R. (2001) Basil </w:t>
      </w:r>
      <w:r w:rsidR="002E3F32" w:rsidRPr="001A6654">
        <w:rPr>
          <w:rFonts w:asciiTheme="minorHAnsi" w:hAnsiTheme="minorHAnsi"/>
          <w:lang w:val="en-US"/>
        </w:rPr>
        <w:t>B</w:t>
      </w:r>
      <w:r w:rsidRPr="001A6654">
        <w:rPr>
          <w:rFonts w:asciiTheme="minorHAnsi" w:hAnsiTheme="minorHAnsi"/>
          <w:lang w:val="en-US"/>
        </w:rPr>
        <w:t>ernstein (1924–2000),</w:t>
      </w:r>
      <w:r w:rsidRPr="001A6654">
        <w:rPr>
          <w:rFonts w:asciiTheme="minorHAnsi" w:hAnsiTheme="minorHAnsi"/>
          <w:i/>
          <w:iCs/>
          <w:lang w:val="en-US"/>
        </w:rPr>
        <w:t xml:space="preserve"> Prospects, </w:t>
      </w:r>
      <w:r w:rsidRPr="001A6654">
        <w:rPr>
          <w:rFonts w:asciiTheme="minorHAnsi" w:hAnsiTheme="minorHAnsi"/>
          <w:lang w:val="en-US"/>
        </w:rPr>
        <w:t xml:space="preserve">31(4), </w:t>
      </w:r>
      <w:r w:rsidR="006F7073">
        <w:rPr>
          <w:rFonts w:asciiTheme="minorHAnsi" w:hAnsiTheme="minorHAnsi"/>
          <w:lang w:val="en-US"/>
        </w:rPr>
        <w:t xml:space="preserve">pp. </w:t>
      </w:r>
      <w:r w:rsidRPr="001A6654">
        <w:rPr>
          <w:rFonts w:asciiTheme="minorHAnsi" w:hAnsiTheme="minorHAnsi"/>
          <w:lang w:val="en-US"/>
        </w:rPr>
        <w:t xml:space="preserve">607-620. </w:t>
      </w:r>
    </w:p>
    <w:p w14:paraId="65CCB485" w14:textId="77777777" w:rsidR="00E9702B" w:rsidRPr="006F7073" w:rsidRDefault="00E9702B" w:rsidP="006F7073">
      <w:pPr>
        <w:pStyle w:val="NormalWeb"/>
        <w:spacing w:before="0" w:beforeAutospacing="0" w:after="120" w:afterAutospacing="0"/>
        <w:ind w:hanging="22"/>
        <w:rPr>
          <w:rFonts w:asciiTheme="minorHAnsi" w:hAnsiTheme="minorHAnsi"/>
          <w:lang w:val="en-US"/>
        </w:rPr>
      </w:pPr>
      <w:proofErr w:type="gramStart"/>
      <w:r w:rsidRPr="006F7073">
        <w:rPr>
          <w:rFonts w:asciiTheme="minorHAnsi" w:hAnsiTheme="minorHAnsi"/>
          <w:lang w:val="en-US"/>
        </w:rPr>
        <w:t>Stake, R. E. (1995).</w:t>
      </w:r>
      <w:proofErr w:type="gramEnd"/>
      <w:r w:rsidRPr="006F7073">
        <w:rPr>
          <w:rFonts w:asciiTheme="minorHAnsi" w:hAnsiTheme="minorHAnsi"/>
          <w:lang w:val="en-US"/>
        </w:rPr>
        <w:t xml:space="preserve"> </w:t>
      </w:r>
      <w:proofErr w:type="gramStart"/>
      <w:r w:rsidRPr="006F7073">
        <w:rPr>
          <w:rFonts w:asciiTheme="minorHAnsi" w:hAnsiTheme="minorHAnsi"/>
          <w:i/>
          <w:lang w:val="en-US"/>
        </w:rPr>
        <w:t>The art of case study research.</w:t>
      </w:r>
      <w:proofErr w:type="gramEnd"/>
      <w:r w:rsidRPr="006F7073">
        <w:rPr>
          <w:rFonts w:asciiTheme="minorHAnsi" w:hAnsiTheme="minorHAnsi"/>
          <w:lang w:val="en-US"/>
        </w:rPr>
        <w:t xml:space="preserve"> Thousand Oaks, CA: Sage.</w:t>
      </w:r>
    </w:p>
    <w:p w14:paraId="55878DD4" w14:textId="27E84053" w:rsidR="00E9702B" w:rsidRPr="006F7073" w:rsidRDefault="00E9702B" w:rsidP="006F7073">
      <w:pPr>
        <w:pStyle w:val="NormalWeb"/>
        <w:spacing w:before="0" w:beforeAutospacing="0" w:after="120" w:afterAutospacing="0"/>
        <w:ind w:hanging="22"/>
        <w:rPr>
          <w:rFonts w:asciiTheme="minorHAnsi" w:hAnsiTheme="minorHAnsi"/>
          <w:lang w:val="en-US"/>
        </w:rPr>
      </w:pPr>
      <w:proofErr w:type="gramStart"/>
      <w:r w:rsidRPr="006F7073">
        <w:rPr>
          <w:rFonts w:asciiTheme="minorHAnsi" w:hAnsiTheme="minorHAnsi"/>
          <w:lang w:val="en-US"/>
        </w:rPr>
        <w:t>Stake, R. E. (1998).</w:t>
      </w:r>
      <w:proofErr w:type="gramEnd"/>
      <w:r w:rsidRPr="006F7073">
        <w:rPr>
          <w:rFonts w:asciiTheme="minorHAnsi" w:hAnsiTheme="minorHAnsi"/>
          <w:lang w:val="en-US"/>
        </w:rPr>
        <w:t xml:space="preserve"> </w:t>
      </w:r>
      <w:proofErr w:type="gramStart"/>
      <w:r w:rsidRPr="006F7073">
        <w:rPr>
          <w:rFonts w:asciiTheme="minorHAnsi" w:hAnsiTheme="minorHAnsi"/>
          <w:lang w:val="en-US"/>
        </w:rPr>
        <w:t>Case studies.</w:t>
      </w:r>
      <w:proofErr w:type="gramEnd"/>
      <w:r w:rsidRPr="006F7073">
        <w:rPr>
          <w:rFonts w:asciiTheme="minorHAnsi" w:hAnsiTheme="minorHAnsi"/>
          <w:lang w:val="en-US"/>
        </w:rPr>
        <w:t xml:space="preserve"> In N. K. Denzin &amp; Y. S. Lincoln (Eds.), </w:t>
      </w:r>
      <w:r w:rsidRPr="006F7073">
        <w:rPr>
          <w:rFonts w:asciiTheme="minorHAnsi" w:hAnsiTheme="minorHAnsi"/>
          <w:i/>
          <w:lang w:val="en-US"/>
        </w:rPr>
        <w:t>Strategies of qualitative inquiry</w:t>
      </w:r>
      <w:r w:rsidR="006F7073">
        <w:rPr>
          <w:rFonts w:asciiTheme="minorHAnsi" w:hAnsiTheme="minorHAnsi"/>
          <w:i/>
          <w:lang w:val="en-US"/>
        </w:rPr>
        <w:t>,</w:t>
      </w:r>
      <w:r w:rsidRPr="006F7073">
        <w:rPr>
          <w:rFonts w:asciiTheme="minorHAnsi" w:hAnsiTheme="minorHAnsi"/>
          <w:i/>
          <w:lang w:val="en-US"/>
        </w:rPr>
        <w:t xml:space="preserve"> </w:t>
      </w:r>
      <w:r w:rsidRPr="006F7073">
        <w:rPr>
          <w:rFonts w:asciiTheme="minorHAnsi" w:hAnsiTheme="minorHAnsi"/>
          <w:lang w:val="en-US"/>
        </w:rPr>
        <w:t>Vol. 2, pp. 86–109. Thousand Oaks, CA: Sage.</w:t>
      </w:r>
    </w:p>
    <w:p w14:paraId="10EAEB37" w14:textId="7347CD4D" w:rsidR="004277D1" w:rsidRPr="00224E98" w:rsidRDefault="004277D1" w:rsidP="002E3F32">
      <w:pPr>
        <w:pStyle w:val="NormalWeb"/>
        <w:spacing w:before="0" w:beforeAutospacing="0" w:after="120" w:afterAutospacing="0"/>
        <w:ind w:hanging="22"/>
        <w:rPr>
          <w:rFonts w:asciiTheme="minorHAnsi" w:hAnsiTheme="minorHAnsi"/>
        </w:rPr>
      </w:pPr>
      <w:r w:rsidRPr="00224E98">
        <w:rPr>
          <w:rFonts w:asciiTheme="minorHAnsi" w:hAnsiTheme="minorHAnsi"/>
          <w:lang w:val="en-US"/>
        </w:rPr>
        <w:t xml:space="preserve">Stephenson, N. </w:t>
      </w:r>
      <w:r w:rsidR="00896CC4" w:rsidRPr="00224E98">
        <w:rPr>
          <w:rFonts w:asciiTheme="minorHAnsi" w:hAnsiTheme="minorHAnsi"/>
          <w:lang w:val="en-US"/>
        </w:rPr>
        <w:t xml:space="preserve">(2012) </w:t>
      </w:r>
      <w:r w:rsidRPr="00224E98">
        <w:rPr>
          <w:rFonts w:asciiTheme="minorHAnsi" w:hAnsiTheme="minorHAnsi"/>
          <w:i/>
          <w:iCs/>
          <w:lang w:val="en-US"/>
        </w:rPr>
        <w:t xml:space="preserve">Introduction to inquiry based learning. </w:t>
      </w:r>
      <w:proofErr w:type="gramStart"/>
      <w:r w:rsidRPr="00224E98">
        <w:rPr>
          <w:rFonts w:asciiTheme="minorHAnsi" w:hAnsiTheme="minorHAnsi"/>
          <w:i/>
          <w:iCs/>
          <w:lang w:val="en-US"/>
        </w:rPr>
        <w:t>galilao</w:t>
      </w:r>
      <w:proofErr w:type="gramEnd"/>
      <w:r w:rsidRPr="00224E98">
        <w:rPr>
          <w:rFonts w:asciiTheme="minorHAnsi" w:hAnsiTheme="minorHAnsi"/>
          <w:i/>
          <w:iCs/>
          <w:lang w:val="en-US"/>
        </w:rPr>
        <w:t xml:space="preserve"> network.</w:t>
      </w:r>
      <w:r w:rsidRPr="00224E98">
        <w:rPr>
          <w:rFonts w:asciiTheme="minorHAnsi" w:hAnsiTheme="minorHAnsi"/>
          <w:lang w:val="en-US"/>
        </w:rPr>
        <w:t xml:space="preserve"> </w:t>
      </w:r>
      <w:r w:rsidRPr="00224E98">
        <w:rPr>
          <w:rFonts w:asciiTheme="minorHAnsi" w:hAnsiTheme="minorHAnsi"/>
        </w:rPr>
        <w:t xml:space="preserve">Retrieved 10/14/2014, 2012, from </w:t>
      </w:r>
      <w:r w:rsidRPr="00F73896">
        <w:rPr>
          <w:rFonts w:asciiTheme="minorHAnsi" w:eastAsiaTheme="majorEastAsia" w:hAnsiTheme="minorHAnsi"/>
        </w:rPr>
        <w:t>http://www.teachinquiry.com/index/Introduction.html</w:t>
      </w:r>
    </w:p>
    <w:p w14:paraId="1F4E496A" w14:textId="77777777" w:rsidR="004277D1" w:rsidRPr="00224E98" w:rsidRDefault="004277D1" w:rsidP="002E3F32">
      <w:pPr>
        <w:pStyle w:val="NormalWeb"/>
        <w:spacing w:before="0" w:beforeAutospacing="0" w:after="120" w:afterAutospacing="0"/>
        <w:ind w:left="448" w:hanging="448"/>
        <w:rPr>
          <w:rFonts w:asciiTheme="minorHAnsi" w:hAnsiTheme="minorHAnsi"/>
        </w:rPr>
      </w:pPr>
      <w:r w:rsidRPr="00224E98">
        <w:rPr>
          <w:rFonts w:asciiTheme="minorHAnsi" w:hAnsiTheme="minorHAnsi"/>
        </w:rPr>
        <w:t xml:space="preserve">Ulriksen, L. M. (1997) </w:t>
      </w:r>
      <w:r w:rsidRPr="001A6654">
        <w:rPr>
          <w:rFonts w:asciiTheme="minorHAnsi" w:hAnsiTheme="minorHAnsi"/>
          <w:i/>
        </w:rPr>
        <w:t>Projektpædagogik: Hvorfor det?</w:t>
      </w:r>
      <w:r w:rsidRPr="00224E98">
        <w:rPr>
          <w:rFonts w:asciiTheme="minorHAnsi" w:hAnsiTheme="minorHAnsi"/>
        </w:rPr>
        <w:t xml:space="preserve"> </w:t>
      </w:r>
      <w:r w:rsidR="00896CC4" w:rsidRPr="00224E98">
        <w:rPr>
          <w:rFonts w:asciiTheme="minorHAnsi" w:hAnsiTheme="minorHAnsi"/>
        </w:rPr>
        <w:t>Roskilde Universitetscenter</w:t>
      </w:r>
    </w:p>
    <w:p w14:paraId="19633656" w14:textId="77777777" w:rsidR="004277D1" w:rsidRPr="00224E98" w:rsidRDefault="00896CC4" w:rsidP="002E3F32">
      <w:pPr>
        <w:pStyle w:val="NormalWeb"/>
        <w:spacing w:before="0" w:beforeAutospacing="0" w:after="120" w:afterAutospacing="0"/>
        <w:ind w:left="448" w:hanging="448"/>
        <w:rPr>
          <w:rFonts w:asciiTheme="minorHAnsi" w:hAnsiTheme="minorHAnsi"/>
        </w:rPr>
      </w:pPr>
      <w:r w:rsidRPr="00224E98">
        <w:rPr>
          <w:rFonts w:asciiTheme="minorHAnsi" w:hAnsiTheme="minorHAnsi"/>
        </w:rPr>
        <w:t xml:space="preserve">Undervisningsministeriet (2014) </w:t>
      </w:r>
      <w:r w:rsidR="004277D1" w:rsidRPr="00224E98">
        <w:rPr>
          <w:rFonts w:asciiTheme="minorHAnsi" w:hAnsiTheme="minorHAnsi"/>
        </w:rPr>
        <w:t xml:space="preserve">Aftale </w:t>
      </w:r>
      <w:r w:rsidRPr="00224E98">
        <w:rPr>
          <w:rFonts w:asciiTheme="minorHAnsi" w:hAnsiTheme="minorHAnsi"/>
        </w:rPr>
        <w:t>o</w:t>
      </w:r>
      <w:r w:rsidR="004277D1" w:rsidRPr="00224E98">
        <w:rPr>
          <w:rFonts w:asciiTheme="minorHAnsi" w:hAnsiTheme="minorHAnsi"/>
        </w:rPr>
        <w:t xml:space="preserve">m </w:t>
      </w:r>
      <w:r w:rsidRPr="00224E98">
        <w:rPr>
          <w:rFonts w:asciiTheme="minorHAnsi" w:hAnsiTheme="minorHAnsi"/>
        </w:rPr>
        <w:t>b</w:t>
      </w:r>
      <w:r w:rsidR="004277D1" w:rsidRPr="00224E98">
        <w:rPr>
          <w:rFonts w:asciiTheme="minorHAnsi" w:hAnsiTheme="minorHAnsi"/>
        </w:rPr>
        <w:t xml:space="preserve">edre </w:t>
      </w:r>
      <w:r w:rsidRPr="00224E98">
        <w:rPr>
          <w:rFonts w:asciiTheme="minorHAnsi" w:hAnsiTheme="minorHAnsi"/>
        </w:rPr>
        <w:t>o</w:t>
      </w:r>
      <w:r w:rsidR="004277D1" w:rsidRPr="00224E98">
        <w:rPr>
          <w:rFonts w:asciiTheme="minorHAnsi" w:hAnsiTheme="minorHAnsi"/>
        </w:rPr>
        <w:t xml:space="preserve">g </w:t>
      </w:r>
      <w:r w:rsidRPr="00224E98">
        <w:rPr>
          <w:rFonts w:asciiTheme="minorHAnsi" w:hAnsiTheme="minorHAnsi"/>
        </w:rPr>
        <w:t>m</w:t>
      </w:r>
      <w:r w:rsidR="004277D1" w:rsidRPr="00224E98">
        <w:rPr>
          <w:rFonts w:asciiTheme="minorHAnsi" w:hAnsiTheme="minorHAnsi"/>
        </w:rPr>
        <w:t xml:space="preserve">ere </w:t>
      </w:r>
      <w:r w:rsidRPr="00224E98">
        <w:rPr>
          <w:rFonts w:asciiTheme="minorHAnsi" w:hAnsiTheme="minorHAnsi"/>
        </w:rPr>
        <w:t>a</w:t>
      </w:r>
      <w:r w:rsidR="004277D1" w:rsidRPr="00224E98">
        <w:rPr>
          <w:rFonts w:asciiTheme="minorHAnsi" w:hAnsiTheme="minorHAnsi"/>
        </w:rPr>
        <w:t xml:space="preserve">ttraktive </w:t>
      </w:r>
      <w:r w:rsidRPr="00224E98">
        <w:rPr>
          <w:rFonts w:asciiTheme="minorHAnsi" w:hAnsiTheme="minorHAnsi"/>
        </w:rPr>
        <w:t>e</w:t>
      </w:r>
      <w:r w:rsidR="004277D1" w:rsidRPr="00224E98">
        <w:rPr>
          <w:rFonts w:asciiTheme="minorHAnsi" w:hAnsiTheme="minorHAnsi"/>
        </w:rPr>
        <w:t xml:space="preserve">rhvervsuddannelser. </w:t>
      </w:r>
    </w:p>
    <w:p w14:paraId="0E283805" w14:textId="77777777" w:rsidR="004277D1" w:rsidRPr="00224E98" w:rsidRDefault="004277D1" w:rsidP="002E3F32">
      <w:pPr>
        <w:pStyle w:val="NormalWeb"/>
        <w:spacing w:before="0" w:beforeAutospacing="0" w:after="120" w:afterAutospacing="0"/>
        <w:ind w:hanging="22"/>
        <w:rPr>
          <w:rFonts w:asciiTheme="minorHAnsi" w:hAnsiTheme="minorHAnsi"/>
          <w:lang w:val="en-US"/>
        </w:rPr>
      </w:pPr>
      <w:r w:rsidRPr="00224E98">
        <w:rPr>
          <w:rFonts w:asciiTheme="minorHAnsi" w:hAnsiTheme="minorHAnsi"/>
        </w:rPr>
        <w:t xml:space="preserve">Warring, N., Smistrup, M., &amp; Eriksen, U. (2004) </w:t>
      </w:r>
      <w:r w:rsidRPr="00224E98">
        <w:rPr>
          <w:rFonts w:asciiTheme="minorHAnsi" w:hAnsiTheme="minorHAnsi"/>
          <w:i/>
          <w:iCs/>
        </w:rPr>
        <w:t xml:space="preserve">Samfundsborger - </w:t>
      </w:r>
      <w:proofErr w:type="gramStart"/>
      <w:r w:rsidRPr="00224E98">
        <w:rPr>
          <w:rFonts w:asciiTheme="minorHAnsi" w:hAnsiTheme="minorHAnsi"/>
          <w:i/>
          <w:iCs/>
        </w:rPr>
        <w:t>medarbejder :</w:t>
      </w:r>
      <w:proofErr w:type="gramEnd"/>
      <w:r w:rsidRPr="00224E98">
        <w:rPr>
          <w:rFonts w:asciiTheme="minorHAnsi" w:hAnsiTheme="minorHAnsi"/>
          <w:i/>
          <w:iCs/>
        </w:rPr>
        <w:t xml:space="preserve"> Debat om de erhvervsrelaterede uddannelser</w:t>
      </w:r>
      <w:r w:rsidRPr="00224E98">
        <w:rPr>
          <w:rFonts w:asciiTheme="minorHAnsi" w:hAnsiTheme="minorHAnsi"/>
        </w:rPr>
        <w:t xml:space="preserve">. </w:t>
      </w:r>
      <w:r w:rsidRPr="00224E98">
        <w:rPr>
          <w:rFonts w:asciiTheme="minorHAnsi" w:hAnsiTheme="minorHAnsi"/>
          <w:lang w:val="en-US"/>
        </w:rPr>
        <w:t xml:space="preserve">Odense: Erhvervsskolernes Forlag. </w:t>
      </w:r>
    </w:p>
    <w:p w14:paraId="37F9C2D3" w14:textId="77777777" w:rsidR="004277D1" w:rsidRPr="00224E98" w:rsidRDefault="004277D1" w:rsidP="002E3F32">
      <w:pPr>
        <w:pStyle w:val="NormalWeb"/>
        <w:spacing w:before="0" w:beforeAutospacing="0" w:after="120" w:afterAutospacing="0"/>
        <w:ind w:hanging="22"/>
        <w:rPr>
          <w:rFonts w:asciiTheme="minorHAnsi" w:hAnsiTheme="minorHAnsi"/>
          <w:lang w:val="en-US"/>
        </w:rPr>
      </w:pPr>
      <w:r w:rsidRPr="00224E98">
        <w:rPr>
          <w:rFonts w:asciiTheme="minorHAnsi" w:hAnsiTheme="minorHAnsi"/>
          <w:lang w:val="en-US"/>
        </w:rPr>
        <w:t xml:space="preserve">Wenger, E. (1998) </w:t>
      </w:r>
      <w:r w:rsidRPr="00224E98">
        <w:rPr>
          <w:rFonts w:asciiTheme="minorHAnsi" w:hAnsiTheme="minorHAnsi"/>
          <w:i/>
          <w:iCs/>
          <w:lang w:val="en-US"/>
        </w:rPr>
        <w:t>Communities of practice: Learning, meaning, and identity</w:t>
      </w:r>
      <w:r w:rsidRPr="00224E98">
        <w:rPr>
          <w:rFonts w:asciiTheme="minorHAnsi" w:hAnsiTheme="minorHAnsi"/>
          <w:lang w:val="en-US"/>
        </w:rPr>
        <w:t xml:space="preserve"> Cambridge </w:t>
      </w:r>
      <w:r w:rsidR="007548B1">
        <w:rPr>
          <w:rFonts w:asciiTheme="minorHAnsi" w:hAnsiTheme="minorHAnsi"/>
          <w:lang w:val="en-US"/>
        </w:rPr>
        <w:t>U</w:t>
      </w:r>
      <w:r w:rsidRPr="00224E98">
        <w:rPr>
          <w:rFonts w:asciiTheme="minorHAnsi" w:hAnsiTheme="minorHAnsi"/>
          <w:lang w:val="en-US"/>
        </w:rPr>
        <w:t xml:space="preserve">niversity </w:t>
      </w:r>
      <w:r w:rsidR="007548B1">
        <w:rPr>
          <w:rFonts w:asciiTheme="minorHAnsi" w:hAnsiTheme="minorHAnsi"/>
          <w:lang w:val="en-US"/>
        </w:rPr>
        <w:t>P</w:t>
      </w:r>
      <w:r w:rsidRPr="00224E98">
        <w:rPr>
          <w:rFonts w:asciiTheme="minorHAnsi" w:hAnsiTheme="minorHAnsi"/>
          <w:lang w:val="en-US"/>
        </w:rPr>
        <w:t xml:space="preserve">ress. </w:t>
      </w:r>
    </w:p>
    <w:p w14:paraId="2AEBCC1E" w14:textId="58937E09" w:rsidR="002F627B" w:rsidRPr="006F7073" w:rsidRDefault="002F627B" w:rsidP="000326D8">
      <w:pPr>
        <w:pStyle w:val="NormalWeb"/>
        <w:spacing w:before="0" w:beforeAutospacing="0" w:after="120" w:afterAutospacing="0"/>
        <w:ind w:hanging="22"/>
        <w:rPr>
          <w:b/>
          <w:lang w:val="en-US"/>
        </w:rPr>
      </w:pPr>
      <w:r w:rsidRPr="006A5550">
        <w:rPr>
          <w:rFonts w:asciiTheme="minorHAnsi" w:hAnsiTheme="minorHAnsi"/>
        </w:rPr>
        <w:t xml:space="preserve">Østergaard, L.D., M. Sillasen, J. Hagelskjær &amp;. </w:t>
      </w:r>
      <w:r w:rsidRPr="000326D8">
        <w:rPr>
          <w:rFonts w:asciiTheme="minorHAnsi" w:hAnsiTheme="minorHAnsi"/>
        </w:rPr>
        <w:t xml:space="preserve">Bavnhøj (2010) </w:t>
      </w:r>
      <w:proofErr w:type="spellStart"/>
      <w:r w:rsidRPr="000326D8">
        <w:rPr>
          <w:rFonts w:asciiTheme="minorHAnsi" w:hAnsiTheme="minorHAnsi"/>
        </w:rPr>
        <w:t>Inquiry-based</w:t>
      </w:r>
      <w:proofErr w:type="spellEnd"/>
      <w:r w:rsidRPr="000326D8">
        <w:rPr>
          <w:rFonts w:asciiTheme="minorHAnsi" w:hAnsiTheme="minorHAnsi"/>
        </w:rPr>
        <w:t xml:space="preserve"> science </w:t>
      </w:r>
      <w:proofErr w:type="spellStart"/>
      <w:r w:rsidRPr="000326D8">
        <w:rPr>
          <w:rFonts w:asciiTheme="minorHAnsi" w:hAnsiTheme="minorHAnsi"/>
        </w:rPr>
        <w:t>education</w:t>
      </w:r>
      <w:proofErr w:type="spellEnd"/>
      <w:r w:rsidRPr="000326D8">
        <w:rPr>
          <w:rFonts w:asciiTheme="minorHAnsi" w:hAnsiTheme="minorHAnsi"/>
        </w:rPr>
        <w:t xml:space="preserve"> – har naturfagsundervisningen i Danmark brug for det? </w:t>
      </w:r>
      <w:r w:rsidRPr="006F7073">
        <w:rPr>
          <w:rFonts w:asciiTheme="minorHAnsi" w:hAnsiTheme="minorHAnsi"/>
          <w:i/>
          <w:lang w:val="en-US"/>
        </w:rPr>
        <w:t>MONA</w:t>
      </w:r>
      <w:r w:rsidRPr="006F7073">
        <w:rPr>
          <w:rFonts w:asciiTheme="minorHAnsi" w:hAnsiTheme="minorHAnsi"/>
          <w:lang w:val="en-US"/>
        </w:rPr>
        <w:t xml:space="preserve"> 2010 -4. </w:t>
      </w:r>
      <w:r w:rsidR="000326D8" w:rsidRPr="006F7073">
        <w:rPr>
          <w:rFonts w:asciiTheme="minorHAnsi" w:hAnsiTheme="minorHAnsi"/>
          <w:lang w:val="en-US"/>
        </w:rPr>
        <w:t xml:space="preserve">Online </w:t>
      </w:r>
      <w:r w:rsidR="006F7073">
        <w:rPr>
          <w:rFonts w:asciiTheme="minorHAnsi" w:hAnsiTheme="minorHAnsi"/>
          <w:lang w:val="en-US"/>
        </w:rPr>
        <w:t xml:space="preserve">1-12-2015: </w:t>
      </w:r>
      <w:hyperlink r:id="rId13" w:history="1">
        <w:r w:rsidRPr="006F7073">
          <w:rPr>
            <w:rFonts w:asciiTheme="minorHAnsi" w:hAnsiTheme="minorHAnsi"/>
            <w:lang w:val="en-US"/>
          </w:rPr>
          <w:t>http://www.ind.ku.dk/mona/2010/MONA-2010-4-Inquiry-basedScienceEducation.pdf</w:t>
        </w:r>
      </w:hyperlink>
      <w:r w:rsidRPr="006F7073">
        <w:rPr>
          <w:b/>
          <w:lang w:val="en-US"/>
        </w:rPr>
        <w:t xml:space="preserve"> </w:t>
      </w:r>
    </w:p>
    <w:p w14:paraId="33026527" w14:textId="77777777" w:rsidR="002F627B" w:rsidRPr="006F7073" w:rsidRDefault="002F627B" w:rsidP="002F627B">
      <w:pPr>
        <w:spacing w:line="240" w:lineRule="auto"/>
        <w:rPr>
          <w:b/>
          <w:lang w:val="en-US"/>
        </w:rPr>
      </w:pPr>
    </w:p>
    <w:p w14:paraId="7DEF633A" w14:textId="77777777" w:rsidR="004308B4" w:rsidRPr="006F7073" w:rsidRDefault="004308B4" w:rsidP="00E71605">
      <w:pPr>
        <w:spacing w:line="240" w:lineRule="auto"/>
        <w:rPr>
          <w:b/>
          <w:lang w:val="en-US"/>
        </w:rPr>
      </w:pPr>
    </w:p>
    <w:sectPr w:rsidR="004308B4" w:rsidRPr="006F7073" w:rsidSect="00D17800">
      <w:footerReference w:type="default" r:id="rId1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F2A3C" w14:textId="77777777" w:rsidR="00F565E3" w:rsidRDefault="00F565E3" w:rsidP="00843504">
      <w:pPr>
        <w:spacing w:line="240" w:lineRule="auto"/>
      </w:pPr>
      <w:r>
        <w:separator/>
      </w:r>
    </w:p>
  </w:endnote>
  <w:endnote w:type="continuationSeparator" w:id="0">
    <w:p w14:paraId="03F4BD7A" w14:textId="77777777" w:rsidR="00F565E3" w:rsidRDefault="00F565E3" w:rsidP="00843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0152"/>
      <w:docPartObj>
        <w:docPartGallery w:val="Page Numbers (Bottom of Page)"/>
        <w:docPartUnique/>
      </w:docPartObj>
    </w:sdtPr>
    <w:sdtEndPr/>
    <w:sdtContent>
      <w:p w14:paraId="5D06B047" w14:textId="77777777" w:rsidR="00F565E3" w:rsidRDefault="00F565E3">
        <w:pPr>
          <w:pStyle w:val="Sidefod"/>
          <w:jc w:val="center"/>
        </w:pPr>
        <w:r>
          <w:fldChar w:fldCharType="begin"/>
        </w:r>
        <w:r>
          <w:instrText>PAGE   \* MERGEFORMAT</w:instrText>
        </w:r>
        <w:r>
          <w:fldChar w:fldCharType="separate"/>
        </w:r>
        <w:r w:rsidR="005673E4">
          <w:rPr>
            <w:noProof/>
          </w:rPr>
          <w:t>1</w:t>
        </w:r>
        <w:r>
          <w:rPr>
            <w:noProof/>
          </w:rPr>
          <w:fldChar w:fldCharType="end"/>
        </w:r>
      </w:p>
    </w:sdtContent>
  </w:sdt>
  <w:p w14:paraId="64A58AB4" w14:textId="77777777" w:rsidR="00F565E3" w:rsidRDefault="00F565E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2E154" w14:textId="77777777" w:rsidR="00F565E3" w:rsidRDefault="00F565E3" w:rsidP="00843504">
      <w:pPr>
        <w:spacing w:line="240" w:lineRule="auto"/>
      </w:pPr>
      <w:r>
        <w:separator/>
      </w:r>
    </w:p>
  </w:footnote>
  <w:footnote w:type="continuationSeparator" w:id="0">
    <w:p w14:paraId="788E6B45" w14:textId="77777777" w:rsidR="00F565E3" w:rsidRDefault="00F565E3" w:rsidP="00843504">
      <w:pPr>
        <w:spacing w:line="240" w:lineRule="auto"/>
      </w:pPr>
      <w:r>
        <w:continuationSeparator/>
      </w:r>
    </w:p>
  </w:footnote>
  <w:footnote w:id="1">
    <w:p w14:paraId="0FC4956B" w14:textId="3CE3E83E" w:rsidR="00F565E3" w:rsidRPr="00F565E3" w:rsidRDefault="00F565E3">
      <w:pPr>
        <w:pStyle w:val="Fodnotetekst"/>
        <w:rPr>
          <w:lang w:val="en-US"/>
        </w:rPr>
      </w:pPr>
      <w:r>
        <w:rPr>
          <w:rStyle w:val="Fodnotehenvisning"/>
        </w:rPr>
        <w:footnoteRef/>
      </w:r>
      <w:r w:rsidRPr="006D5113">
        <w:rPr>
          <w:lang w:val="en-US"/>
        </w:rPr>
        <w:t xml:space="preserve"> </w:t>
      </w:r>
      <w:r>
        <w:rPr>
          <w:lang w:val="en-US"/>
        </w:rPr>
        <w:t xml:space="preserve">In science subjects see </w:t>
      </w:r>
      <w:r w:rsidRPr="00E05FDB">
        <w:rPr>
          <w:lang w:val="en-US"/>
        </w:rPr>
        <w:t xml:space="preserve">Frisdahl 2014, </w:t>
      </w:r>
      <w:r>
        <w:rPr>
          <w:lang w:val="en-US"/>
        </w:rPr>
        <w:t>Østergaard et al.</w:t>
      </w:r>
      <w:r w:rsidRPr="00E05FDB">
        <w:rPr>
          <w:lang w:val="en-US"/>
        </w:rPr>
        <w:t xml:space="preserve"> 2010, in general </w:t>
      </w:r>
      <w:r>
        <w:rPr>
          <w:lang w:val="en-US"/>
        </w:rPr>
        <w:t xml:space="preserve"> see journals / folkeskolen.dk and newspaper debates / Illeris 2010</w:t>
      </w:r>
    </w:p>
  </w:footnote>
  <w:footnote w:id="2">
    <w:p w14:paraId="144FB8D3" w14:textId="753C8D78" w:rsidR="00F565E3" w:rsidRPr="002A24C7" w:rsidRDefault="00F565E3" w:rsidP="00D47C68">
      <w:pPr>
        <w:pStyle w:val="Fodnotetekst"/>
        <w:spacing w:line="240" w:lineRule="auto"/>
        <w:rPr>
          <w:lang w:val="en-US"/>
        </w:rPr>
      </w:pPr>
      <w:r>
        <w:rPr>
          <w:rStyle w:val="Fodnotehenvisning"/>
        </w:rPr>
        <w:footnoteRef/>
      </w:r>
      <w:r w:rsidRPr="00D47C68">
        <w:rPr>
          <w:lang w:val="en-US"/>
        </w:rPr>
        <w:t xml:space="preserve"> This definition of knowledge is a simplification/polarization. </w:t>
      </w:r>
      <w:r w:rsidRPr="002A24C7">
        <w:rPr>
          <w:lang w:val="en-US"/>
        </w:rPr>
        <w:t xml:space="preserve">For a more complex definition see for instance </w:t>
      </w:r>
      <w:proofErr w:type="spellStart"/>
      <w:r w:rsidRPr="006A5550">
        <w:rPr>
          <w:lang w:val="en-US"/>
        </w:rPr>
        <w:t>Nickols</w:t>
      </w:r>
      <w:proofErr w:type="spellEnd"/>
      <w:r w:rsidRPr="002A24C7">
        <w:rPr>
          <w:lang w:val="en-US"/>
        </w:rPr>
        <w:t xml:space="preserve"> (2000) </w:t>
      </w:r>
    </w:p>
  </w:footnote>
  <w:footnote w:id="3">
    <w:p w14:paraId="1B856921" w14:textId="77777777" w:rsidR="00F565E3" w:rsidRPr="00426CE6" w:rsidRDefault="00F565E3" w:rsidP="008C185D">
      <w:pPr>
        <w:pStyle w:val="Fodnotetekst"/>
        <w:spacing w:line="240" w:lineRule="auto"/>
        <w:rPr>
          <w:lang w:val="en-US"/>
        </w:rPr>
      </w:pPr>
      <w:r>
        <w:rPr>
          <w:rStyle w:val="Fodnotehenvisning"/>
        </w:rPr>
        <w:footnoteRef/>
      </w:r>
      <w:r w:rsidRPr="00FC2637">
        <w:rPr>
          <w:lang w:val="en-US"/>
        </w:rPr>
        <w:t xml:space="preserve"> </w:t>
      </w:r>
      <w:r>
        <w:rPr>
          <w:lang w:val="en-US"/>
        </w:rPr>
        <w:t>Data for this example are from notes from observation studies in a class room and schedule plans gathered during a visit to the school in spring 2010. The school is a transfer high school in New York City. The school describes itself as a small school with big ideas. Although all students are drop outs from other high schools, almost all students continue to college. The school has discussion-based classes where every student’s contribution is valued, regardless of their age or grade. All classes are ungraded (for more information and reflection see Louw &amp; Jensen 2013).</w:t>
      </w:r>
    </w:p>
  </w:footnote>
  <w:footnote w:id="4">
    <w:p w14:paraId="681ED3C1" w14:textId="77777777" w:rsidR="00F565E3" w:rsidRPr="008C185D" w:rsidRDefault="00F565E3" w:rsidP="008C185D">
      <w:pPr>
        <w:spacing w:line="240" w:lineRule="auto"/>
        <w:rPr>
          <w:sz w:val="20"/>
          <w:szCs w:val="20"/>
          <w:lang w:val="en-US"/>
        </w:rPr>
      </w:pPr>
      <w:r w:rsidRPr="00426CE6">
        <w:rPr>
          <w:rStyle w:val="Fodnotehenvisning"/>
          <w:lang w:val="en-US"/>
        </w:rPr>
        <w:footnoteRef/>
      </w:r>
      <w:r>
        <w:rPr>
          <w:lang w:val="en-US"/>
        </w:rPr>
        <w:t xml:space="preserve"> </w:t>
      </w:r>
      <w:r w:rsidRPr="008C185D">
        <w:rPr>
          <w:sz w:val="20"/>
          <w:szCs w:val="20"/>
          <w:lang w:val="en-US"/>
        </w:rPr>
        <w:t>This study is part of a PhD project conducted by Louw (2013</w:t>
      </w:r>
      <w:r>
        <w:rPr>
          <w:sz w:val="20"/>
          <w:szCs w:val="20"/>
          <w:lang w:val="en-US"/>
        </w:rPr>
        <w:t>b</w:t>
      </w:r>
      <w:r w:rsidRPr="008C185D">
        <w:rPr>
          <w:sz w:val="20"/>
          <w:szCs w:val="20"/>
          <w:lang w:val="en-US"/>
        </w:rPr>
        <w:t>). In this project</w:t>
      </w:r>
      <w:r>
        <w:rPr>
          <w:sz w:val="20"/>
          <w:szCs w:val="20"/>
          <w:lang w:val="en-US"/>
        </w:rPr>
        <w:t>,</w:t>
      </w:r>
      <w:r w:rsidRPr="008C185D">
        <w:rPr>
          <w:sz w:val="20"/>
          <w:szCs w:val="20"/>
          <w:lang w:val="en-US"/>
        </w:rPr>
        <w:t xml:space="preserve"> anthropologically inspired fieldwork </w:t>
      </w:r>
      <w:r>
        <w:rPr>
          <w:sz w:val="20"/>
          <w:szCs w:val="20"/>
          <w:lang w:val="en-US"/>
        </w:rPr>
        <w:t>was</w:t>
      </w:r>
      <w:r w:rsidRPr="008C185D">
        <w:rPr>
          <w:sz w:val="20"/>
          <w:szCs w:val="20"/>
          <w:lang w:val="en-US"/>
        </w:rPr>
        <w:t xml:space="preserve"> conducted whereby Louw enrolled as a carpentry student for five weeks and received teaching together with the regular students</w:t>
      </w:r>
      <w:r>
        <w:rPr>
          <w:sz w:val="20"/>
          <w:szCs w:val="20"/>
          <w:lang w:val="en-US"/>
        </w:rPr>
        <w:t xml:space="preserve">. </w:t>
      </w:r>
      <w:r w:rsidRPr="008C185D">
        <w:rPr>
          <w:sz w:val="20"/>
          <w:szCs w:val="20"/>
          <w:lang w:val="en-US"/>
        </w:rPr>
        <w:t xml:space="preserve">The school is situated in a medium-sized provincial town </w:t>
      </w:r>
      <w:r>
        <w:rPr>
          <w:sz w:val="20"/>
          <w:szCs w:val="20"/>
          <w:lang w:val="en-US"/>
        </w:rPr>
        <w:t>on</w:t>
      </w:r>
      <w:r w:rsidRPr="008C185D">
        <w:rPr>
          <w:sz w:val="20"/>
          <w:szCs w:val="20"/>
          <w:lang w:val="en-US"/>
        </w:rPr>
        <w:t xml:space="preserve"> Zealand and offers 7 different basic courses. The class in question consisted of 25 male students. Data in this study consist of Louw’s field notes, interview</w:t>
      </w:r>
      <w:r>
        <w:rPr>
          <w:sz w:val="20"/>
          <w:szCs w:val="20"/>
          <w:lang w:val="en-US"/>
        </w:rPr>
        <w:t>s</w:t>
      </w:r>
      <w:r w:rsidRPr="008C185D">
        <w:rPr>
          <w:sz w:val="20"/>
          <w:szCs w:val="20"/>
          <w:lang w:val="en-US"/>
        </w:rPr>
        <w:t xml:space="preserve"> with students and teachers and a variety of official school letters, documents and teaching material. </w:t>
      </w:r>
      <w:r>
        <w:rPr>
          <w:sz w:val="20"/>
          <w:szCs w:val="20"/>
          <w:lang w:val="en-US"/>
        </w:rPr>
        <w:t xml:space="preserve">The second case is </w:t>
      </w:r>
      <w:r w:rsidRPr="008C185D">
        <w:rPr>
          <w:sz w:val="20"/>
          <w:szCs w:val="20"/>
          <w:lang w:val="en-US"/>
        </w:rPr>
        <w:t xml:space="preserve">based on data from </w:t>
      </w:r>
      <w:r>
        <w:rPr>
          <w:sz w:val="20"/>
          <w:szCs w:val="20"/>
          <w:lang w:val="en-US"/>
        </w:rPr>
        <w:t>this study</w:t>
      </w:r>
      <w:r w:rsidRPr="008C185D">
        <w:rPr>
          <w:sz w:val="20"/>
          <w:szCs w:val="20"/>
          <w:lang w:val="en-US"/>
        </w:rPr>
        <w:t>.</w:t>
      </w:r>
    </w:p>
    <w:p w14:paraId="01AE78DF" w14:textId="77777777" w:rsidR="00F565E3" w:rsidRPr="00FC2637" w:rsidRDefault="00F565E3" w:rsidP="008C185D">
      <w:pPr>
        <w:pStyle w:val="Fodnotetekst"/>
        <w:spacing w:line="240" w:lineRule="auto"/>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000"/>
    <w:multiLevelType w:val="multilevel"/>
    <w:tmpl w:val="EE3A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9F"/>
    <w:rsid w:val="0000072C"/>
    <w:rsid w:val="00001F71"/>
    <w:rsid w:val="00004B77"/>
    <w:rsid w:val="00013E64"/>
    <w:rsid w:val="000144FE"/>
    <w:rsid w:val="000233D9"/>
    <w:rsid w:val="00024F1B"/>
    <w:rsid w:val="000262EC"/>
    <w:rsid w:val="000264B9"/>
    <w:rsid w:val="00026F74"/>
    <w:rsid w:val="000326D8"/>
    <w:rsid w:val="00044AD6"/>
    <w:rsid w:val="00044D98"/>
    <w:rsid w:val="000621D8"/>
    <w:rsid w:val="000626B6"/>
    <w:rsid w:val="00067D9C"/>
    <w:rsid w:val="00080B48"/>
    <w:rsid w:val="00080D37"/>
    <w:rsid w:val="00084DD5"/>
    <w:rsid w:val="000907C5"/>
    <w:rsid w:val="00091F5C"/>
    <w:rsid w:val="00096C29"/>
    <w:rsid w:val="00096F10"/>
    <w:rsid w:val="000A0CD7"/>
    <w:rsid w:val="000A28B2"/>
    <w:rsid w:val="000A783E"/>
    <w:rsid w:val="000D4CDE"/>
    <w:rsid w:val="000E4D82"/>
    <w:rsid w:val="000F12C7"/>
    <w:rsid w:val="000F6350"/>
    <w:rsid w:val="0010328E"/>
    <w:rsid w:val="001074BF"/>
    <w:rsid w:val="0011612E"/>
    <w:rsid w:val="00116864"/>
    <w:rsid w:val="00116A38"/>
    <w:rsid w:val="001201A8"/>
    <w:rsid w:val="0012044D"/>
    <w:rsid w:val="001242FA"/>
    <w:rsid w:val="00126832"/>
    <w:rsid w:val="001272F3"/>
    <w:rsid w:val="001316BD"/>
    <w:rsid w:val="0013345C"/>
    <w:rsid w:val="001376F4"/>
    <w:rsid w:val="001378A0"/>
    <w:rsid w:val="001408A3"/>
    <w:rsid w:val="00142C84"/>
    <w:rsid w:val="00150F0C"/>
    <w:rsid w:val="00152A54"/>
    <w:rsid w:val="00157637"/>
    <w:rsid w:val="00161C21"/>
    <w:rsid w:val="00163439"/>
    <w:rsid w:val="00167B0A"/>
    <w:rsid w:val="001874DD"/>
    <w:rsid w:val="00191B32"/>
    <w:rsid w:val="001A5E39"/>
    <w:rsid w:val="001A6654"/>
    <w:rsid w:val="001A7039"/>
    <w:rsid w:val="001B045A"/>
    <w:rsid w:val="001B6F22"/>
    <w:rsid w:val="001B7B6C"/>
    <w:rsid w:val="001B7D22"/>
    <w:rsid w:val="001C48C3"/>
    <w:rsid w:val="001C655B"/>
    <w:rsid w:val="001D363C"/>
    <w:rsid w:val="001D7CE7"/>
    <w:rsid w:val="001F355A"/>
    <w:rsid w:val="002007A2"/>
    <w:rsid w:val="0020322C"/>
    <w:rsid w:val="00211B3D"/>
    <w:rsid w:val="00224E98"/>
    <w:rsid w:val="002268EC"/>
    <w:rsid w:val="00227C43"/>
    <w:rsid w:val="00230629"/>
    <w:rsid w:val="00233CEB"/>
    <w:rsid w:val="002358C7"/>
    <w:rsid w:val="00237585"/>
    <w:rsid w:val="002423F8"/>
    <w:rsid w:val="00243A2D"/>
    <w:rsid w:val="00250DF7"/>
    <w:rsid w:val="002519B9"/>
    <w:rsid w:val="00252584"/>
    <w:rsid w:val="002536AB"/>
    <w:rsid w:val="002652A7"/>
    <w:rsid w:val="0027348E"/>
    <w:rsid w:val="00282E96"/>
    <w:rsid w:val="00294C3C"/>
    <w:rsid w:val="002A24C7"/>
    <w:rsid w:val="002A49BD"/>
    <w:rsid w:val="002A6530"/>
    <w:rsid w:val="002A6C34"/>
    <w:rsid w:val="002B2833"/>
    <w:rsid w:val="002D2A17"/>
    <w:rsid w:val="002E0B1B"/>
    <w:rsid w:val="002E3754"/>
    <w:rsid w:val="002E3F32"/>
    <w:rsid w:val="002F627B"/>
    <w:rsid w:val="00300F4D"/>
    <w:rsid w:val="00302A14"/>
    <w:rsid w:val="00326EBB"/>
    <w:rsid w:val="00345AE3"/>
    <w:rsid w:val="00353ABB"/>
    <w:rsid w:val="0036191C"/>
    <w:rsid w:val="00381FB5"/>
    <w:rsid w:val="0039249F"/>
    <w:rsid w:val="00393D01"/>
    <w:rsid w:val="00395041"/>
    <w:rsid w:val="003964CF"/>
    <w:rsid w:val="003976A1"/>
    <w:rsid w:val="003B3F96"/>
    <w:rsid w:val="003B53B7"/>
    <w:rsid w:val="003C598E"/>
    <w:rsid w:val="003D3206"/>
    <w:rsid w:val="003D7E73"/>
    <w:rsid w:val="004024CD"/>
    <w:rsid w:val="00406429"/>
    <w:rsid w:val="00422E7B"/>
    <w:rsid w:val="004277D1"/>
    <w:rsid w:val="004308B4"/>
    <w:rsid w:val="00433C35"/>
    <w:rsid w:val="004401D1"/>
    <w:rsid w:val="004451E5"/>
    <w:rsid w:val="004461CD"/>
    <w:rsid w:val="004516EA"/>
    <w:rsid w:val="004538F8"/>
    <w:rsid w:val="0045588F"/>
    <w:rsid w:val="00461CDB"/>
    <w:rsid w:val="00464356"/>
    <w:rsid w:val="00465BC1"/>
    <w:rsid w:val="00470552"/>
    <w:rsid w:val="00471225"/>
    <w:rsid w:val="004713BB"/>
    <w:rsid w:val="0047567E"/>
    <w:rsid w:val="00475985"/>
    <w:rsid w:val="004773F8"/>
    <w:rsid w:val="00480C57"/>
    <w:rsid w:val="004836EB"/>
    <w:rsid w:val="00485774"/>
    <w:rsid w:val="004924F9"/>
    <w:rsid w:val="00494740"/>
    <w:rsid w:val="004A2DB4"/>
    <w:rsid w:val="004A4E54"/>
    <w:rsid w:val="004A6EAB"/>
    <w:rsid w:val="004B0121"/>
    <w:rsid w:val="004B14CB"/>
    <w:rsid w:val="004C417A"/>
    <w:rsid w:val="004C4472"/>
    <w:rsid w:val="004C6510"/>
    <w:rsid w:val="004C74B7"/>
    <w:rsid w:val="004D6FDC"/>
    <w:rsid w:val="004E7C38"/>
    <w:rsid w:val="00506646"/>
    <w:rsid w:val="00506B32"/>
    <w:rsid w:val="00506C53"/>
    <w:rsid w:val="00530AFF"/>
    <w:rsid w:val="00531A24"/>
    <w:rsid w:val="00533648"/>
    <w:rsid w:val="00533D56"/>
    <w:rsid w:val="005405E0"/>
    <w:rsid w:val="005449A6"/>
    <w:rsid w:val="00546719"/>
    <w:rsid w:val="005550B1"/>
    <w:rsid w:val="00562987"/>
    <w:rsid w:val="005673E4"/>
    <w:rsid w:val="005725B9"/>
    <w:rsid w:val="00585FF9"/>
    <w:rsid w:val="00586B64"/>
    <w:rsid w:val="0058766D"/>
    <w:rsid w:val="0059757D"/>
    <w:rsid w:val="005A2C66"/>
    <w:rsid w:val="005A472D"/>
    <w:rsid w:val="005A78F5"/>
    <w:rsid w:val="005B28D9"/>
    <w:rsid w:val="005B2C07"/>
    <w:rsid w:val="005B6492"/>
    <w:rsid w:val="005C247D"/>
    <w:rsid w:val="005C3698"/>
    <w:rsid w:val="005E12B7"/>
    <w:rsid w:val="005E3B8C"/>
    <w:rsid w:val="005E6E28"/>
    <w:rsid w:val="005F043A"/>
    <w:rsid w:val="005F06DD"/>
    <w:rsid w:val="006063A8"/>
    <w:rsid w:val="00612FE6"/>
    <w:rsid w:val="00635605"/>
    <w:rsid w:val="006401AE"/>
    <w:rsid w:val="006429DC"/>
    <w:rsid w:val="006547A0"/>
    <w:rsid w:val="00657C6B"/>
    <w:rsid w:val="006604D5"/>
    <w:rsid w:val="00660CC5"/>
    <w:rsid w:val="00661F5E"/>
    <w:rsid w:val="00664C38"/>
    <w:rsid w:val="00665D26"/>
    <w:rsid w:val="00667B32"/>
    <w:rsid w:val="0067007C"/>
    <w:rsid w:val="00675DF8"/>
    <w:rsid w:val="00676C29"/>
    <w:rsid w:val="00691558"/>
    <w:rsid w:val="0069589E"/>
    <w:rsid w:val="006A5550"/>
    <w:rsid w:val="006B4916"/>
    <w:rsid w:val="006C07E8"/>
    <w:rsid w:val="006C17CA"/>
    <w:rsid w:val="006D5113"/>
    <w:rsid w:val="006D5E9A"/>
    <w:rsid w:val="006E36A8"/>
    <w:rsid w:val="006F22EC"/>
    <w:rsid w:val="006F4189"/>
    <w:rsid w:val="006F7073"/>
    <w:rsid w:val="007056D6"/>
    <w:rsid w:val="0070627D"/>
    <w:rsid w:val="0071605D"/>
    <w:rsid w:val="00725734"/>
    <w:rsid w:val="00733DF3"/>
    <w:rsid w:val="00734F65"/>
    <w:rsid w:val="007363B4"/>
    <w:rsid w:val="00736C8B"/>
    <w:rsid w:val="00742692"/>
    <w:rsid w:val="0074480E"/>
    <w:rsid w:val="00752529"/>
    <w:rsid w:val="00753E0D"/>
    <w:rsid w:val="007548B1"/>
    <w:rsid w:val="00760F03"/>
    <w:rsid w:val="0076763B"/>
    <w:rsid w:val="00774526"/>
    <w:rsid w:val="00792AB2"/>
    <w:rsid w:val="0079424E"/>
    <w:rsid w:val="007C7FF9"/>
    <w:rsid w:val="007D0B2C"/>
    <w:rsid w:val="007D111A"/>
    <w:rsid w:val="007D1A92"/>
    <w:rsid w:val="007E2CC2"/>
    <w:rsid w:val="007E6B1C"/>
    <w:rsid w:val="007F1BAD"/>
    <w:rsid w:val="008020B3"/>
    <w:rsid w:val="00813B66"/>
    <w:rsid w:val="00817F6E"/>
    <w:rsid w:val="00825581"/>
    <w:rsid w:val="00826B62"/>
    <w:rsid w:val="00826B84"/>
    <w:rsid w:val="00832749"/>
    <w:rsid w:val="008368F8"/>
    <w:rsid w:val="00841EF9"/>
    <w:rsid w:val="00842EE6"/>
    <w:rsid w:val="00843504"/>
    <w:rsid w:val="00845537"/>
    <w:rsid w:val="00850D84"/>
    <w:rsid w:val="00851F92"/>
    <w:rsid w:val="00854D49"/>
    <w:rsid w:val="00855284"/>
    <w:rsid w:val="00864B12"/>
    <w:rsid w:val="00866974"/>
    <w:rsid w:val="00870269"/>
    <w:rsid w:val="0087725F"/>
    <w:rsid w:val="00877299"/>
    <w:rsid w:val="00877FDC"/>
    <w:rsid w:val="008839EB"/>
    <w:rsid w:val="0089383E"/>
    <w:rsid w:val="00896CC4"/>
    <w:rsid w:val="008A6A51"/>
    <w:rsid w:val="008C185D"/>
    <w:rsid w:val="008D06A9"/>
    <w:rsid w:val="008D1BFE"/>
    <w:rsid w:val="008D5F91"/>
    <w:rsid w:val="008E21E8"/>
    <w:rsid w:val="008F1FE6"/>
    <w:rsid w:val="00911C07"/>
    <w:rsid w:val="009151CE"/>
    <w:rsid w:val="0091565F"/>
    <w:rsid w:val="00936C25"/>
    <w:rsid w:val="009403E4"/>
    <w:rsid w:val="00940EE8"/>
    <w:rsid w:val="00941EC3"/>
    <w:rsid w:val="009459F5"/>
    <w:rsid w:val="00946519"/>
    <w:rsid w:val="009713E0"/>
    <w:rsid w:val="00971E10"/>
    <w:rsid w:val="00974003"/>
    <w:rsid w:val="00983398"/>
    <w:rsid w:val="00983DFC"/>
    <w:rsid w:val="00984993"/>
    <w:rsid w:val="00997E4D"/>
    <w:rsid w:val="009A134D"/>
    <w:rsid w:val="009A44A4"/>
    <w:rsid w:val="009A76EC"/>
    <w:rsid w:val="009A7968"/>
    <w:rsid w:val="009B05FA"/>
    <w:rsid w:val="009B2163"/>
    <w:rsid w:val="009B6B0C"/>
    <w:rsid w:val="009D6AFF"/>
    <w:rsid w:val="009F421E"/>
    <w:rsid w:val="009F78C2"/>
    <w:rsid w:val="00A0499A"/>
    <w:rsid w:val="00A04E6F"/>
    <w:rsid w:val="00A07674"/>
    <w:rsid w:val="00A1134A"/>
    <w:rsid w:val="00A1137A"/>
    <w:rsid w:val="00A26444"/>
    <w:rsid w:val="00A37C48"/>
    <w:rsid w:val="00A410AB"/>
    <w:rsid w:val="00A571FA"/>
    <w:rsid w:val="00A62F67"/>
    <w:rsid w:val="00A71936"/>
    <w:rsid w:val="00A73C6B"/>
    <w:rsid w:val="00A767BD"/>
    <w:rsid w:val="00A82EDB"/>
    <w:rsid w:val="00A91AF9"/>
    <w:rsid w:val="00A923BA"/>
    <w:rsid w:val="00A95504"/>
    <w:rsid w:val="00AA3806"/>
    <w:rsid w:val="00AA41B5"/>
    <w:rsid w:val="00AA43B1"/>
    <w:rsid w:val="00AB14E2"/>
    <w:rsid w:val="00AB6035"/>
    <w:rsid w:val="00AB729F"/>
    <w:rsid w:val="00AC274D"/>
    <w:rsid w:val="00AD1CFC"/>
    <w:rsid w:val="00AD2F93"/>
    <w:rsid w:val="00AD4F5C"/>
    <w:rsid w:val="00AD5D1D"/>
    <w:rsid w:val="00AE08C1"/>
    <w:rsid w:val="00AE36C0"/>
    <w:rsid w:val="00AE379D"/>
    <w:rsid w:val="00AF0334"/>
    <w:rsid w:val="00B06797"/>
    <w:rsid w:val="00B11B75"/>
    <w:rsid w:val="00B17386"/>
    <w:rsid w:val="00B24303"/>
    <w:rsid w:val="00B26032"/>
    <w:rsid w:val="00B27765"/>
    <w:rsid w:val="00B43CF1"/>
    <w:rsid w:val="00B46C22"/>
    <w:rsid w:val="00B47566"/>
    <w:rsid w:val="00B57E2D"/>
    <w:rsid w:val="00B74739"/>
    <w:rsid w:val="00B75111"/>
    <w:rsid w:val="00B7792B"/>
    <w:rsid w:val="00B80E15"/>
    <w:rsid w:val="00BA082C"/>
    <w:rsid w:val="00BA0C2D"/>
    <w:rsid w:val="00BA238E"/>
    <w:rsid w:val="00BA6668"/>
    <w:rsid w:val="00BB2B33"/>
    <w:rsid w:val="00BB7054"/>
    <w:rsid w:val="00BB7DA8"/>
    <w:rsid w:val="00BC43BA"/>
    <w:rsid w:val="00BC7324"/>
    <w:rsid w:val="00BD1FC9"/>
    <w:rsid w:val="00BD4115"/>
    <w:rsid w:val="00BD7D6C"/>
    <w:rsid w:val="00BE59B4"/>
    <w:rsid w:val="00BE76F8"/>
    <w:rsid w:val="00BF160C"/>
    <w:rsid w:val="00BF4D46"/>
    <w:rsid w:val="00C03139"/>
    <w:rsid w:val="00C126DE"/>
    <w:rsid w:val="00C22F96"/>
    <w:rsid w:val="00C350DB"/>
    <w:rsid w:val="00C50BB5"/>
    <w:rsid w:val="00C53CBF"/>
    <w:rsid w:val="00C55331"/>
    <w:rsid w:val="00C64AA7"/>
    <w:rsid w:val="00C7247F"/>
    <w:rsid w:val="00C74FA4"/>
    <w:rsid w:val="00C77053"/>
    <w:rsid w:val="00C77304"/>
    <w:rsid w:val="00C9378A"/>
    <w:rsid w:val="00C93F1D"/>
    <w:rsid w:val="00C95A96"/>
    <w:rsid w:val="00C95BF7"/>
    <w:rsid w:val="00C965E2"/>
    <w:rsid w:val="00CB0532"/>
    <w:rsid w:val="00CB087D"/>
    <w:rsid w:val="00CB48C9"/>
    <w:rsid w:val="00CB4D2A"/>
    <w:rsid w:val="00CB711D"/>
    <w:rsid w:val="00CC309A"/>
    <w:rsid w:val="00CC5F3C"/>
    <w:rsid w:val="00CD13DA"/>
    <w:rsid w:val="00CE416A"/>
    <w:rsid w:val="00CE6F46"/>
    <w:rsid w:val="00CF22F0"/>
    <w:rsid w:val="00D01977"/>
    <w:rsid w:val="00D060BC"/>
    <w:rsid w:val="00D1384C"/>
    <w:rsid w:val="00D16F65"/>
    <w:rsid w:val="00D17800"/>
    <w:rsid w:val="00D3003D"/>
    <w:rsid w:val="00D31579"/>
    <w:rsid w:val="00D316A3"/>
    <w:rsid w:val="00D37B25"/>
    <w:rsid w:val="00D47179"/>
    <w:rsid w:val="00D47C68"/>
    <w:rsid w:val="00D54033"/>
    <w:rsid w:val="00D6020D"/>
    <w:rsid w:val="00D65BB1"/>
    <w:rsid w:val="00D65CFA"/>
    <w:rsid w:val="00D662D8"/>
    <w:rsid w:val="00D67581"/>
    <w:rsid w:val="00D7159A"/>
    <w:rsid w:val="00D80639"/>
    <w:rsid w:val="00D91810"/>
    <w:rsid w:val="00D92219"/>
    <w:rsid w:val="00D9632B"/>
    <w:rsid w:val="00DA1693"/>
    <w:rsid w:val="00DA5F97"/>
    <w:rsid w:val="00DA6845"/>
    <w:rsid w:val="00DA6A23"/>
    <w:rsid w:val="00DB1C1C"/>
    <w:rsid w:val="00DB59F6"/>
    <w:rsid w:val="00DC0119"/>
    <w:rsid w:val="00DC3A83"/>
    <w:rsid w:val="00DC4F5A"/>
    <w:rsid w:val="00DD1B2E"/>
    <w:rsid w:val="00DD519F"/>
    <w:rsid w:val="00DD67A6"/>
    <w:rsid w:val="00DE2B5B"/>
    <w:rsid w:val="00DE781C"/>
    <w:rsid w:val="00E05FDB"/>
    <w:rsid w:val="00E06256"/>
    <w:rsid w:val="00E20C98"/>
    <w:rsid w:val="00E23834"/>
    <w:rsid w:val="00E27D05"/>
    <w:rsid w:val="00E33803"/>
    <w:rsid w:val="00E3383B"/>
    <w:rsid w:val="00E34D13"/>
    <w:rsid w:val="00E35C1B"/>
    <w:rsid w:val="00E425B7"/>
    <w:rsid w:val="00E43147"/>
    <w:rsid w:val="00E461E1"/>
    <w:rsid w:val="00E46FFC"/>
    <w:rsid w:val="00E52C60"/>
    <w:rsid w:val="00E71605"/>
    <w:rsid w:val="00E878A3"/>
    <w:rsid w:val="00E92D97"/>
    <w:rsid w:val="00E954CD"/>
    <w:rsid w:val="00E958ED"/>
    <w:rsid w:val="00E9702B"/>
    <w:rsid w:val="00EA3C51"/>
    <w:rsid w:val="00EA7F73"/>
    <w:rsid w:val="00EB3DD7"/>
    <w:rsid w:val="00EB5FD3"/>
    <w:rsid w:val="00EB6309"/>
    <w:rsid w:val="00EB6600"/>
    <w:rsid w:val="00EC364A"/>
    <w:rsid w:val="00ED2BD1"/>
    <w:rsid w:val="00ED6085"/>
    <w:rsid w:val="00ED6A3D"/>
    <w:rsid w:val="00ED6D33"/>
    <w:rsid w:val="00ED79B2"/>
    <w:rsid w:val="00EF570C"/>
    <w:rsid w:val="00EF6DFD"/>
    <w:rsid w:val="00EF7A82"/>
    <w:rsid w:val="00F00D47"/>
    <w:rsid w:val="00F04F2F"/>
    <w:rsid w:val="00F076F4"/>
    <w:rsid w:val="00F10EFF"/>
    <w:rsid w:val="00F12F83"/>
    <w:rsid w:val="00F150EC"/>
    <w:rsid w:val="00F159A0"/>
    <w:rsid w:val="00F207C0"/>
    <w:rsid w:val="00F22948"/>
    <w:rsid w:val="00F2313C"/>
    <w:rsid w:val="00F3562D"/>
    <w:rsid w:val="00F47645"/>
    <w:rsid w:val="00F51820"/>
    <w:rsid w:val="00F5323E"/>
    <w:rsid w:val="00F565E3"/>
    <w:rsid w:val="00F63FB5"/>
    <w:rsid w:val="00F646F1"/>
    <w:rsid w:val="00F662DD"/>
    <w:rsid w:val="00F733B3"/>
    <w:rsid w:val="00F73896"/>
    <w:rsid w:val="00F75C72"/>
    <w:rsid w:val="00F81C7E"/>
    <w:rsid w:val="00F84234"/>
    <w:rsid w:val="00F86D3A"/>
    <w:rsid w:val="00F92B75"/>
    <w:rsid w:val="00F93750"/>
    <w:rsid w:val="00FA1E7B"/>
    <w:rsid w:val="00FA4628"/>
    <w:rsid w:val="00FA6DDE"/>
    <w:rsid w:val="00FB6F81"/>
    <w:rsid w:val="00FC2637"/>
    <w:rsid w:val="00FC2AEF"/>
    <w:rsid w:val="00FC4D59"/>
    <w:rsid w:val="00FC64F7"/>
    <w:rsid w:val="00FD2FB5"/>
    <w:rsid w:val="00FD50D5"/>
    <w:rsid w:val="00FD7A34"/>
    <w:rsid w:val="00FE22A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5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EB"/>
    <w:pPr>
      <w:spacing w:after="0" w:line="360" w:lineRule="auto"/>
    </w:pPr>
    <w:rPr>
      <w:rFonts w:eastAsiaTheme="minorEastAsia"/>
      <w:sz w:val="24"/>
      <w:szCs w:val="24"/>
      <w:lang w:eastAsia="da-DK"/>
    </w:rPr>
  </w:style>
  <w:style w:type="paragraph" w:styleId="Overskrift1">
    <w:name w:val="heading 1"/>
    <w:basedOn w:val="Normal"/>
    <w:next w:val="Normal"/>
    <w:link w:val="Overskrift1Tegn"/>
    <w:uiPriority w:val="9"/>
    <w:qFormat/>
    <w:rsid w:val="00F5323E"/>
    <w:pPr>
      <w:keepNext/>
      <w:keepLines/>
      <w:spacing w:before="360" w:after="360" w:line="240" w:lineRule="auto"/>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5323E"/>
    <w:pPr>
      <w:keepNext/>
      <w:keepLines/>
      <w:spacing w:before="240" w:after="240" w:line="240"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5323E"/>
    <w:pPr>
      <w:keepNext/>
      <w:keepLines/>
      <w:spacing w:before="240" w:after="240" w:line="240" w:lineRule="auto"/>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53A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5323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F5323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5323E"/>
    <w:rPr>
      <w:rFonts w:asciiTheme="majorHAnsi" w:eastAsiaTheme="majorEastAsia" w:hAnsiTheme="majorHAnsi" w:cstheme="majorBidi"/>
      <w:b/>
      <w:bCs/>
      <w:color w:val="4F81BD" w:themeColor="accent1"/>
    </w:rPr>
  </w:style>
  <w:style w:type="paragraph" w:styleId="Brdtekst">
    <w:name w:val="Body Text"/>
    <w:basedOn w:val="Normal"/>
    <w:link w:val="BrdtekstTegn"/>
    <w:uiPriority w:val="99"/>
    <w:rsid w:val="00DD519F"/>
    <w:pPr>
      <w:spacing w:before="120" w:after="120" w:line="240" w:lineRule="atLeast"/>
      <w:ind w:left="851"/>
    </w:pPr>
    <w:rPr>
      <w:rFonts w:ascii="Arial" w:eastAsia="Calibri" w:hAnsi="Arial" w:cs="Times New Roman"/>
      <w:sz w:val="20"/>
      <w:lang w:val="en-GB" w:eastAsia="en-US"/>
    </w:rPr>
  </w:style>
  <w:style w:type="character" w:customStyle="1" w:styleId="BrdtekstTegn">
    <w:name w:val="Brødtekst Tegn"/>
    <w:basedOn w:val="Standardskrifttypeiafsnit"/>
    <w:link w:val="Brdtekst"/>
    <w:uiPriority w:val="99"/>
    <w:rsid w:val="00DD519F"/>
    <w:rPr>
      <w:rFonts w:ascii="Arial" w:eastAsia="Calibri" w:hAnsi="Arial" w:cs="Times New Roman"/>
      <w:sz w:val="20"/>
      <w:szCs w:val="24"/>
      <w:lang w:val="en-GB"/>
    </w:rPr>
  </w:style>
  <w:style w:type="character" w:styleId="Hyperlink">
    <w:name w:val="Hyperlink"/>
    <w:basedOn w:val="Standardskrifttypeiafsnit"/>
    <w:uiPriority w:val="99"/>
    <w:unhideWhenUsed/>
    <w:rsid w:val="00DD519F"/>
    <w:rPr>
      <w:color w:val="0000FF" w:themeColor="hyperlink"/>
      <w:u w:val="single"/>
    </w:rPr>
  </w:style>
  <w:style w:type="paragraph" w:styleId="Fodnotetekst">
    <w:name w:val="footnote text"/>
    <w:basedOn w:val="Normal"/>
    <w:link w:val="FodnotetekstTegn"/>
    <w:uiPriority w:val="99"/>
    <w:unhideWhenUsed/>
    <w:rsid w:val="00843504"/>
    <w:rPr>
      <w:sz w:val="20"/>
      <w:szCs w:val="20"/>
    </w:rPr>
  </w:style>
  <w:style w:type="character" w:customStyle="1" w:styleId="FodnotetekstTegn">
    <w:name w:val="Fodnotetekst Tegn"/>
    <w:basedOn w:val="Standardskrifttypeiafsnit"/>
    <w:link w:val="Fodnotetekst"/>
    <w:uiPriority w:val="99"/>
    <w:rsid w:val="00843504"/>
    <w:rPr>
      <w:rFonts w:eastAsiaTheme="minorEastAsia"/>
      <w:sz w:val="20"/>
      <w:szCs w:val="20"/>
      <w:lang w:eastAsia="da-DK"/>
    </w:rPr>
  </w:style>
  <w:style w:type="character" w:styleId="Fodnotehenvisning">
    <w:name w:val="footnote reference"/>
    <w:basedOn w:val="Standardskrifttypeiafsnit"/>
    <w:uiPriority w:val="99"/>
    <w:unhideWhenUsed/>
    <w:rsid w:val="00843504"/>
    <w:rPr>
      <w:vertAlign w:val="superscript"/>
    </w:rPr>
  </w:style>
  <w:style w:type="paragraph" w:styleId="Sidehoved">
    <w:name w:val="header"/>
    <w:basedOn w:val="Normal"/>
    <w:link w:val="SidehovedTegn"/>
    <w:uiPriority w:val="99"/>
    <w:unhideWhenUsed/>
    <w:rsid w:val="008839E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839EB"/>
    <w:rPr>
      <w:rFonts w:eastAsiaTheme="minorEastAsia"/>
      <w:sz w:val="24"/>
      <w:szCs w:val="24"/>
      <w:lang w:eastAsia="da-DK"/>
    </w:rPr>
  </w:style>
  <w:style w:type="paragraph" w:styleId="Sidefod">
    <w:name w:val="footer"/>
    <w:basedOn w:val="Normal"/>
    <w:link w:val="SidefodTegn"/>
    <w:uiPriority w:val="99"/>
    <w:unhideWhenUsed/>
    <w:rsid w:val="008839EB"/>
    <w:pPr>
      <w:tabs>
        <w:tab w:val="center" w:pos="4819"/>
        <w:tab w:val="right" w:pos="9638"/>
      </w:tabs>
      <w:spacing w:line="240" w:lineRule="auto"/>
    </w:pPr>
  </w:style>
  <w:style w:type="character" w:customStyle="1" w:styleId="SidefodTegn">
    <w:name w:val="Sidefod Tegn"/>
    <w:basedOn w:val="Standardskrifttypeiafsnit"/>
    <w:link w:val="Sidefod"/>
    <w:uiPriority w:val="99"/>
    <w:rsid w:val="008839EB"/>
    <w:rPr>
      <w:rFonts w:eastAsiaTheme="minorEastAsia"/>
      <w:sz w:val="24"/>
      <w:szCs w:val="24"/>
      <w:lang w:eastAsia="da-DK"/>
    </w:rPr>
  </w:style>
  <w:style w:type="paragraph" w:styleId="Markeringsbobletekst">
    <w:name w:val="Balloon Text"/>
    <w:basedOn w:val="Normal"/>
    <w:link w:val="MarkeringsbobletekstTegn"/>
    <w:uiPriority w:val="99"/>
    <w:semiHidden/>
    <w:unhideWhenUsed/>
    <w:rsid w:val="009D6AF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AFF"/>
    <w:rPr>
      <w:rFonts w:ascii="Tahoma" w:eastAsiaTheme="minorEastAsia" w:hAnsi="Tahoma" w:cs="Tahoma"/>
      <w:sz w:val="16"/>
      <w:szCs w:val="16"/>
      <w:lang w:eastAsia="da-DK"/>
    </w:rPr>
  </w:style>
  <w:style w:type="character" w:styleId="Kommentarhenvisning">
    <w:name w:val="annotation reference"/>
    <w:basedOn w:val="Standardskrifttypeiafsnit"/>
    <w:uiPriority w:val="99"/>
    <w:semiHidden/>
    <w:unhideWhenUsed/>
    <w:rsid w:val="004401D1"/>
    <w:rPr>
      <w:sz w:val="18"/>
      <w:szCs w:val="18"/>
    </w:rPr>
  </w:style>
  <w:style w:type="paragraph" w:styleId="Kommentartekst">
    <w:name w:val="annotation text"/>
    <w:basedOn w:val="Normal"/>
    <w:link w:val="KommentartekstTegn"/>
    <w:uiPriority w:val="99"/>
    <w:semiHidden/>
    <w:unhideWhenUsed/>
    <w:rsid w:val="004401D1"/>
    <w:pPr>
      <w:spacing w:line="240" w:lineRule="auto"/>
    </w:pPr>
  </w:style>
  <w:style w:type="character" w:customStyle="1" w:styleId="KommentartekstTegn">
    <w:name w:val="Kommentartekst Tegn"/>
    <w:basedOn w:val="Standardskrifttypeiafsnit"/>
    <w:link w:val="Kommentartekst"/>
    <w:uiPriority w:val="99"/>
    <w:semiHidden/>
    <w:rsid w:val="004401D1"/>
    <w:rPr>
      <w:rFonts w:eastAsiaTheme="minorEastAsia"/>
      <w:sz w:val="24"/>
      <w:szCs w:val="24"/>
      <w:lang w:eastAsia="da-DK"/>
    </w:rPr>
  </w:style>
  <w:style w:type="paragraph" w:styleId="Kommentaremne">
    <w:name w:val="annotation subject"/>
    <w:basedOn w:val="Kommentartekst"/>
    <w:next w:val="Kommentartekst"/>
    <w:link w:val="KommentaremneTegn"/>
    <w:uiPriority w:val="99"/>
    <w:semiHidden/>
    <w:unhideWhenUsed/>
    <w:rsid w:val="004401D1"/>
    <w:rPr>
      <w:b/>
      <w:bCs/>
      <w:sz w:val="20"/>
      <w:szCs w:val="20"/>
    </w:rPr>
  </w:style>
  <w:style w:type="character" w:customStyle="1" w:styleId="KommentaremneTegn">
    <w:name w:val="Kommentaremne Tegn"/>
    <w:basedOn w:val="KommentartekstTegn"/>
    <w:link w:val="Kommentaremne"/>
    <w:uiPriority w:val="99"/>
    <w:semiHidden/>
    <w:rsid w:val="004401D1"/>
    <w:rPr>
      <w:rFonts w:eastAsiaTheme="minorEastAsia"/>
      <w:b/>
      <w:bCs/>
      <w:sz w:val="20"/>
      <w:szCs w:val="20"/>
      <w:lang w:eastAsia="da-DK"/>
    </w:rPr>
  </w:style>
  <w:style w:type="character" w:customStyle="1" w:styleId="Overskrift4Tegn">
    <w:name w:val="Overskrift 4 Tegn"/>
    <w:basedOn w:val="Standardskrifttypeiafsnit"/>
    <w:link w:val="Overskrift4"/>
    <w:uiPriority w:val="9"/>
    <w:rsid w:val="00353ABB"/>
    <w:rPr>
      <w:rFonts w:asciiTheme="majorHAnsi" w:eastAsiaTheme="majorEastAsia" w:hAnsiTheme="majorHAnsi" w:cstheme="majorBidi"/>
      <w:b/>
      <w:bCs/>
      <w:i/>
      <w:iCs/>
      <w:color w:val="4F81BD" w:themeColor="accent1"/>
      <w:sz w:val="24"/>
      <w:szCs w:val="24"/>
      <w:lang w:eastAsia="da-DK"/>
    </w:rPr>
  </w:style>
  <w:style w:type="character" w:customStyle="1" w:styleId="hps">
    <w:name w:val="hps"/>
    <w:basedOn w:val="Standardskrifttypeiafsnit"/>
    <w:rsid w:val="00792AB2"/>
  </w:style>
  <w:style w:type="character" w:customStyle="1" w:styleId="Dato1">
    <w:name w:val="Dato1"/>
    <w:basedOn w:val="Standardskrifttypeiafsnit"/>
    <w:rsid w:val="009B6B0C"/>
  </w:style>
  <w:style w:type="character" w:customStyle="1" w:styleId="journal">
    <w:name w:val="journal"/>
    <w:basedOn w:val="Standardskrifttypeiafsnit"/>
    <w:rsid w:val="009B6B0C"/>
  </w:style>
  <w:style w:type="character" w:customStyle="1" w:styleId="volume">
    <w:name w:val="volume"/>
    <w:basedOn w:val="Standardskrifttypeiafsnit"/>
    <w:rsid w:val="009B6B0C"/>
  </w:style>
  <w:style w:type="character" w:customStyle="1" w:styleId="numberofpages">
    <w:name w:val="numberofpages"/>
    <w:basedOn w:val="Standardskrifttypeiafsnit"/>
    <w:rsid w:val="009B6B0C"/>
  </w:style>
  <w:style w:type="paragraph" w:styleId="Korrektur">
    <w:name w:val="Revision"/>
    <w:hidden/>
    <w:uiPriority w:val="99"/>
    <w:semiHidden/>
    <w:rsid w:val="00C350DB"/>
    <w:pPr>
      <w:spacing w:after="0" w:line="240" w:lineRule="auto"/>
    </w:pPr>
    <w:rPr>
      <w:rFonts w:eastAsiaTheme="minorEastAsia"/>
      <w:sz w:val="24"/>
      <w:szCs w:val="24"/>
      <w:lang w:eastAsia="da-DK"/>
    </w:rPr>
  </w:style>
  <w:style w:type="character" w:customStyle="1" w:styleId="gt-card-ttl-txt1">
    <w:name w:val="gt-card-ttl-txt1"/>
    <w:basedOn w:val="Standardskrifttypeiafsnit"/>
    <w:rsid w:val="00665D26"/>
    <w:rPr>
      <w:color w:val="222222"/>
    </w:rPr>
  </w:style>
  <w:style w:type="character" w:styleId="Strk">
    <w:name w:val="Strong"/>
    <w:basedOn w:val="Standardskrifttypeiafsnit"/>
    <w:uiPriority w:val="22"/>
    <w:qFormat/>
    <w:rsid w:val="00FA4628"/>
    <w:rPr>
      <w:b/>
      <w:bCs/>
    </w:rPr>
  </w:style>
  <w:style w:type="character" w:styleId="BesgtHyperlink">
    <w:name w:val="FollowedHyperlink"/>
    <w:basedOn w:val="Standardskrifttypeiafsnit"/>
    <w:uiPriority w:val="99"/>
    <w:semiHidden/>
    <w:unhideWhenUsed/>
    <w:rsid w:val="004308B4"/>
    <w:rPr>
      <w:color w:val="800080" w:themeColor="followedHyperlink"/>
      <w:u w:val="single"/>
    </w:rPr>
  </w:style>
  <w:style w:type="paragraph" w:styleId="NormalWeb">
    <w:name w:val="Normal (Web)"/>
    <w:basedOn w:val="Normal"/>
    <w:uiPriority w:val="99"/>
    <w:unhideWhenUsed/>
    <w:rsid w:val="001201A8"/>
    <w:pPr>
      <w:spacing w:before="100" w:beforeAutospacing="1" w:after="100" w:afterAutospacing="1" w:line="240" w:lineRule="auto"/>
    </w:pPr>
    <w:rPr>
      <w:rFonts w:ascii="Times New Roman" w:eastAsia="Times New Roman" w:hAnsi="Times New Roman" w:cs="Times New Roman"/>
    </w:rPr>
  </w:style>
  <w:style w:type="paragraph" w:styleId="Listeafsnit">
    <w:name w:val="List Paragraph"/>
    <w:basedOn w:val="Normal"/>
    <w:uiPriority w:val="34"/>
    <w:qFormat/>
    <w:rsid w:val="00EA3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EB"/>
    <w:pPr>
      <w:spacing w:after="0" w:line="360" w:lineRule="auto"/>
    </w:pPr>
    <w:rPr>
      <w:rFonts w:eastAsiaTheme="minorEastAsia"/>
      <w:sz w:val="24"/>
      <w:szCs w:val="24"/>
      <w:lang w:eastAsia="da-DK"/>
    </w:rPr>
  </w:style>
  <w:style w:type="paragraph" w:styleId="Overskrift1">
    <w:name w:val="heading 1"/>
    <w:basedOn w:val="Normal"/>
    <w:next w:val="Normal"/>
    <w:link w:val="Overskrift1Tegn"/>
    <w:uiPriority w:val="9"/>
    <w:qFormat/>
    <w:rsid w:val="00F5323E"/>
    <w:pPr>
      <w:keepNext/>
      <w:keepLines/>
      <w:spacing w:before="360" w:after="360" w:line="240" w:lineRule="auto"/>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5323E"/>
    <w:pPr>
      <w:keepNext/>
      <w:keepLines/>
      <w:spacing w:before="240" w:after="240" w:line="240"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5323E"/>
    <w:pPr>
      <w:keepNext/>
      <w:keepLines/>
      <w:spacing w:before="240" w:after="240" w:line="240" w:lineRule="auto"/>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53A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5323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F5323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5323E"/>
    <w:rPr>
      <w:rFonts w:asciiTheme="majorHAnsi" w:eastAsiaTheme="majorEastAsia" w:hAnsiTheme="majorHAnsi" w:cstheme="majorBidi"/>
      <w:b/>
      <w:bCs/>
      <w:color w:val="4F81BD" w:themeColor="accent1"/>
    </w:rPr>
  </w:style>
  <w:style w:type="paragraph" w:styleId="Brdtekst">
    <w:name w:val="Body Text"/>
    <w:basedOn w:val="Normal"/>
    <w:link w:val="BrdtekstTegn"/>
    <w:uiPriority w:val="99"/>
    <w:rsid w:val="00DD519F"/>
    <w:pPr>
      <w:spacing w:before="120" w:after="120" w:line="240" w:lineRule="atLeast"/>
      <w:ind w:left="851"/>
    </w:pPr>
    <w:rPr>
      <w:rFonts w:ascii="Arial" w:eastAsia="Calibri" w:hAnsi="Arial" w:cs="Times New Roman"/>
      <w:sz w:val="20"/>
      <w:lang w:val="en-GB" w:eastAsia="en-US"/>
    </w:rPr>
  </w:style>
  <w:style w:type="character" w:customStyle="1" w:styleId="BrdtekstTegn">
    <w:name w:val="Brødtekst Tegn"/>
    <w:basedOn w:val="Standardskrifttypeiafsnit"/>
    <w:link w:val="Brdtekst"/>
    <w:uiPriority w:val="99"/>
    <w:rsid w:val="00DD519F"/>
    <w:rPr>
      <w:rFonts w:ascii="Arial" w:eastAsia="Calibri" w:hAnsi="Arial" w:cs="Times New Roman"/>
      <w:sz w:val="20"/>
      <w:szCs w:val="24"/>
      <w:lang w:val="en-GB"/>
    </w:rPr>
  </w:style>
  <w:style w:type="character" w:styleId="Hyperlink">
    <w:name w:val="Hyperlink"/>
    <w:basedOn w:val="Standardskrifttypeiafsnit"/>
    <w:uiPriority w:val="99"/>
    <w:unhideWhenUsed/>
    <w:rsid w:val="00DD519F"/>
    <w:rPr>
      <w:color w:val="0000FF" w:themeColor="hyperlink"/>
      <w:u w:val="single"/>
    </w:rPr>
  </w:style>
  <w:style w:type="paragraph" w:styleId="Fodnotetekst">
    <w:name w:val="footnote text"/>
    <w:basedOn w:val="Normal"/>
    <w:link w:val="FodnotetekstTegn"/>
    <w:uiPriority w:val="99"/>
    <w:unhideWhenUsed/>
    <w:rsid w:val="00843504"/>
    <w:rPr>
      <w:sz w:val="20"/>
      <w:szCs w:val="20"/>
    </w:rPr>
  </w:style>
  <w:style w:type="character" w:customStyle="1" w:styleId="FodnotetekstTegn">
    <w:name w:val="Fodnotetekst Tegn"/>
    <w:basedOn w:val="Standardskrifttypeiafsnit"/>
    <w:link w:val="Fodnotetekst"/>
    <w:uiPriority w:val="99"/>
    <w:rsid w:val="00843504"/>
    <w:rPr>
      <w:rFonts w:eastAsiaTheme="minorEastAsia"/>
      <w:sz w:val="20"/>
      <w:szCs w:val="20"/>
      <w:lang w:eastAsia="da-DK"/>
    </w:rPr>
  </w:style>
  <w:style w:type="character" w:styleId="Fodnotehenvisning">
    <w:name w:val="footnote reference"/>
    <w:basedOn w:val="Standardskrifttypeiafsnit"/>
    <w:uiPriority w:val="99"/>
    <w:unhideWhenUsed/>
    <w:rsid w:val="00843504"/>
    <w:rPr>
      <w:vertAlign w:val="superscript"/>
    </w:rPr>
  </w:style>
  <w:style w:type="paragraph" w:styleId="Sidehoved">
    <w:name w:val="header"/>
    <w:basedOn w:val="Normal"/>
    <w:link w:val="SidehovedTegn"/>
    <w:uiPriority w:val="99"/>
    <w:unhideWhenUsed/>
    <w:rsid w:val="008839E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839EB"/>
    <w:rPr>
      <w:rFonts w:eastAsiaTheme="minorEastAsia"/>
      <w:sz w:val="24"/>
      <w:szCs w:val="24"/>
      <w:lang w:eastAsia="da-DK"/>
    </w:rPr>
  </w:style>
  <w:style w:type="paragraph" w:styleId="Sidefod">
    <w:name w:val="footer"/>
    <w:basedOn w:val="Normal"/>
    <w:link w:val="SidefodTegn"/>
    <w:uiPriority w:val="99"/>
    <w:unhideWhenUsed/>
    <w:rsid w:val="008839EB"/>
    <w:pPr>
      <w:tabs>
        <w:tab w:val="center" w:pos="4819"/>
        <w:tab w:val="right" w:pos="9638"/>
      </w:tabs>
      <w:spacing w:line="240" w:lineRule="auto"/>
    </w:pPr>
  </w:style>
  <w:style w:type="character" w:customStyle="1" w:styleId="SidefodTegn">
    <w:name w:val="Sidefod Tegn"/>
    <w:basedOn w:val="Standardskrifttypeiafsnit"/>
    <w:link w:val="Sidefod"/>
    <w:uiPriority w:val="99"/>
    <w:rsid w:val="008839EB"/>
    <w:rPr>
      <w:rFonts w:eastAsiaTheme="minorEastAsia"/>
      <w:sz w:val="24"/>
      <w:szCs w:val="24"/>
      <w:lang w:eastAsia="da-DK"/>
    </w:rPr>
  </w:style>
  <w:style w:type="paragraph" w:styleId="Markeringsbobletekst">
    <w:name w:val="Balloon Text"/>
    <w:basedOn w:val="Normal"/>
    <w:link w:val="MarkeringsbobletekstTegn"/>
    <w:uiPriority w:val="99"/>
    <w:semiHidden/>
    <w:unhideWhenUsed/>
    <w:rsid w:val="009D6AF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AFF"/>
    <w:rPr>
      <w:rFonts w:ascii="Tahoma" w:eastAsiaTheme="minorEastAsia" w:hAnsi="Tahoma" w:cs="Tahoma"/>
      <w:sz w:val="16"/>
      <w:szCs w:val="16"/>
      <w:lang w:eastAsia="da-DK"/>
    </w:rPr>
  </w:style>
  <w:style w:type="character" w:styleId="Kommentarhenvisning">
    <w:name w:val="annotation reference"/>
    <w:basedOn w:val="Standardskrifttypeiafsnit"/>
    <w:uiPriority w:val="99"/>
    <w:semiHidden/>
    <w:unhideWhenUsed/>
    <w:rsid w:val="004401D1"/>
    <w:rPr>
      <w:sz w:val="18"/>
      <w:szCs w:val="18"/>
    </w:rPr>
  </w:style>
  <w:style w:type="paragraph" w:styleId="Kommentartekst">
    <w:name w:val="annotation text"/>
    <w:basedOn w:val="Normal"/>
    <w:link w:val="KommentartekstTegn"/>
    <w:uiPriority w:val="99"/>
    <w:semiHidden/>
    <w:unhideWhenUsed/>
    <w:rsid w:val="004401D1"/>
    <w:pPr>
      <w:spacing w:line="240" w:lineRule="auto"/>
    </w:pPr>
  </w:style>
  <w:style w:type="character" w:customStyle="1" w:styleId="KommentartekstTegn">
    <w:name w:val="Kommentartekst Tegn"/>
    <w:basedOn w:val="Standardskrifttypeiafsnit"/>
    <w:link w:val="Kommentartekst"/>
    <w:uiPriority w:val="99"/>
    <w:semiHidden/>
    <w:rsid w:val="004401D1"/>
    <w:rPr>
      <w:rFonts w:eastAsiaTheme="minorEastAsia"/>
      <w:sz w:val="24"/>
      <w:szCs w:val="24"/>
      <w:lang w:eastAsia="da-DK"/>
    </w:rPr>
  </w:style>
  <w:style w:type="paragraph" w:styleId="Kommentaremne">
    <w:name w:val="annotation subject"/>
    <w:basedOn w:val="Kommentartekst"/>
    <w:next w:val="Kommentartekst"/>
    <w:link w:val="KommentaremneTegn"/>
    <w:uiPriority w:val="99"/>
    <w:semiHidden/>
    <w:unhideWhenUsed/>
    <w:rsid w:val="004401D1"/>
    <w:rPr>
      <w:b/>
      <w:bCs/>
      <w:sz w:val="20"/>
      <w:szCs w:val="20"/>
    </w:rPr>
  </w:style>
  <w:style w:type="character" w:customStyle="1" w:styleId="KommentaremneTegn">
    <w:name w:val="Kommentaremne Tegn"/>
    <w:basedOn w:val="KommentartekstTegn"/>
    <w:link w:val="Kommentaremne"/>
    <w:uiPriority w:val="99"/>
    <w:semiHidden/>
    <w:rsid w:val="004401D1"/>
    <w:rPr>
      <w:rFonts w:eastAsiaTheme="minorEastAsia"/>
      <w:b/>
      <w:bCs/>
      <w:sz w:val="20"/>
      <w:szCs w:val="20"/>
      <w:lang w:eastAsia="da-DK"/>
    </w:rPr>
  </w:style>
  <w:style w:type="character" w:customStyle="1" w:styleId="Overskrift4Tegn">
    <w:name w:val="Overskrift 4 Tegn"/>
    <w:basedOn w:val="Standardskrifttypeiafsnit"/>
    <w:link w:val="Overskrift4"/>
    <w:uiPriority w:val="9"/>
    <w:rsid w:val="00353ABB"/>
    <w:rPr>
      <w:rFonts w:asciiTheme="majorHAnsi" w:eastAsiaTheme="majorEastAsia" w:hAnsiTheme="majorHAnsi" w:cstheme="majorBidi"/>
      <w:b/>
      <w:bCs/>
      <w:i/>
      <w:iCs/>
      <w:color w:val="4F81BD" w:themeColor="accent1"/>
      <w:sz w:val="24"/>
      <w:szCs w:val="24"/>
      <w:lang w:eastAsia="da-DK"/>
    </w:rPr>
  </w:style>
  <w:style w:type="character" w:customStyle="1" w:styleId="hps">
    <w:name w:val="hps"/>
    <w:basedOn w:val="Standardskrifttypeiafsnit"/>
    <w:rsid w:val="00792AB2"/>
  </w:style>
  <w:style w:type="character" w:customStyle="1" w:styleId="Dato1">
    <w:name w:val="Dato1"/>
    <w:basedOn w:val="Standardskrifttypeiafsnit"/>
    <w:rsid w:val="009B6B0C"/>
  </w:style>
  <w:style w:type="character" w:customStyle="1" w:styleId="journal">
    <w:name w:val="journal"/>
    <w:basedOn w:val="Standardskrifttypeiafsnit"/>
    <w:rsid w:val="009B6B0C"/>
  </w:style>
  <w:style w:type="character" w:customStyle="1" w:styleId="volume">
    <w:name w:val="volume"/>
    <w:basedOn w:val="Standardskrifttypeiafsnit"/>
    <w:rsid w:val="009B6B0C"/>
  </w:style>
  <w:style w:type="character" w:customStyle="1" w:styleId="numberofpages">
    <w:name w:val="numberofpages"/>
    <w:basedOn w:val="Standardskrifttypeiafsnit"/>
    <w:rsid w:val="009B6B0C"/>
  </w:style>
  <w:style w:type="paragraph" w:styleId="Korrektur">
    <w:name w:val="Revision"/>
    <w:hidden/>
    <w:uiPriority w:val="99"/>
    <w:semiHidden/>
    <w:rsid w:val="00C350DB"/>
    <w:pPr>
      <w:spacing w:after="0" w:line="240" w:lineRule="auto"/>
    </w:pPr>
    <w:rPr>
      <w:rFonts w:eastAsiaTheme="minorEastAsia"/>
      <w:sz w:val="24"/>
      <w:szCs w:val="24"/>
      <w:lang w:eastAsia="da-DK"/>
    </w:rPr>
  </w:style>
  <w:style w:type="character" w:customStyle="1" w:styleId="gt-card-ttl-txt1">
    <w:name w:val="gt-card-ttl-txt1"/>
    <w:basedOn w:val="Standardskrifttypeiafsnit"/>
    <w:rsid w:val="00665D26"/>
    <w:rPr>
      <w:color w:val="222222"/>
    </w:rPr>
  </w:style>
  <w:style w:type="character" w:styleId="Strk">
    <w:name w:val="Strong"/>
    <w:basedOn w:val="Standardskrifttypeiafsnit"/>
    <w:uiPriority w:val="22"/>
    <w:qFormat/>
    <w:rsid w:val="00FA4628"/>
    <w:rPr>
      <w:b/>
      <w:bCs/>
    </w:rPr>
  </w:style>
  <w:style w:type="character" w:styleId="BesgtHyperlink">
    <w:name w:val="FollowedHyperlink"/>
    <w:basedOn w:val="Standardskrifttypeiafsnit"/>
    <w:uiPriority w:val="99"/>
    <w:semiHidden/>
    <w:unhideWhenUsed/>
    <w:rsid w:val="004308B4"/>
    <w:rPr>
      <w:color w:val="800080" w:themeColor="followedHyperlink"/>
      <w:u w:val="single"/>
    </w:rPr>
  </w:style>
  <w:style w:type="paragraph" w:styleId="NormalWeb">
    <w:name w:val="Normal (Web)"/>
    <w:basedOn w:val="Normal"/>
    <w:uiPriority w:val="99"/>
    <w:unhideWhenUsed/>
    <w:rsid w:val="001201A8"/>
    <w:pPr>
      <w:spacing w:before="100" w:beforeAutospacing="1" w:after="100" w:afterAutospacing="1" w:line="240" w:lineRule="auto"/>
    </w:pPr>
    <w:rPr>
      <w:rFonts w:ascii="Times New Roman" w:eastAsia="Times New Roman" w:hAnsi="Times New Roman" w:cs="Times New Roman"/>
    </w:rPr>
  </w:style>
  <w:style w:type="paragraph" w:styleId="Listeafsnit">
    <w:name w:val="List Paragraph"/>
    <w:basedOn w:val="Normal"/>
    <w:uiPriority w:val="34"/>
    <w:qFormat/>
    <w:rsid w:val="00EA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52">
      <w:bodyDiv w:val="1"/>
      <w:marLeft w:val="0"/>
      <w:marRight w:val="0"/>
      <w:marTop w:val="0"/>
      <w:marBottom w:val="0"/>
      <w:divBdr>
        <w:top w:val="none" w:sz="0" w:space="0" w:color="auto"/>
        <w:left w:val="none" w:sz="0" w:space="0" w:color="auto"/>
        <w:bottom w:val="none" w:sz="0" w:space="0" w:color="auto"/>
        <w:right w:val="none" w:sz="0" w:space="0" w:color="auto"/>
      </w:divBdr>
      <w:divsChild>
        <w:div w:id="780490838">
          <w:marLeft w:val="0"/>
          <w:marRight w:val="0"/>
          <w:marTop w:val="0"/>
          <w:marBottom w:val="0"/>
          <w:divBdr>
            <w:top w:val="none" w:sz="0" w:space="0" w:color="auto"/>
            <w:left w:val="none" w:sz="0" w:space="0" w:color="auto"/>
            <w:bottom w:val="none" w:sz="0" w:space="0" w:color="auto"/>
            <w:right w:val="none" w:sz="0" w:space="0" w:color="auto"/>
          </w:divBdr>
          <w:divsChild>
            <w:div w:id="216090930">
              <w:marLeft w:val="0"/>
              <w:marRight w:val="0"/>
              <w:marTop w:val="0"/>
              <w:marBottom w:val="0"/>
              <w:divBdr>
                <w:top w:val="none" w:sz="0" w:space="0" w:color="auto"/>
                <w:left w:val="none" w:sz="0" w:space="0" w:color="auto"/>
                <w:bottom w:val="none" w:sz="0" w:space="0" w:color="auto"/>
                <w:right w:val="none" w:sz="0" w:space="0" w:color="auto"/>
              </w:divBdr>
              <w:divsChild>
                <w:div w:id="1695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4166">
      <w:bodyDiv w:val="1"/>
      <w:marLeft w:val="0"/>
      <w:marRight w:val="0"/>
      <w:marTop w:val="0"/>
      <w:marBottom w:val="0"/>
      <w:divBdr>
        <w:top w:val="none" w:sz="0" w:space="0" w:color="auto"/>
        <w:left w:val="none" w:sz="0" w:space="0" w:color="auto"/>
        <w:bottom w:val="none" w:sz="0" w:space="0" w:color="auto"/>
        <w:right w:val="none" w:sz="0" w:space="0" w:color="auto"/>
      </w:divBdr>
    </w:div>
    <w:div w:id="682166720">
      <w:bodyDiv w:val="1"/>
      <w:marLeft w:val="0"/>
      <w:marRight w:val="0"/>
      <w:marTop w:val="0"/>
      <w:marBottom w:val="0"/>
      <w:divBdr>
        <w:top w:val="none" w:sz="0" w:space="0" w:color="auto"/>
        <w:left w:val="none" w:sz="0" w:space="0" w:color="auto"/>
        <w:bottom w:val="none" w:sz="0" w:space="0" w:color="auto"/>
        <w:right w:val="none" w:sz="0" w:space="0" w:color="auto"/>
      </w:divBdr>
      <w:divsChild>
        <w:div w:id="2129202808">
          <w:marLeft w:val="0"/>
          <w:marRight w:val="0"/>
          <w:marTop w:val="0"/>
          <w:marBottom w:val="0"/>
          <w:divBdr>
            <w:top w:val="none" w:sz="0" w:space="0" w:color="auto"/>
            <w:left w:val="none" w:sz="0" w:space="0" w:color="auto"/>
            <w:bottom w:val="none" w:sz="0" w:space="0" w:color="auto"/>
            <w:right w:val="none" w:sz="0" w:space="0" w:color="auto"/>
          </w:divBdr>
          <w:divsChild>
            <w:div w:id="756637806">
              <w:marLeft w:val="0"/>
              <w:marRight w:val="0"/>
              <w:marTop w:val="0"/>
              <w:marBottom w:val="0"/>
              <w:divBdr>
                <w:top w:val="none" w:sz="0" w:space="0" w:color="auto"/>
                <w:left w:val="none" w:sz="0" w:space="0" w:color="auto"/>
                <w:bottom w:val="none" w:sz="0" w:space="0" w:color="auto"/>
                <w:right w:val="none" w:sz="0" w:space="0" w:color="auto"/>
              </w:divBdr>
              <w:divsChild>
                <w:div w:id="1964726119">
                  <w:marLeft w:val="0"/>
                  <w:marRight w:val="0"/>
                  <w:marTop w:val="0"/>
                  <w:marBottom w:val="480"/>
                  <w:divBdr>
                    <w:top w:val="none" w:sz="0" w:space="0" w:color="auto"/>
                    <w:left w:val="none" w:sz="0" w:space="0" w:color="auto"/>
                    <w:bottom w:val="none" w:sz="0" w:space="0" w:color="auto"/>
                    <w:right w:val="none" w:sz="0" w:space="0" w:color="auto"/>
                  </w:divBdr>
                  <w:divsChild>
                    <w:div w:id="114299625">
                      <w:marLeft w:val="0"/>
                      <w:marRight w:val="0"/>
                      <w:marTop w:val="0"/>
                      <w:marBottom w:val="0"/>
                      <w:divBdr>
                        <w:top w:val="none" w:sz="0" w:space="0" w:color="auto"/>
                        <w:left w:val="none" w:sz="0" w:space="0" w:color="auto"/>
                        <w:bottom w:val="none" w:sz="0" w:space="0" w:color="auto"/>
                        <w:right w:val="none" w:sz="0" w:space="0" w:color="auto"/>
                      </w:divBdr>
                      <w:divsChild>
                        <w:div w:id="1582060099">
                          <w:marLeft w:val="0"/>
                          <w:marRight w:val="0"/>
                          <w:marTop w:val="0"/>
                          <w:marBottom w:val="0"/>
                          <w:divBdr>
                            <w:top w:val="single" w:sz="2" w:space="0" w:color="F0F0F0"/>
                            <w:left w:val="single" w:sz="24" w:space="0" w:color="F0F0F0"/>
                            <w:bottom w:val="single" w:sz="2" w:space="0" w:color="F0F0F0"/>
                            <w:right w:val="single" w:sz="24" w:space="0" w:color="F0F0F0"/>
                          </w:divBdr>
                          <w:divsChild>
                            <w:div w:id="266431454">
                              <w:marLeft w:val="0"/>
                              <w:marRight w:val="0"/>
                              <w:marTop w:val="0"/>
                              <w:marBottom w:val="0"/>
                              <w:divBdr>
                                <w:top w:val="single" w:sz="2" w:space="1" w:color="E6E6E6"/>
                                <w:left w:val="single" w:sz="6" w:space="2" w:color="E6E6E6"/>
                                <w:bottom w:val="single" w:sz="2" w:space="1" w:color="E6E6E6"/>
                                <w:right w:val="single" w:sz="6" w:space="2" w:color="E6E6E6"/>
                              </w:divBdr>
                              <w:divsChild>
                                <w:div w:id="435833495">
                                  <w:marLeft w:val="0"/>
                                  <w:marRight w:val="0"/>
                                  <w:marTop w:val="0"/>
                                  <w:marBottom w:val="0"/>
                                  <w:divBdr>
                                    <w:top w:val="none" w:sz="0" w:space="0" w:color="auto"/>
                                    <w:left w:val="none" w:sz="0" w:space="0" w:color="auto"/>
                                    <w:bottom w:val="none" w:sz="0" w:space="0" w:color="auto"/>
                                    <w:right w:val="none" w:sz="0" w:space="0" w:color="auto"/>
                                  </w:divBdr>
                                  <w:divsChild>
                                    <w:div w:id="236865658">
                                      <w:marLeft w:val="0"/>
                                      <w:marRight w:val="0"/>
                                      <w:marTop w:val="0"/>
                                      <w:marBottom w:val="0"/>
                                      <w:divBdr>
                                        <w:top w:val="none" w:sz="0" w:space="0" w:color="auto"/>
                                        <w:left w:val="none" w:sz="0" w:space="0" w:color="auto"/>
                                        <w:bottom w:val="none" w:sz="0" w:space="0" w:color="auto"/>
                                        <w:right w:val="none" w:sz="0" w:space="0" w:color="auto"/>
                                      </w:divBdr>
                                      <w:divsChild>
                                        <w:div w:id="223832859">
                                          <w:marLeft w:val="3150"/>
                                          <w:marRight w:val="0"/>
                                          <w:marTop w:val="0"/>
                                          <w:marBottom w:val="0"/>
                                          <w:divBdr>
                                            <w:top w:val="none" w:sz="0" w:space="0" w:color="auto"/>
                                            <w:left w:val="none" w:sz="0" w:space="0" w:color="auto"/>
                                            <w:bottom w:val="none" w:sz="0" w:space="0" w:color="auto"/>
                                            <w:right w:val="none" w:sz="0" w:space="0" w:color="auto"/>
                                          </w:divBdr>
                                          <w:divsChild>
                                            <w:div w:id="94861231">
                                              <w:marLeft w:val="0"/>
                                              <w:marRight w:val="0"/>
                                              <w:marTop w:val="0"/>
                                              <w:marBottom w:val="0"/>
                                              <w:divBdr>
                                                <w:top w:val="none" w:sz="0" w:space="0" w:color="auto"/>
                                                <w:left w:val="none" w:sz="0" w:space="0" w:color="auto"/>
                                                <w:bottom w:val="none" w:sz="0" w:space="0" w:color="auto"/>
                                                <w:right w:val="none" w:sz="0" w:space="0" w:color="auto"/>
                                              </w:divBdr>
                                              <w:divsChild>
                                                <w:div w:id="1549339242">
                                                  <w:marLeft w:val="0"/>
                                                  <w:marRight w:val="0"/>
                                                  <w:marTop w:val="0"/>
                                                  <w:marBottom w:val="0"/>
                                                  <w:divBdr>
                                                    <w:top w:val="none" w:sz="0" w:space="0" w:color="auto"/>
                                                    <w:left w:val="none" w:sz="0" w:space="0" w:color="auto"/>
                                                    <w:bottom w:val="none" w:sz="0" w:space="0" w:color="auto"/>
                                                    <w:right w:val="none" w:sz="0" w:space="0" w:color="auto"/>
                                                  </w:divBdr>
                                                  <w:divsChild>
                                                    <w:div w:id="1327779658">
                                                      <w:marLeft w:val="0"/>
                                                      <w:marRight w:val="0"/>
                                                      <w:marTop w:val="0"/>
                                                      <w:marBottom w:val="0"/>
                                                      <w:divBdr>
                                                        <w:top w:val="none" w:sz="0" w:space="0" w:color="auto"/>
                                                        <w:left w:val="none" w:sz="0" w:space="0" w:color="auto"/>
                                                        <w:bottom w:val="none" w:sz="0" w:space="0" w:color="auto"/>
                                                        <w:right w:val="none" w:sz="0" w:space="0" w:color="auto"/>
                                                      </w:divBdr>
                                                      <w:divsChild>
                                                        <w:div w:id="1214465741">
                                                          <w:marLeft w:val="0"/>
                                                          <w:marRight w:val="0"/>
                                                          <w:marTop w:val="0"/>
                                                          <w:marBottom w:val="0"/>
                                                          <w:divBdr>
                                                            <w:top w:val="none" w:sz="0" w:space="0" w:color="auto"/>
                                                            <w:left w:val="none" w:sz="0" w:space="0" w:color="auto"/>
                                                            <w:bottom w:val="none" w:sz="0" w:space="0" w:color="auto"/>
                                                            <w:right w:val="none" w:sz="0" w:space="0" w:color="auto"/>
                                                          </w:divBdr>
                                                          <w:divsChild>
                                                            <w:div w:id="1973435244">
                                                              <w:marLeft w:val="360"/>
                                                              <w:marRight w:val="0"/>
                                                              <w:marTop w:val="0"/>
                                                              <w:marBottom w:val="0"/>
                                                              <w:divBdr>
                                                                <w:top w:val="none" w:sz="0" w:space="0" w:color="auto"/>
                                                                <w:left w:val="none" w:sz="0" w:space="0" w:color="auto"/>
                                                                <w:bottom w:val="none" w:sz="0" w:space="0" w:color="auto"/>
                                                                <w:right w:val="none" w:sz="0" w:space="0" w:color="auto"/>
                                                              </w:divBdr>
                                                              <w:divsChild>
                                                                <w:div w:id="436101844">
                                                                  <w:marLeft w:val="0"/>
                                                                  <w:marRight w:val="0"/>
                                                                  <w:marTop w:val="0"/>
                                                                  <w:marBottom w:val="0"/>
                                                                  <w:divBdr>
                                                                    <w:top w:val="none" w:sz="0" w:space="0" w:color="auto"/>
                                                                    <w:left w:val="none" w:sz="0" w:space="0" w:color="auto"/>
                                                                    <w:bottom w:val="none" w:sz="0" w:space="0" w:color="auto"/>
                                                                    <w:right w:val="none" w:sz="0" w:space="0" w:color="auto"/>
                                                                  </w:divBdr>
                                                                  <w:divsChild>
                                                                    <w:div w:id="10316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1480160">
      <w:bodyDiv w:val="1"/>
      <w:marLeft w:val="0"/>
      <w:marRight w:val="0"/>
      <w:marTop w:val="0"/>
      <w:marBottom w:val="0"/>
      <w:divBdr>
        <w:top w:val="none" w:sz="0" w:space="0" w:color="auto"/>
        <w:left w:val="none" w:sz="0" w:space="0" w:color="auto"/>
        <w:bottom w:val="none" w:sz="0" w:space="0" w:color="auto"/>
        <w:right w:val="none" w:sz="0" w:space="0" w:color="auto"/>
      </w:divBdr>
    </w:div>
    <w:div w:id="1157767271">
      <w:bodyDiv w:val="1"/>
      <w:marLeft w:val="0"/>
      <w:marRight w:val="0"/>
      <w:marTop w:val="0"/>
      <w:marBottom w:val="0"/>
      <w:divBdr>
        <w:top w:val="none" w:sz="0" w:space="0" w:color="auto"/>
        <w:left w:val="none" w:sz="0" w:space="0" w:color="auto"/>
        <w:bottom w:val="none" w:sz="0" w:space="0" w:color="auto"/>
        <w:right w:val="none" w:sz="0" w:space="0" w:color="auto"/>
      </w:divBdr>
    </w:div>
    <w:div w:id="1379433374">
      <w:bodyDiv w:val="1"/>
      <w:marLeft w:val="0"/>
      <w:marRight w:val="0"/>
      <w:marTop w:val="0"/>
      <w:marBottom w:val="0"/>
      <w:divBdr>
        <w:top w:val="none" w:sz="0" w:space="0" w:color="auto"/>
        <w:left w:val="none" w:sz="0" w:space="0" w:color="auto"/>
        <w:bottom w:val="none" w:sz="0" w:space="0" w:color="auto"/>
        <w:right w:val="none" w:sz="0" w:space="0" w:color="auto"/>
      </w:divBdr>
    </w:div>
    <w:div w:id="2106267691">
      <w:bodyDiv w:val="1"/>
      <w:marLeft w:val="0"/>
      <w:marRight w:val="0"/>
      <w:marTop w:val="0"/>
      <w:marBottom w:val="0"/>
      <w:divBdr>
        <w:top w:val="none" w:sz="0" w:space="0" w:color="auto"/>
        <w:left w:val="none" w:sz="0" w:space="0" w:color="auto"/>
        <w:bottom w:val="none" w:sz="0" w:space="0" w:color="auto"/>
        <w:right w:val="none" w:sz="0" w:space="0" w:color="auto"/>
      </w:divBdr>
    </w:div>
    <w:div w:id="2110537215">
      <w:bodyDiv w:val="1"/>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283464710">
              <w:marLeft w:val="0"/>
              <w:marRight w:val="0"/>
              <w:marTop w:val="0"/>
              <w:marBottom w:val="0"/>
              <w:divBdr>
                <w:top w:val="none" w:sz="0" w:space="0" w:color="auto"/>
                <w:left w:val="none" w:sz="0" w:space="0" w:color="auto"/>
                <w:bottom w:val="none" w:sz="0" w:space="0" w:color="auto"/>
                <w:right w:val="none" w:sz="0" w:space="0" w:color="auto"/>
              </w:divBdr>
              <w:divsChild>
                <w:div w:id="16030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ku.dk/mona/2010/MONA-2010-4-Inquiry-basedScienceEducatio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dk/NR/rdonlyres/491D9B95-17B2-452E-97DE-1B674F25CA63/2731103/Analyse_af_PISA_data__version_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ku.dk/publikationer/inds_skriftserie/2014-36/Kompendie-IBSE_ny_web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du.au.dk/fileadmin/www.dpu.dk/omdpu/centerforgrundskoleforskning/internationaleundersoegelser/andreundersoegelser/pisa/forskning_projekter_pisa_20080903095715_pisa_16_aarige_2006.pdf" TargetMode="External"/><Relationship Id="rId4" Type="http://schemas.microsoft.com/office/2007/relationships/stylesWithEffects" Target="stylesWithEffects.xml"/><Relationship Id="rId9" Type="http://schemas.openxmlformats.org/officeDocument/2006/relationships/hyperlink" Target="http://sgo.sagepub.com/content/3/4/2158244013503834"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1984-B821-425E-9A06-0E6298A5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6387</Words>
  <Characters>38966</Characters>
  <Application>Microsoft Office Word</Application>
  <DocSecurity>0</DocSecurity>
  <Lines>324</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Arnt Vestergaard Louw</dc:creator>
  <cp:lastModifiedBy>Arnt Vestergaard Louw</cp:lastModifiedBy>
  <cp:revision>3</cp:revision>
  <cp:lastPrinted>2015-11-30T11:49:00Z</cp:lastPrinted>
  <dcterms:created xsi:type="dcterms:W3CDTF">2015-12-03T11:43:00Z</dcterms:created>
  <dcterms:modified xsi:type="dcterms:W3CDTF">2016-10-17T07:24:00Z</dcterms:modified>
</cp:coreProperties>
</file>