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A5" w:rsidRPr="00E93635" w:rsidRDefault="00273AA5" w:rsidP="00C271BE">
      <w:pPr>
        <w:spacing w:line="360" w:lineRule="auto"/>
        <w:rPr>
          <w:b/>
          <w:sz w:val="28"/>
          <w:szCs w:val="28"/>
          <w:lang w:val="en-US"/>
        </w:rPr>
      </w:pPr>
      <w:r w:rsidRPr="00E93635">
        <w:rPr>
          <w:b/>
          <w:sz w:val="28"/>
          <w:szCs w:val="28"/>
          <w:lang w:val="en-US"/>
        </w:rPr>
        <w:t>The Impact of the Fi</w:t>
      </w:r>
      <w:r w:rsidR="006115AB" w:rsidRPr="00E93635">
        <w:rPr>
          <w:b/>
          <w:sz w:val="28"/>
          <w:szCs w:val="28"/>
          <w:lang w:val="en-US"/>
        </w:rPr>
        <w:t>nancial Crisis on the Content of</w:t>
      </w:r>
      <w:r w:rsidRPr="00E93635">
        <w:rPr>
          <w:b/>
          <w:sz w:val="28"/>
          <w:szCs w:val="28"/>
          <w:lang w:val="en-US"/>
        </w:rPr>
        <w:t xml:space="preserve"> Six US P</w:t>
      </w:r>
      <w:r w:rsidR="00851056" w:rsidRPr="00E93635">
        <w:rPr>
          <w:b/>
          <w:sz w:val="28"/>
          <w:szCs w:val="28"/>
          <w:lang w:val="en-US"/>
        </w:rPr>
        <w:t xml:space="preserve">rinciples of Economics </w:t>
      </w:r>
      <w:r w:rsidRPr="00E93635">
        <w:rPr>
          <w:b/>
          <w:sz w:val="28"/>
          <w:szCs w:val="28"/>
          <w:lang w:val="en-US"/>
        </w:rPr>
        <w:t>– Real or Apparent Changes?</w:t>
      </w:r>
      <w:r w:rsidR="008F37BC" w:rsidRPr="008F37BC">
        <w:rPr>
          <w:rStyle w:val="FootnoteReference"/>
          <w:sz w:val="28"/>
          <w:szCs w:val="28"/>
          <w:lang w:val="en-US"/>
        </w:rPr>
        <w:footnoteReference w:id="2"/>
      </w:r>
    </w:p>
    <w:p w:rsidR="00273AA5" w:rsidRDefault="00273AA5" w:rsidP="00C271BE">
      <w:pPr>
        <w:spacing w:line="360" w:lineRule="auto"/>
        <w:rPr>
          <w:b/>
          <w:sz w:val="28"/>
          <w:szCs w:val="28"/>
          <w:lang w:val="en-US"/>
        </w:rPr>
      </w:pPr>
    </w:p>
    <w:p w:rsidR="001F034F" w:rsidRDefault="001F034F" w:rsidP="001F034F">
      <w:pPr>
        <w:ind w:left="1304"/>
        <w:rPr>
          <w:b/>
          <w:sz w:val="28"/>
          <w:szCs w:val="28"/>
          <w:lang w:val="en-US"/>
        </w:rPr>
      </w:pPr>
      <w:r>
        <w:rPr>
          <w:bCs/>
          <w:lang w:val="en-US"/>
        </w:rPr>
        <w:t xml:space="preserve">Paper to the </w:t>
      </w:r>
      <w:r w:rsidRPr="001F034F">
        <w:rPr>
          <w:bCs/>
          <w:lang w:val="en-US"/>
        </w:rPr>
        <w:t>5</w:t>
      </w:r>
      <w:r w:rsidRPr="001F034F">
        <w:rPr>
          <w:bCs/>
          <w:vertAlign w:val="superscript"/>
          <w:lang w:val="en-US"/>
        </w:rPr>
        <w:t xml:space="preserve">th </w:t>
      </w:r>
      <w:r w:rsidRPr="001F034F">
        <w:rPr>
          <w:bCs/>
          <w:lang w:val="en-US"/>
        </w:rPr>
        <w:t>International conference on:  The financial crisis, welfare state challenges and new forms of risk management, Store Restrup Herregaard, Denmark, March 2. – 4. 2011</w:t>
      </w:r>
    </w:p>
    <w:p w:rsidR="001E0DAC" w:rsidRPr="00E93635" w:rsidRDefault="001E0DAC" w:rsidP="001E0DAC">
      <w:pPr>
        <w:rPr>
          <w:b/>
          <w:sz w:val="28"/>
          <w:szCs w:val="28"/>
          <w:lang w:val="en-US"/>
        </w:rPr>
      </w:pPr>
    </w:p>
    <w:p w:rsidR="00153470" w:rsidRPr="00E93635" w:rsidRDefault="00273AA5" w:rsidP="001F034F">
      <w:pPr>
        <w:ind w:firstLine="1304"/>
        <w:rPr>
          <w:lang w:val="en-US"/>
        </w:rPr>
      </w:pPr>
      <w:r w:rsidRPr="00E93635">
        <w:rPr>
          <w:lang w:val="en-US"/>
        </w:rPr>
        <w:t>Poul Thøis Madsen, pmadsen@epa.aau.dk</w:t>
      </w:r>
    </w:p>
    <w:p w:rsidR="00153470" w:rsidRPr="00E93635" w:rsidRDefault="00273AA5" w:rsidP="001F034F">
      <w:pPr>
        <w:ind w:firstLine="1304"/>
        <w:rPr>
          <w:lang w:val="en-US"/>
        </w:rPr>
      </w:pPr>
      <w:r w:rsidRPr="00E93635">
        <w:rPr>
          <w:lang w:val="en-US"/>
        </w:rPr>
        <w:t>CCWS, Dept. of Economics, Politics</w:t>
      </w:r>
      <w:r w:rsidR="00DE2CA7" w:rsidRPr="00E93635">
        <w:rPr>
          <w:lang w:val="en-US"/>
        </w:rPr>
        <w:t>,</w:t>
      </w:r>
      <w:r w:rsidRPr="00E93635">
        <w:rPr>
          <w:lang w:val="en-US"/>
        </w:rPr>
        <w:t xml:space="preserve"> and Public Administration, Aalborg University</w:t>
      </w:r>
    </w:p>
    <w:p w:rsidR="00153470" w:rsidRPr="00E93635" w:rsidRDefault="00153470" w:rsidP="001E0DAC">
      <w:pPr>
        <w:rPr>
          <w:b/>
          <w:sz w:val="28"/>
          <w:szCs w:val="28"/>
          <w:lang w:val="en-US"/>
        </w:rPr>
      </w:pPr>
    </w:p>
    <w:p w:rsidR="001E0DAC" w:rsidRPr="00E93635" w:rsidRDefault="001E0DAC" w:rsidP="001E0DAC">
      <w:pPr>
        <w:rPr>
          <w:b/>
          <w:sz w:val="28"/>
          <w:szCs w:val="28"/>
          <w:lang w:val="en-US"/>
        </w:rPr>
      </w:pPr>
    </w:p>
    <w:p w:rsidR="00501067" w:rsidRPr="00E93635" w:rsidRDefault="001E0DAC" w:rsidP="00E55093">
      <w:pPr>
        <w:ind w:left="1304" w:hanging="1304"/>
        <w:rPr>
          <w:lang w:val="en-US"/>
        </w:rPr>
      </w:pPr>
      <w:r w:rsidRPr="00E93635">
        <w:rPr>
          <w:lang w:val="en-US"/>
        </w:rPr>
        <w:t xml:space="preserve">Abstract: </w:t>
      </w:r>
      <w:r w:rsidR="00E55093" w:rsidRPr="00E93635">
        <w:rPr>
          <w:lang w:val="en-US"/>
        </w:rPr>
        <w:tab/>
      </w:r>
      <w:r w:rsidR="00273AA5" w:rsidRPr="00E93635">
        <w:rPr>
          <w:lang w:val="en-US"/>
        </w:rPr>
        <w:t>The financial crisi</w:t>
      </w:r>
      <w:r w:rsidR="00E93635" w:rsidRPr="00E93635">
        <w:rPr>
          <w:lang w:val="en-US"/>
        </w:rPr>
        <w:t>s has already led to visible</w:t>
      </w:r>
      <w:r w:rsidR="00273AA5" w:rsidRPr="00E93635">
        <w:rPr>
          <w:lang w:val="en-US"/>
        </w:rPr>
        <w:t xml:space="preserve"> changes of six textbooks published in 2010. </w:t>
      </w:r>
      <w:r w:rsidR="006115AB" w:rsidRPr="00E93635">
        <w:rPr>
          <w:lang w:val="en-US"/>
        </w:rPr>
        <w:t>T</w:t>
      </w:r>
      <w:r w:rsidR="00273AA5" w:rsidRPr="00E93635">
        <w:rPr>
          <w:lang w:val="en-US"/>
        </w:rPr>
        <w:t>he financial crisis</w:t>
      </w:r>
      <w:r w:rsidR="006115AB" w:rsidRPr="00E93635">
        <w:rPr>
          <w:lang w:val="en-US"/>
        </w:rPr>
        <w:t>, however,</w:t>
      </w:r>
      <w:r w:rsidR="00273AA5" w:rsidRPr="00E93635">
        <w:rPr>
          <w:lang w:val="en-US"/>
        </w:rPr>
        <w:t xml:space="preserve"> tends to be confined to boxes and separate sections without influencing the theoretical core. </w:t>
      </w:r>
      <w:r w:rsidR="001F034F">
        <w:rPr>
          <w:lang w:val="en-US"/>
        </w:rPr>
        <w:t>The analysis suggest</w:t>
      </w:r>
      <w:r w:rsidR="0053042F">
        <w:rPr>
          <w:lang w:val="en-US"/>
        </w:rPr>
        <w:t xml:space="preserve">s </w:t>
      </w:r>
      <w:r w:rsidR="008F37BC">
        <w:rPr>
          <w:lang w:val="en-US"/>
        </w:rPr>
        <w:t xml:space="preserve">that this </w:t>
      </w:r>
      <w:r w:rsidR="00E93635" w:rsidRPr="00E93635">
        <w:rPr>
          <w:lang w:val="en-US"/>
        </w:rPr>
        <w:t>core will</w:t>
      </w:r>
      <w:r w:rsidR="006F631F">
        <w:rPr>
          <w:lang w:val="en-US"/>
        </w:rPr>
        <w:t xml:space="preserve"> also</w:t>
      </w:r>
      <w:r w:rsidR="00E93635" w:rsidRPr="00E93635">
        <w:rPr>
          <w:lang w:val="en-US"/>
        </w:rPr>
        <w:t xml:space="preserve"> remain unchanged for years to come. </w:t>
      </w:r>
    </w:p>
    <w:p w:rsidR="00DE2CA7" w:rsidRDefault="00DE2CA7" w:rsidP="00117784">
      <w:pPr>
        <w:spacing w:line="360" w:lineRule="auto"/>
        <w:rPr>
          <w:lang w:val="en-US"/>
        </w:rPr>
      </w:pPr>
    </w:p>
    <w:p w:rsidR="00360757" w:rsidRPr="00E93635" w:rsidRDefault="00360757" w:rsidP="00117784">
      <w:pPr>
        <w:spacing w:line="360" w:lineRule="auto"/>
        <w:rPr>
          <w:lang w:val="en-US"/>
        </w:rPr>
      </w:pPr>
    </w:p>
    <w:p w:rsidR="00FA0882" w:rsidRPr="00E93635" w:rsidRDefault="00786ADE" w:rsidP="00A95887">
      <w:pPr>
        <w:ind w:left="1304"/>
        <w:rPr>
          <w:lang w:val="en-US"/>
        </w:rPr>
      </w:pPr>
      <w:r>
        <w:rPr>
          <w:i/>
          <w:lang w:val="en-US"/>
        </w:rPr>
        <w:t>“Macroeconomic textbooks of the future will likely have a full chapter devoted to crises and also will likely reorganize the macroeconomic presentation to better explain the crisis (Colander, 2010, p. 383)</w:t>
      </w:r>
    </w:p>
    <w:p w:rsidR="00DE2CA7" w:rsidRPr="00E93635" w:rsidRDefault="00DE2CA7" w:rsidP="006115AB">
      <w:pPr>
        <w:spacing w:line="360" w:lineRule="auto"/>
        <w:ind w:firstLine="1304"/>
        <w:rPr>
          <w:lang w:val="en-US"/>
        </w:rPr>
      </w:pPr>
    </w:p>
    <w:p w:rsidR="00360757" w:rsidRDefault="00360757" w:rsidP="006115AB">
      <w:pPr>
        <w:spacing w:line="360" w:lineRule="auto"/>
        <w:ind w:firstLine="1304"/>
        <w:rPr>
          <w:lang w:val="en-US"/>
        </w:rPr>
      </w:pPr>
    </w:p>
    <w:p w:rsidR="00DA6F5B" w:rsidRPr="00E93635" w:rsidRDefault="00273AA5" w:rsidP="006115AB">
      <w:pPr>
        <w:spacing w:line="360" w:lineRule="auto"/>
        <w:ind w:firstLine="1304"/>
        <w:rPr>
          <w:lang w:val="en-US"/>
        </w:rPr>
      </w:pPr>
      <w:r w:rsidRPr="00E93635">
        <w:rPr>
          <w:lang w:val="en-US"/>
        </w:rPr>
        <w:t>When the financial crisis</w:t>
      </w:r>
      <w:r w:rsidR="007757B0" w:rsidRPr="00E93635">
        <w:rPr>
          <w:rStyle w:val="FootnoteReference"/>
        </w:rPr>
        <w:footnoteReference w:id="3"/>
      </w:r>
      <w:r w:rsidR="00C271BE" w:rsidRPr="00E93635">
        <w:rPr>
          <w:lang w:val="en-US"/>
        </w:rPr>
        <w:t xml:space="preserve"> </w:t>
      </w:r>
      <w:r w:rsidRPr="00E93635">
        <w:rPr>
          <w:lang w:val="en-US"/>
        </w:rPr>
        <w:t xml:space="preserve">became a fact it rendered </w:t>
      </w:r>
      <w:r w:rsidR="001F034F">
        <w:rPr>
          <w:lang w:val="en-US"/>
        </w:rPr>
        <w:t xml:space="preserve">mainstream </w:t>
      </w:r>
      <w:r w:rsidRPr="00E93635">
        <w:rPr>
          <w:lang w:val="en-US"/>
        </w:rPr>
        <w:t xml:space="preserve">economists in a very vulnerable </w:t>
      </w:r>
      <w:r w:rsidR="000F791E" w:rsidRPr="00E93635">
        <w:rPr>
          <w:lang w:val="en-US"/>
        </w:rPr>
        <w:t xml:space="preserve">and uncomfortable </w:t>
      </w:r>
      <w:r w:rsidRPr="00E93635">
        <w:rPr>
          <w:lang w:val="en-US"/>
        </w:rPr>
        <w:t>posit</w:t>
      </w:r>
      <w:r w:rsidR="001F034F">
        <w:rPr>
          <w:lang w:val="en-US"/>
        </w:rPr>
        <w:t>ion. First, what were they</w:t>
      </w:r>
      <w:r w:rsidRPr="00E93635">
        <w:rPr>
          <w:lang w:val="en-US"/>
        </w:rPr>
        <w:t xml:space="preserve"> then to do with all the </w:t>
      </w:r>
      <w:r w:rsidR="006115AB" w:rsidRPr="00E93635">
        <w:rPr>
          <w:lang w:val="en-US"/>
        </w:rPr>
        <w:t>apparently rather sophisticated</w:t>
      </w:r>
      <w:r w:rsidRPr="00E93635">
        <w:rPr>
          <w:lang w:val="en-US"/>
        </w:rPr>
        <w:t xml:space="preserve"> theoretical arguments </w:t>
      </w:r>
      <w:r w:rsidR="006115AB" w:rsidRPr="00E93635">
        <w:rPr>
          <w:lang w:val="en-US"/>
        </w:rPr>
        <w:t>claiming to prove the im</w:t>
      </w:r>
      <w:r w:rsidRPr="00E93635">
        <w:rPr>
          <w:lang w:val="en-US"/>
        </w:rPr>
        <w:t>possibility</w:t>
      </w:r>
      <w:r w:rsidR="00DA6F5B" w:rsidRPr="00E93635">
        <w:rPr>
          <w:lang w:val="en-US"/>
        </w:rPr>
        <w:t xml:space="preserve"> of such a crisis?</w:t>
      </w:r>
      <w:r w:rsidRPr="00E93635">
        <w:rPr>
          <w:lang w:val="en-US"/>
        </w:rPr>
        <w:t xml:space="preserve"> Secondly, </w:t>
      </w:r>
      <w:r w:rsidR="00786ADE">
        <w:rPr>
          <w:lang w:val="en-US"/>
        </w:rPr>
        <w:t>mainstream economists</w:t>
      </w:r>
      <w:r w:rsidR="00EA672C" w:rsidRPr="00E93635">
        <w:rPr>
          <w:lang w:val="en-US"/>
        </w:rPr>
        <w:t xml:space="preserve"> </w:t>
      </w:r>
      <w:r w:rsidR="006115AB" w:rsidRPr="00E93635">
        <w:rPr>
          <w:lang w:val="en-US"/>
        </w:rPr>
        <w:t>were not able to</w:t>
      </w:r>
      <w:r w:rsidR="00EA672C" w:rsidRPr="00E93635">
        <w:rPr>
          <w:lang w:val="en-US"/>
        </w:rPr>
        <w:t xml:space="preserve"> deliver theoretically based suggestions which could remedy the damaging effects of the crisis on production and employment. Thirdly, as politicians </w:t>
      </w:r>
      <w:r w:rsidR="006115AB" w:rsidRPr="00E93635">
        <w:rPr>
          <w:lang w:val="en-US"/>
        </w:rPr>
        <w:t xml:space="preserve">were forced to act </w:t>
      </w:r>
      <w:r w:rsidR="00786ADE">
        <w:rPr>
          <w:lang w:val="en-US"/>
        </w:rPr>
        <w:t xml:space="preserve">anyway </w:t>
      </w:r>
      <w:r w:rsidR="00EA672C" w:rsidRPr="00E93635">
        <w:rPr>
          <w:lang w:val="en-US"/>
        </w:rPr>
        <w:t xml:space="preserve">one could observe </w:t>
      </w:r>
      <w:r w:rsidR="006115AB" w:rsidRPr="00E93635">
        <w:rPr>
          <w:lang w:val="en-US"/>
        </w:rPr>
        <w:t xml:space="preserve">the implementation of </w:t>
      </w:r>
      <w:r w:rsidR="00EA672C" w:rsidRPr="00E93635">
        <w:rPr>
          <w:lang w:val="en-US"/>
        </w:rPr>
        <w:t>policies running counter to mainstream economic theory</w:t>
      </w:r>
      <w:r w:rsidR="006F631F">
        <w:rPr>
          <w:lang w:val="en-US"/>
        </w:rPr>
        <w:t>.</w:t>
      </w:r>
      <w:r w:rsidR="006F631F">
        <w:rPr>
          <w:rStyle w:val="FootnoteReference"/>
          <w:lang w:val="en-US"/>
        </w:rPr>
        <w:footnoteReference w:id="4"/>
      </w:r>
      <w:r w:rsidR="00EA672C" w:rsidRPr="00E93635">
        <w:rPr>
          <w:lang w:val="en-US"/>
        </w:rPr>
        <w:t xml:space="preserve">  In sum</w:t>
      </w:r>
      <w:r w:rsidR="006115AB" w:rsidRPr="00E93635">
        <w:rPr>
          <w:lang w:val="en-US"/>
        </w:rPr>
        <w:t>,</w:t>
      </w:r>
      <w:r w:rsidR="000F791E" w:rsidRPr="00E93635">
        <w:rPr>
          <w:lang w:val="en-US"/>
        </w:rPr>
        <w:t xml:space="preserve"> one could observe at least three </w:t>
      </w:r>
      <w:r w:rsidR="00EA672C" w:rsidRPr="00E93635">
        <w:rPr>
          <w:lang w:val="en-US"/>
        </w:rPr>
        <w:t xml:space="preserve">anomalies not easily </w:t>
      </w:r>
      <w:r w:rsidR="000F791E" w:rsidRPr="00E93635">
        <w:rPr>
          <w:lang w:val="en-US"/>
        </w:rPr>
        <w:t>resolved by mainstream</w:t>
      </w:r>
      <w:r w:rsidR="006F631F">
        <w:rPr>
          <w:lang w:val="en-US"/>
        </w:rPr>
        <w:t xml:space="preserve"> eco</w:t>
      </w:r>
      <w:r w:rsidR="00EA672C" w:rsidRPr="00E93635">
        <w:rPr>
          <w:lang w:val="en-US"/>
        </w:rPr>
        <w:t xml:space="preserve">nomic theory. </w:t>
      </w:r>
      <w:r w:rsidR="00DA6F5B" w:rsidRPr="00E93635">
        <w:rPr>
          <w:lang w:val="en-US"/>
        </w:rPr>
        <w:t xml:space="preserve">As a logical consequence </w:t>
      </w:r>
      <w:r w:rsidR="00082ACA" w:rsidRPr="00E93635">
        <w:rPr>
          <w:lang w:val="en-US"/>
        </w:rPr>
        <w:t xml:space="preserve">the </w:t>
      </w:r>
      <w:r w:rsidR="00DA6F5B" w:rsidRPr="00E93635">
        <w:rPr>
          <w:lang w:val="en-US"/>
        </w:rPr>
        <w:t xml:space="preserve">media started to ask: </w:t>
      </w:r>
      <w:bookmarkStart w:id="0" w:name="citation"/>
      <w:r w:rsidR="00DA6F5B" w:rsidRPr="00E93635">
        <w:rPr>
          <w:lang w:val="en-US"/>
        </w:rPr>
        <w:t>“What went wrong with economics</w:t>
      </w:r>
      <w:bookmarkEnd w:id="0"/>
      <w:r w:rsidR="00DA6F5B" w:rsidRPr="00E93635">
        <w:rPr>
          <w:lang w:val="en-US"/>
        </w:rPr>
        <w:t>?”</w:t>
      </w:r>
      <w:r w:rsidR="00C42D11" w:rsidRPr="00E93635">
        <w:rPr>
          <w:rStyle w:val="FootnoteReference"/>
          <w:lang w:val="en-US"/>
        </w:rPr>
        <w:footnoteReference w:id="5"/>
      </w:r>
      <w:r w:rsidR="00EA672C" w:rsidRPr="00E93635">
        <w:rPr>
          <w:lang w:val="en-US"/>
        </w:rPr>
        <w:t xml:space="preserve"> </w:t>
      </w:r>
      <w:r w:rsidR="006115AB" w:rsidRPr="00E93635">
        <w:rPr>
          <w:lang w:val="en-US"/>
        </w:rPr>
        <w:t>Hereby</w:t>
      </w:r>
      <w:r w:rsidR="00082ACA" w:rsidRPr="00E93635">
        <w:rPr>
          <w:lang w:val="en-US"/>
        </w:rPr>
        <w:t>,</w:t>
      </w:r>
      <w:r w:rsidR="00DA6F5B" w:rsidRPr="00E93635">
        <w:rPr>
          <w:lang w:val="en-US"/>
        </w:rPr>
        <w:t xml:space="preserve"> suggesting an urgent need for changes in economics as a science.</w:t>
      </w:r>
      <w:r w:rsidR="008F37BC">
        <w:rPr>
          <w:rStyle w:val="FootnoteReference"/>
          <w:lang w:val="en-US"/>
        </w:rPr>
        <w:footnoteReference w:id="6"/>
      </w:r>
    </w:p>
    <w:p w:rsidR="0004778D" w:rsidRPr="00E93635" w:rsidRDefault="00DA6F5B" w:rsidP="00CE02A0">
      <w:pPr>
        <w:spacing w:line="360" w:lineRule="auto"/>
        <w:ind w:firstLine="1304"/>
        <w:rPr>
          <w:lang w:val="en-US"/>
        </w:rPr>
      </w:pPr>
      <w:r w:rsidRPr="00E93635">
        <w:rPr>
          <w:lang w:val="en-US"/>
        </w:rPr>
        <w:lastRenderedPageBreak/>
        <w:t xml:space="preserve">The </w:t>
      </w:r>
      <w:r w:rsidR="006F631F">
        <w:rPr>
          <w:lang w:val="en-US"/>
        </w:rPr>
        <w:t xml:space="preserve">overall </w:t>
      </w:r>
      <w:r w:rsidRPr="00E93635">
        <w:rPr>
          <w:lang w:val="en-US"/>
        </w:rPr>
        <w:t>question ad</w:t>
      </w:r>
      <w:r w:rsidR="00EE558A" w:rsidRPr="00E93635">
        <w:rPr>
          <w:lang w:val="en-US"/>
        </w:rPr>
        <w:t>d</w:t>
      </w:r>
      <w:r w:rsidRPr="00E93635">
        <w:rPr>
          <w:lang w:val="en-US"/>
        </w:rPr>
        <w:t>ressed in this article is whether there</w:t>
      </w:r>
      <w:r w:rsidR="00082ACA" w:rsidRPr="00E93635">
        <w:rPr>
          <w:lang w:val="en-US"/>
        </w:rPr>
        <w:t xml:space="preserve"> is any tendency to be observed indicating </w:t>
      </w:r>
      <w:r w:rsidRPr="00E93635">
        <w:rPr>
          <w:lang w:val="en-US"/>
        </w:rPr>
        <w:t xml:space="preserve">a change of economic theory comparable to the change taking place as a reaction </w:t>
      </w:r>
      <w:r w:rsidR="006115AB" w:rsidRPr="00E93635">
        <w:rPr>
          <w:lang w:val="en-US"/>
        </w:rPr>
        <w:t>to the crisis in the 1930</w:t>
      </w:r>
      <w:r w:rsidRPr="00E93635">
        <w:rPr>
          <w:lang w:val="en-US"/>
        </w:rPr>
        <w:t xml:space="preserve">s. </w:t>
      </w:r>
      <w:r w:rsidR="00EE558A" w:rsidRPr="00E93635">
        <w:rPr>
          <w:lang w:val="en-US"/>
        </w:rPr>
        <w:t>In order to answer t</w:t>
      </w:r>
      <w:r w:rsidR="006115AB" w:rsidRPr="00E93635">
        <w:rPr>
          <w:lang w:val="en-US"/>
        </w:rPr>
        <w:t xml:space="preserve">his question </w:t>
      </w:r>
      <w:r w:rsidR="001730D0">
        <w:rPr>
          <w:lang w:val="en-US"/>
        </w:rPr>
        <w:t>it is helpful to draw</w:t>
      </w:r>
      <w:r w:rsidR="006115AB" w:rsidRPr="00E93635">
        <w:rPr>
          <w:lang w:val="en-US"/>
        </w:rPr>
        <w:t xml:space="preserve"> a di</w:t>
      </w:r>
      <w:r w:rsidR="00EE558A" w:rsidRPr="00E93635">
        <w:rPr>
          <w:lang w:val="en-US"/>
        </w:rPr>
        <w:t>stinction between the development in economic theory (research) and the presentation o</w:t>
      </w:r>
      <w:r w:rsidR="00851056" w:rsidRPr="00E93635">
        <w:rPr>
          <w:lang w:val="en-US"/>
        </w:rPr>
        <w:t>f economic theory (textbooks) o</w:t>
      </w:r>
      <w:r w:rsidR="00EE558A" w:rsidRPr="00E93635">
        <w:rPr>
          <w:lang w:val="en-US"/>
        </w:rPr>
        <w:t>r as C</w:t>
      </w:r>
      <w:r w:rsidR="00C271BE" w:rsidRPr="00E93635">
        <w:rPr>
          <w:lang w:val="en-US"/>
        </w:rPr>
        <w:t xml:space="preserve">olander (2005) </w:t>
      </w:r>
      <w:r w:rsidR="00EE558A" w:rsidRPr="00E93635">
        <w:rPr>
          <w:lang w:val="en-US"/>
        </w:rPr>
        <w:t>puts it to ’do’ and</w:t>
      </w:r>
      <w:r w:rsidR="00C271BE" w:rsidRPr="00E93635">
        <w:rPr>
          <w:lang w:val="en-US"/>
        </w:rPr>
        <w:t xml:space="preserve"> ’teach’. </w:t>
      </w:r>
      <w:r w:rsidR="000F791E" w:rsidRPr="00E93635">
        <w:rPr>
          <w:lang w:val="en-US"/>
        </w:rPr>
        <w:t>Concerning res</w:t>
      </w:r>
      <w:r w:rsidR="00EE558A" w:rsidRPr="00E93635">
        <w:rPr>
          <w:lang w:val="en-US"/>
        </w:rPr>
        <w:t xml:space="preserve">earch Colander has – in collaboration with a number of other economists </w:t>
      </w:r>
      <w:r w:rsidR="00C271BE" w:rsidRPr="00E93635">
        <w:rPr>
          <w:lang w:val="en-US"/>
        </w:rPr>
        <w:t>(</w:t>
      </w:r>
      <w:r w:rsidR="00FA0882" w:rsidRPr="00E93635">
        <w:rPr>
          <w:lang w:val="en-US"/>
        </w:rPr>
        <w:t xml:space="preserve">Colander et al, </w:t>
      </w:r>
      <w:r w:rsidR="00C271BE" w:rsidRPr="00E93635">
        <w:rPr>
          <w:lang w:val="en-US"/>
        </w:rPr>
        <w:t xml:space="preserve">2009) </w:t>
      </w:r>
      <w:r w:rsidR="006115AB" w:rsidRPr="00E93635">
        <w:rPr>
          <w:lang w:val="en-US"/>
        </w:rPr>
        <w:t xml:space="preserve">- </w:t>
      </w:r>
      <w:r w:rsidR="00851056" w:rsidRPr="00E93635">
        <w:rPr>
          <w:lang w:val="en-US"/>
        </w:rPr>
        <w:t>stressed</w:t>
      </w:r>
      <w:r w:rsidR="00EE558A" w:rsidRPr="00E93635">
        <w:rPr>
          <w:lang w:val="en-US"/>
        </w:rPr>
        <w:t xml:space="preserve"> the </w:t>
      </w:r>
      <w:r w:rsidR="006115AB" w:rsidRPr="00E93635">
        <w:rPr>
          <w:lang w:val="en-US"/>
        </w:rPr>
        <w:t xml:space="preserve">compelling </w:t>
      </w:r>
      <w:r w:rsidR="00EE558A" w:rsidRPr="00E93635">
        <w:rPr>
          <w:lang w:val="en-US"/>
        </w:rPr>
        <w:t xml:space="preserve">need for a reorientation of economic theory and research as a direct consequence of the financial crisis. </w:t>
      </w:r>
    </w:p>
    <w:p w:rsidR="00C271BE" w:rsidRPr="00E93635" w:rsidRDefault="00EE558A" w:rsidP="00EE558A">
      <w:pPr>
        <w:spacing w:line="360" w:lineRule="auto"/>
        <w:ind w:firstLine="1304"/>
        <w:rPr>
          <w:lang w:val="en-US"/>
        </w:rPr>
      </w:pPr>
      <w:r w:rsidRPr="00E93635">
        <w:rPr>
          <w:lang w:val="en-US"/>
        </w:rPr>
        <w:t xml:space="preserve">Apart from this contribution, </w:t>
      </w:r>
      <w:r w:rsidR="006115AB" w:rsidRPr="00E93635">
        <w:rPr>
          <w:lang w:val="en-US"/>
        </w:rPr>
        <w:t xml:space="preserve">it has </w:t>
      </w:r>
      <w:r w:rsidRPr="00E93635">
        <w:rPr>
          <w:lang w:val="en-US"/>
        </w:rPr>
        <w:t xml:space="preserve">primarily </w:t>
      </w:r>
      <w:r w:rsidR="006115AB" w:rsidRPr="00E93635">
        <w:rPr>
          <w:lang w:val="en-US"/>
        </w:rPr>
        <w:t xml:space="preserve">been </w:t>
      </w:r>
      <w:r w:rsidRPr="00E93635">
        <w:rPr>
          <w:lang w:val="en-US"/>
        </w:rPr>
        <w:t xml:space="preserve">heterodox economists </w:t>
      </w:r>
      <w:r w:rsidR="006115AB" w:rsidRPr="00E93635">
        <w:rPr>
          <w:lang w:val="en-US"/>
        </w:rPr>
        <w:t xml:space="preserve">which </w:t>
      </w:r>
      <w:r w:rsidRPr="00E93635">
        <w:rPr>
          <w:lang w:val="en-US"/>
        </w:rPr>
        <w:t>ha</w:t>
      </w:r>
      <w:r w:rsidR="006115AB" w:rsidRPr="00E93635">
        <w:rPr>
          <w:lang w:val="en-US"/>
        </w:rPr>
        <w:t>ve considered the</w:t>
      </w:r>
      <w:r w:rsidRPr="00E93635">
        <w:rPr>
          <w:lang w:val="en-US"/>
        </w:rPr>
        <w:t xml:space="preserve"> possible theoretical and methodological implications of the financial crisis.</w:t>
      </w:r>
      <w:r w:rsidR="00FA0882" w:rsidRPr="00E93635">
        <w:rPr>
          <w:rStyle w:val="FootnoteReference"/>
        </w:rPr>
        <w:footnoteReference w:id="7"/>
      </w:r>
      <w:r w:rsidR="00C271BE" w:rsidRPr="00E93635">
        <w:rPr>
          <w:lang w:val="en-US"/>
        </w:rPr>
        <w:t xml:space="preserve"> </w:t>
      </w:r>
      <w:r w:rsidR="00C42D11" w:rsidRPr="00E93635">
        <w:rPr>
          <w:lang w:val="en-US"/>
        </w:rPr>
        <w:t xml:space="preserve">It would be wrong to claim that mainstream economists </w:t>
      </w:r>
      <w:r w:rsidR="00082ACA" w:rsidRPr="00E93635">
        <w:rPr>
          <w:lang w:val="en-US"/>
        </w:rPr>
        <w:t xml:space="preserve">have </w:t>
      </w:r>
      <w:r w:rsidR="00C42D11" w:rsidRPr="00E93635">
        <w:rPr>
          <w:lang w:val="en-US"/>
        </w:rPr>
        <w:t>ignore</w:t>
      </w:r>
      <w:r w:rsidR="00082ACA" w:rsidRPr="00E93635">
        <w:rPr>
          <w:lang w:val="en-US"/>
        </w:rPr>
        <w:t>d</w:t>
      </w:r>
      <w:r w:rsidR="00C42D11" w:rsidRPr="00E93635">
        <w:rPr>
          <w:lang w:val="en-US"/>
        </w:rPr>
        <w:t xml:space="preserve"> the financial c</w:t>
      </w:r>
      <w:r w:rsidR="00786ADE">
        <w:rPr>
          <w:lang w:val="en-US"/>
        </w:rPr>
        <w:t>risis, but their main concern has been</w:t>
      </w:r>
      <w:r w:rsidR="00C42D11" w:rsidRPr="00E93635">
        <w:rPr>
          <w:lang w:val="en-US"/>
        </w:rPr>
        <w:t xml:space="preserve"> practical rather than theoretical focusing on causes of and solutions to the current recession of the American and global economy.</w:t>
      </w:r>
      <w:r w:rsidR="00A4493B" w:rsidRPr="00E93635">
        <w:rPr>
          <w:rStyle w:val="FootnoteReference"/>
        </w:rPr>
        <w:footnoteReference w:id="8"/>
      </w:r>
    </w:p>
    <w:p w:rsidR="00153470" w:rsidRPr="00E93635" w:rsidRDefault="00C42D11" w:rsidP="00C923BC">
      <w:pPr>
        <w:spacing w:line="360" w:lineRule="auto"/>
        <w:ind w:firstLine="1304"/>
        <w:rPr>
          <w:lang w:val="en-US"/>
        </w:rPr>
      </w:pPr>
      <w:r w:rsidRPr="00E93635">
        <w:rPr>
          <w:lang w:val="en-US"/>
        </w:rPr>
        <w:t>How about other areas such as the producti</w:t>
      </w:r>
      <w:r w:rsidR="00851056" w:rsidRPr="00E93635">
        <w:rPr>
          <w:lang w:val="en-US"/>
        </w:rPr>
        <w:t>on of textbooks in the slipstream</w:t>
      </w:r>
      <w:r w:rsidRPr="00E93635">
        <w:rPr>
          <w:lang w:val="en-US"/>
        </w:rPr>
        <w:t xml:space="preserve"> of the financial crisis? Some would probably </w:t>
      </w:r>
      <w:r w:rsidR="000764CD">
        <w:rPr>
          <w:lang w:val="en-US"/>
        </w:rPr>
        <w:t xml:space="preserve">already at the outset </w:t>
      </w:r>
      <w:r w:rsidRPr="00E93635">
        <w:rPr>
          <w:lang w:val="en-US"/>
        </w:rPr>
        <w:t xml:space="preserve">question this kind of question </w:t>
      </w:r>
      <w:r w:rsidR="000F791E" w:rsidRPr="00E93635">
        <w:rPr>
          <w:lang w:val="en-US"/>
        </w:rPr>
        <w:t xml:space="preserve">for the simple reason that one </w:t>
      </w:r>
      <w:r w:rsidR="001F034F">
        <w:rPr>
          <w:lang w:val="en-US"/>
        </w:rPr>
        <w:t>sh</w:t>
      </w:r>
      <w:r w:rsidRPr="00E93635">
        <w:rPr>
          <w:lang w:val="en-US"/>
        </w:rPr>
        <w:t xml:space="preserve">ould not expect textbooks to change theoretically or methodologically when </w:t>
      </w:r>
      <w:r w:rsidR="004C0B41">
        <w:rPr>
          <w:lang w:val="en-US"/>
        </w:rPr>
        <w:t xml:space="preserve">mainstream </w:t>
      </w:r>
      <w:r w:rsidRPr="00E93635">
        <w:rPr>
          <w:lang w:val="en-US"/>
        </w:rPr>
        <w:t xml:space="preserve">research </w:t>
      </w:r>
      <w:r w:rsidR="000764CD">
        <w:rPr>
          <w:lang w:val="en-US"/>
        </w:rPr>
        <w:t>has so far seemed</w:t>
      </w:r>
      <w:r w:rsidRPr="00E93635">
        <w:rPr>
          <w:lang w:val="en-US"/>
        </w:rPr>
        <w:t xml:space="preserve"> to be rather immune </w:t>
      </w:r>
      <w:r w:rsidR="00786ADE">
        <w:rPr>
          <w:lang w:val="en-US"/>
        </w:rPr>
        <w:t xml:space="preserve">theoretically </w:t>
      </w:r>
      <w:r w:rsidRPr="00E93635">
        <w:rPr>
          <w:lang w:val="en-US"/>
        </w:rPr>
        <w:t xml:space="preserve">to </w:t>
      </w:r>
      <w:r w:rsidR="00786ADE">
        <w:rPr>
          <w:lang w:val="en-US"/>
        </w:rPr>
        <w:t>challenges posed by the financial crisis</w:t>
      </w:r>
      <w:r w:rsidRPr="00E93635">
        <w:rPr>
          <w:lang w:val="en-US"/>
        </w:rPr>
        <w:t>. It is, however, important to acknowledge, that the implied 1:1 relationship between research and teaching does not exist as it did in the heyday of Samuelson</w:t>
      </w:r>
      <w:r w:rsidR="00B60B8D" w:rsidRPr="00E93635">
        <w:rPr>
          <w:rStyle w:val="FootnoteReference"/>
          <w:lang w:val="en-US"/>
        </w:rPr>
        <w:footnoteReference w:id="9"/>
      </w:r>
      <w:r w:rsidR="00861AB8" w:rsidRPr="00E93635">
        <w:rPr>
          <w:lang w:val="en-US"/>
        </w:rPr>
        <w:t xml:space="preserve"> </w:t>
      </w:r>
      <w:r w:rsidR="004C0B41">
        <w:rPr>
          <w:lang w:val="en-US"/>
        </w:rPr>
        <w:t xml:space="preserve">- despite the fact that this is </w:t>
      </w:r>
      <w:r w:rsidR="000764CD">
        <w:rPr>
          <w:lang w:val="en-US"/>
        </w:rPr>
        <w:t xml:space="preserve">still </w:t>
      </w:r>
      <w:r w:rsidR="008C52FE" w:rsidRPr="00E93635">
        <w:rPr>
          <w:lang w:val="en-US"/>
        </w:rPr>
        <w:t>implicitly claimed by</w:t>
      </w:r>
      <w:r w:rsidR="00B60B8D" w:rsidRPr="00E93635">
        <w:rPr>
          <w:lang w:val="en-US"/>
        </w:rPr>
        <w:t xml:space="preserve"> Davis (2006, p. 3-44)</w:t>
      </w:r>
      <w:r w:rsidR="00602B32" w:rsidRPr="00E93635">
        <w:rPr>
          <w:lang w:val="en-US"/>
        </w:rPr>
        <w:t xml:space="preserve">. </w:t>
      </w:r>
    </w:p>
    <w:p w:rsidR="00602B32" w:rsidRPr="00127E10" w:rsidRDefault="008C52FE" w:rsidP="00C923BC">
      <w:pPr>
        <w:spacing w:line="360" w:lineRule="auto"/>
        <w:ind w:firstLine="1304"/>
        <w:rPr>
          <w:b/>
          <w:lang w:val="en-US"/>
        </w:rPr>
      </w:pPr>
      <w:r w:rsidRPr="00E93635">
        <w:rPr>
          <w:lang w:val="en-US"/>
        </w:rPr>
        <w:t>On the contrary Colander</w:t>
      </w:r>
      <w:r w:rsidR="00C271BE" w:rsidRPr="00E93635">
        <w:rPr>
          <w:lang w:val="en-US"/>
        </w:rPr>
        <w:t xml:space="preserve"> (2005) </w:t>
      </w:r>
      <w:r w:rsidRPr="00E93635">
        <w:rPr>
          <w:lang w:val="en-US"/>
        </w:rPr>
        <w:t>argues rather convincingly t</w:t>
      </w:r>
      <w:r w:rsidR="00851056" w:rsidRPr="00E93635">
        <w:rPr>
          <w:lang w:val="en-US"/>
        </w:rPr>
        <w:t>hat for a long time textbooks have been disconnected</w:t>
      </w:r>
      <w:r w:rsidRPr="00E93635">
        <w:rPr>
          <w:lang w:val="en-US"/>
        </w:rPr>
        <w:t xml:space="preserve"> from research locked </w:t>
      </w:r>
      <w:r w:rsidR="00851056" w:rsidRPr="00E93635">
        <w:rPr>
          <w:lang w:val="en-US"/>
        </w:rPr>
        <w:t>into</w:t>
      </w:r>
      <w:r w:rsidRPr="00E93635">
        <w:rPr>
          <w:lang w:val="en-US"/>
        </w:rPr>
        <w:t xml:space="preserve"> the format and content of the original textbook </w:t>
      </w:r>
      <w:r w:rsidR="00082ACA" w:rsidRPr="00E93635">
        <w:rPr>
          <w:lang w:val="en-US"/>
        </w:rPr>
        <w:t xml:space="preserve">launched long time ago </w:t>
      </w:r>
      <w:r w:rsidRPr="00E93635">
        <w:rPr>
          <w:lang w:val="en-US"/>
        </w:rPr>
        <w:t xml:space="preserve">by Samuelson. This helps to explain why so many textbooks live their own rather neoclassical </w:t>
      </w:r>
      <w:r w:rsidR="000F791E" w:rsidRPr="00E93635">
        <w:rPr>
          <w:lang w:val="en-US"/>
        </w:rPr>
        <w:t xml:space="preserve">inspired </w:t>
      </w:r>
      <w:r w:rsidRPr="00E93635">
        <w:rPr>
          <w:lang w:val="en-US"/>
        </w:rPr>
        <w:t xml:space="preserve">life emphasizing the importance of self-regulating markets and </w:t>
      </w:r>
      <w:r w:rsidR="00786ADE">
        <w:rPr>
          <w:lang w:val="en-US"/>
        </w:rPr>
        <w:t xml:space="preserve">only </w:t>
      </w:r>
      <w:r w:rsidRPr="00E93635">
        <w:rPr>
          <w:lang w:val="en-US"/>
        </w:rPr>
        <w:t xml:space="preserve">occasional state intervention when absolutely necessary – despite the fact that </w:t>
      </w:r>
      <w:r w:rsidR="004C0B41">
        <w:rPr>
          <w:lang w:val="en-US"/>
        </w:rPr>
        <w:t xml:space="preserve">present day </w:t>
      </w:r>
      <w:r w:rsidR="00786ADE">
        <w:rPr>
          <w:lang w:val="en-US"/>
        </w:rPr>
        <w:t xml:space="preserve">mainstream </w:t>
      </w:r>
      <w:r w:rsidRPr="00E93635">
        <w:rPr>
          <w:lang w:val="en-US"/>
        </w:rPr>
        <w:t>research according to Colander</w:t>
      </w:r>
      <w:r w:rsidR="001F034F">
        <w:rPr>
          <w:lang w:val="en-US"/>
        </w:rPr>
        <w:t xml:space="preserve"> (2005)</w:t>
      </w:r>
      <w:r w:rsidR="004C0B41">
        <w:rPr>
          <w:lang w:val="en-US"/>
        </w:rPr>
        <w:t xml:space="preserve"> </w:t>
      </w:r>
      <w:r w:rsidR="00786ADE">
        <w:rPr>
          <w:lang w:val="en-US"/>
        </w:rPr>
        <w:t xml:space="preserve">covers </w:t>
      </w:r>
      <w:r w:rsidR="00127E10">
        <w:rPr>
          <w:lang w:val="en-US"/>
        </w:rPr>
        <w:t xml:space="preserve">areas such as ‘behavioral economics </w:t>
      </w:r>
      <w:r w:rsidR="00127E10">
        <w:rPr>
          <w:lang w:val="en-US"/>
        </w:rPr>
        <w:lastRenderedPageBreak/>
        <w:t xml:space="preserve">studies’, ‘evolutionary game theory’, ‘New Institutional Economics’ and ‘agent-based </w:t>
      </w:r>
      <w:r w:rsidR="000B0606">
        <w:rPr>
          <w:lang w:val="en-US"/>
        </w:rPr>
        <w:t>modeling</w:t>
      </w:r>
      <w:r w:rsidR="00127E10">
        <w:rPr>
          <w:lang w:val="en-US"/>
        </w:rPr>
        <w:t>’ (p. 251).</w:t>
      </w:r>
    </w:p>
    <w:p w:rsidR="00C271BE" w:rsidRPr="00E93635" w:rsidRDefault="008C52FE" w:rsidP="00851056">
      <w:pPr>
        <w:spacing w:line="360" w:lineRule="auto"/>
        <w:ind w:firstLine="1304"/>
        <w:rPr>
          <w:lang w:val="en-US"/>
        </w:rPr>
      </w:pPr>
      <w:r w:rsidRPr="00E93635">
        <w:rPr>
          <w:lang w:val="en-US"/>
        </w:rPr>
        <w:t xml:space="preserve">This discrepancy between textbooks and research implies that even within </w:t>
      </w:r>
      <w:r w:rsidR="00F00A55">
        <w:rPr>
          <w:lang w:val="en-US"/>
        </w:rPr>
        <w:t>a</w:t>
      </w:r>
      <w:r w:rsidR="001F034F">
        <w:rPr>
          <w:lang w:val="en-US"/>
        </w:rPr>
        <w:t xml:space="preserve"> </w:t>
      </w:r>
      <w:r w:rsidRPr="00E93635">
        <w:rPr>
          <w:lang w:val="en-US"/>
        </w:rPr>
        <w:t>mainstream economic context there is plenty of space for changing and developing the textbook without challenging the mainstream paradigm</w:t>
      </w:r>
      <w:r w:rsidR="000A4BB2" w:rsidRPr="00E93635">
        <w:rPr>
          <w:lang w:val="en-US"/>
        </w:rPr>
        <w:t xml:space="preserve"> – even the </w:t>
      </w:r>
      <w:r w:rsidR="00082ACA" w:rsidRPr="00E93635">
        <w:rPr>
          <w:lang w:val="en-US"/>
        </w:rPr>
        <w:t>seemingly immovable</w:t>
      </w:r>
      <w:r w:rsidR="000A4BB2" w:rsidRPr="00E93635">
        <w:rPr>
          <w:lang w:val="en-US"/>
        </w:rPr>
        <w:t xml:space="preserve"> micro section</w:t>
      </w:r>
      <w:r w:rsidR="00C271BE" w:rsidRPr="00E93635">
        <w:rPr>
          <w:lang w:val="en-US"/>
        </w:rPr>
        <w:t xml:space="preserve">. </w:t>
      </w:r>
      <w:r w:rsidR="00851056" w:rsidRPr="00E93635">
        <w:rPr>
          <w:lang w:val="en-US"/>
        </w:rPr>
        <w:t>The financial crisis could</w:t>
      </w:r>
      <w:r w:rsidR="000A4BB2" w:rsidRPr="00E93635">
        <w:rPr>
          <w:lang w:val="en-US"/>
        </w:rPr>
        <w:t xml:space="preserve">, hence, </w:t>
      </w:r>
      <w:r w:rsidR="00851056" w:rsidRPr="00E93635">
        <w:rPr>
          <w:lang w:val="en-US"/>
        </w:rPr>
        <w:t xml:space="preserve">in principle </w:t>
      </w:r>
      <w:r w:rsidR="000A4BB2" w:rsidRPr="00E93635">
        <w:rPr>
          <w:lang w:val="en-US"/>
        </w:rPr>
        <w:t xml:space="preserve">contribute </w:t>
      </w:r>
      <w:r w:rsidR="00B8498C">
        <w:rPr>
          <w:lang w:val="en-US"/>
        </w:rPr>
        <w:t xml:space="preserve">to </w:t>
      </w:r>
      <w:r w:rsidR="00E626E0">
        <w:rPr>
          <w:lang w:val="en-US"/>
        </w:rPr>
        <w:t>a narrowing</w:t>
      </w:r>
      <w:r w:rsidR="000A4BB2" w:rsidRPr="00E93635">
        <w:rPr>
          <w:lang w:val="en-US"/>
        </w:rPr>
        <w:t xml:space="preserve"> of the</w:t>
      </w:r>
      <w:r w:rsidR="00851056" w:rsidRPr="00E93635">
        <w:rPr>
          <w:lang w:val="en-US"/>
        </w:rPr>
        <w:t xml:space="preserve"> ever increasing </w:t>
      </w:r>
      <w:r w:rsidR="000A4BB2" w:rsidRPr="00E93635">
        <w:rPr>
          <w:lang w:val="en-US"/>
        </w:rPr>
        <w:t>gap between textbook and research</w:t>
      </w:r>
      <w:r w:rsidR="00C271BE" w:rsidRPr="00E93635">
        <w:rPr>
          <w:lang w:val="en-US"/>
        </w:rPr>
        <w:t xml:space="preserve">. </w:t>
      </w:r>
    </w:p>
    <w:p w:rsidR="00C271BE" w:rsidRPr="00E93635" w:rsidRDefault="00082ACA" w:rsidP="006555B0">
      <w:pPr>
        <w:spacing w:line="360" w:lineRule="auto"/>
        <w:ind w:firstLine="1304"/>
        <w:rPr>
          <w:lang w:val="en-US"/>
        </w:rPr>
      </w:pPr>
      <w:r w:rsidRPr="00E93635">
        <w:rPr>
          <w:lang w:val="en-US"/>
        </w:rPr>
        <w:t>Havi</w:t>
      </w:r>
      <w:r w:rsidR="000F791E" w:rsidRPr="00E93635">
        <w:rPr>
          <w:lang w:val="en-US"/>
        </w:rPr>
        <w:t xml:space="preserve">ng said so it might still be </w:t>
      </w:r>
      <w:r w:rsidRPr="00E93635">
        <w:rPr>
          <w:lang w:val="en-US"/>
        </w:rPr>
        <w:t>asked why it should be worthwhile discussing</w:t>
      </w:r>
      <w:r w:rsidR="004744D8" w:rsidRPr="00E93635">
        <w:rPr>
          <w:lang w:val="en-US"/>
        </w:rPr>
        <w:t xml:space="preserve"> the content of US textbooks</w:t>
      </w:r>
      <w:r w:rsidR="000F791E" w:rsidRPr="00E93635">
        <w:rPr>
          <w:lang w:val="en-US"/>
        </w:rPr>
        <w:t>.</w:t>
      </w:r>
      <w:r w:rsidR="004744D8" w:rsidRPr="00E93635">
        <w:rPr>
          <w:lang w:val="en-US"/>
        </w:rPr>
        <w:t xml:space="preserve"> </w:t>
      </w:r>
      <w:r w:rsidR="000F791E" w:rsidRPr="00E93635">
        <w:rPr>
          <w:lang w:val="en-US"/>
        </w:rPr>
        <w:t>Maybe the best answer to this question</w:t>
      </w:r>
      <w:r w:rsidR="004744D8" w:rsidRPr="00E93635">
        <w:rPr>
          <w:lang w:val="en-US"/>
        </w:rPr>
        <w:t xml:space="preserve"> </w:t>
      </w:r>
      <w:r w:rsidR="000F791E" w:rsidRPr="00E93635">
        <w:rPr>
          <w:lang w:val="en-US"/>
        </w:rPr>
        <w:t>w</w:t>
      </w:r>
      <w:r w:rsidR="004744D8" w:rsidRPr="00E93635">
        <w:rPr>
          <w:lang w:val="en-US"/>
        </w:rPr>
        <w:t xml:space="preserve">as </w:t>
      </w:r>
      <w:r w:rsidR="00E626E0">
        <w:rPr>
          <w:lang w:val="en-US"/>
        </w:rPr>
        <w:t xml:space="preserve">also </w:t>
      </w:r>
      <w:r w:rsidR="004744D8" w:rsidRPr="00E93635">
        <w:rPr>
          <w:lang w:val="en-US"/>
        </w:rPr>
        <w:t xml:space="preserve">presented by Samuelson: </w:t>
      </w:r>
      <w:r w:rsidR="00C271BE" w:rsidRPr="00E93635">
        <w:rPr>
          <w:lang w:val="en-US"/>
        </w:rPr>
        <w:t>“</w:t>
      </w:r>
      <w:r w:rsidR="004C0B41" w:rsidRPr="004C0B41">
        <w:rPr>
          <w:lang w:val="en-US"/>
        </w:rPr>
        <w:t>I don't c</w:t>
      </w:r>
      <w:r w:rsidR="00B8498C">
        <w:rPr>
          <w:lang w:val="en-US"/>
        </w:rPr>
        <w:t xml:space="preserve">are who writes a nation's laws </w:t>
      </w:r>
      <w:r w:rsidR="004C0B41" w:rsidRPr="004C0B41">
        <w:rPr>
          <w:lang w:val="en-US"/>
        </w:rPr>
        <w:t>or crafts its advanced treatises, if I can write its economics textbooks</w:t>
      </w:r>
      <w:r w:rsidR="00C271BE" w:rsidRPr="00E93635">
        <w:rPr>
          <w:lang w:val="en-US"/>
        </w:rPr>
        <w:t xml:space="preserve">”. </w:t>
      </w:r>
      <w:r w:rsidR="001730D0">
        <w:rPr>
          <w:lang w:val="en-US"/>
        </w:rPr>
        <w:t>Undoubtedly</w:t>
      </w:r>
      <w:r w:rsidR="00647D96" w:rsidRPr="00E93635">
        <w:rPr>
          <w:lang w:val="en-US"/>
        </w:rPr>
        <w:t xml:space="preserve"> Samuelson refer</w:t>
      </w:r>
      <w:r w:rsidRPr="00E93635">
        <w:rPr>
          <w:lang w:val="en-US"/>
        </w:rPr>
        <w:t>s</w:t>
      </w:r>
      <w:r w:rsidR="00647D96" w:rsidRPr="00E93635">
        <w:rPr>
          <w:lang w:val="en-US"/>
        </w:rPr>
        <w:t xml:space="preserve"> implicitly to the large impact his textbook has had. First, it has been sold and tran</w:t>
      </w:r>
      <w:r w:rsidR="000F791E" w:rsidRPr="00E93635">
        <w:rPr>
          <w:lang w:val="en-US"/>
        </w:rPr>
        <w:t>slated all over the world and the structure and content ha</w:t>
      </w:r>
      <w:r w:rsidR="00B8498C">
        <w:rPr>
          <w:lang w:val="en-US"/>
        </w:rPr>
        <w:t>ve</w:t>
      </w:r>
      <w:r w:rsidR="000F791E" w:rsidRPr="00E93635">
        <w:rPr>
          <w:lang w:val="en-US"/>
        </w:rPr>
        <w:t xml:space="preserve"> been imitated</w:t>
      </w:r>
      <w:r w:rsidR="00647D96" w:rsidRPr="00E93635">
        <w:rPr>
          <w:lang w:val="en-US"/>
        </w:rPr>
        <w:t xml:space="preserve"> by </w:t>
      </w:r>
      <w:r w:rsidR="000F791E" w:rsidRPr="00E93635">
        <w:rPr>
          <w:lang w:val="en-US"/>
        </w:rPr>
        <w:t xml:space="preserve">almost </w:t>
      </w:r>
      <w:r w:rsidR="00647D96" w:rsidRPr="00E93635">
        <w:rPr>
          <w:lang w:val="en-US"/>
        </w:rPr>
        <w:t>all other writers</w:t>
      </w:r>
      <w:r w:rsidR="000F791E" w:rsidRPr="00E93635">
        <w:rPr>
          <w:lang w:val="en-US"/>
        </w:rPr>
        <w:t xml:space="preserve"> of economics textbooks</w:t>
      </w:r>
      <w:r w:rsidR="00647D96" w:rsidRPr="00E93635">
        <w:rPr>
          <w:lang w:val="en-US"/>
        </w:rPr>
        <w:t>. Secondly, it must mean something how all those reader</w:t>
      </w:r>
      <w:r w:rsidR="007003FD" w:rsidRPr="00E93635">
        <w:rPr>
          <w:lang w:val="en-US"/>
        </w:rPr>
        <w:t>s</w:t>
      </w:r>
      <w:r w:rsidR="00647D96" w:rsidRPr="00E93635">
        <w:rPr>
          <w:lang w:val="en-US"/>
        </w:rPr>
        <w:t xml:space="preserve"> conceive the economy – it affects some of their decisions at work – being civil servants or brokers on Wall Street. Relating to the theme of this conference it is an important </w:t>
      </w:r>
      <w:r w:rsidR="000F791E" w:rsidRPr="00E93635">
        <w:rPr>
          <w:lang w:val="en-US"/>
        </w:rPr>
        <w:t xml:space="preserve">political </w:t>
      </w:r>
      <w:r w:rsidR="0041355E">
        <w:rPr>
          <w:lang w:val="en-US"/>
        </w:rPr>
        <w:t>bone of contention a</w:t>
      </w:r>
      <w:r w:rsidR="000F791E" w:rsidRPr="00E93635">
        <w:rPr>
          <w:lang w:val="en-US"/>
        </w:rPr>
        <w:t xml:space="preserve">nd </w:t>
      </w:r>
      <w:r w:rsidR="00E626E0">
        <w:rPr>
          <w:lang w:val="en-US"/>
        </w:rPr>
        <w:t xml:space="preserve">a </w:t>
      </w:r>
      <w:r w:rsidR="005539F3">
        <w:rPr>
          <w:lang w:val="en-US"/>
        </w:rPr>
        <w:t xml:space="preserve">pertinent </w:t>
      </w:r>
      <w:r w:rsidR="00647D96" w:rsidRPr="00E93635">
        <w:rPr>
          <w:lang w:val="en-US"/>
        </w:rPr>
        <w:t>economic theoretical question</w:t>
      </w:r>
      <w:r w:rsidR="007003FD" w:rsidRPr="00E93635">
        <w:rPr>
          <w:lang w:val="en-US"/>
        </w:rPr>
        <w:t xml:space="preserve"> of relevance to textbooks </w:t>
      </w:r>
      <w:r w:rsidR="00647D96" w:rsidRPr="00E93635">
        <w:rPr>
          <w:lang w:val="en-US"/>
        </w:rPr>
        <w:t>whether countries should try to sa</w:t>
      </w:r>
      <w:r w:rsidR="007003FD" w:rsidRPr="00E93635">
        <w:rPr>
          <w:lang w:val="en-US"/>
        </w:rPr>
        <w:t>ve or grow their way out of the crisis.</w:t>
      </w:r>
    </w:p>
    <w:p w:rsidR="007003FD" w:rsidRPr="00E93635" w:rsidRDefault="007003FD" w:rsidP="006555B0">
      <w:pPr>
        <w:spacing w:line="360" w:lineRule="auto"/>
        <w:ind w:firstLine="1304"/>
        <w:rPr>
          <w:b/>
          <w:lang w:val="en-US"/>
        </w:rPr>
      </w:pPr>
      <w:r w:rsidRPr="00E93635">
        <w:rPr>
          <w:lang w:val="en-US"/>
        </w:rPr>
        <w:t xml:space="preserve">This study is economic but it is </w:t>
      </w:r>
      <w:r w:rsidR="00E626E0">
        <w:rPr>
          <w:lang w:val="en-US"/>
        </w:rPr>
        <w:t xml:space="preserve">highly </w:t>
      </w:r>
      <w:r w:rsidRPr="00E93635">
        <w:rPr>
          <w:lang w:val="en-US"/>
        </w:rPr>
        <w:t>relevant to political scientist attending this c</w:t>
      </w:r>
      <w:r w:rsidR="00A34F94">
        <w:rPr>
          <w:lang w:val="en-US"/>
        </w:rPr>
        <w:t>onference for several reasons. We</w:t>
      </w:r>
      <w:r w:rsidRPr="00E93635">
        <w:rPr>
          <w:lang w:val="en-US"/>
        </w:rPr>
        <w:t xml:space="preserve"> ha</w:t>
      </w:r>
      <w:r w:rsidR="00A34F94">
        <w:rPr>
          <w:lang w:val="en-US"/>
        </w:rPr>
        <w:t>ve</w:t>
      </w:r>
      <w:r w:rsidRPr="00E93635">
        <w:rPr>
          <w:lang w:val="en-US"/>
        </w:rPr>
        <w:t xml:space="preserve"> argued elsewhere (Madsen, 2011) t</w:t>
      </w:r>
      <w:r w:rsidR="000F791E" w:rsidRPr="00E93635">
        <w:rPr>
          <w:lang w:val="en-US"/>
        </w:rPr>
        <w:t>hat political science will always</w:t>
      </w:r>
      <w:r w:rsidRPr="00E93635">
        <w:rPr>
          <w:lang w:val="en-US"/>
        </w:rPr>
        <w:t xml:space="preserve"> involve a conception of the ‘other’ – in this case economics </w:t>
      </w:r>
      <w:r w:rsidR="000F791E" w:rsidRPr="00E93635">
        <w:rPr>
          <w:lang w:val="en-US"/>
        </w:rPr>
        <w:t xml:space="preserve">- </w:t>
      </w:r>
      <w:r w:rsidRPr="00E93635">
        <w:rPr>
          <w:lang w:val="en-US"/>
        </w:rPr>
        <w:t xml:space="preserve">and </w:t>
      </w:r>
      <w:r w:rsidR="000F791E" w:rsidRPr="00E93635">
        <w:rPr>
          <w:lang w:val="en-US"/>
        </w:rPr>
        <w:t xml:space="preserve">that </w:t>
      </w:r>
      <w:r w:rsidRPr="00E93635">
        <w:rPr>
          <w:lang w:val="en-US"/>
        </w:rPr>
        <w:t xml:space="preserve">it matters how political scientists conceive the economy. Secondly, this is a study of the change of </w:t>
      </w:r>
      <w:r w:rsidR="002816C1" w:rsidRPr="00E93635">
        <w:rPr>
          <w:lang w:val="en-US"/>
        </w:rPr>
        <w:t xml:space="preserve">(economic) </w:t>
      </w:r>
      <w:r w:rsidRPr="00E93635">
        <w:rPr>
          <w:lang w:val="en-US"/>
        </w:rPr>
        <w:t xml:space="preserve">ideas – according to the tradition </w:t>
      </w:r>
      <w:r w:rsidR="00A21B02" w:rsidRPr="00E93635">
        <w:rPr>
          <w:lang w:val="en-US"/>
        </w:rPr>
        <w:t>launched</w:t>
      </w:r>
      <w:r w:rsidR="00082ACA" w:rsidRPr="00E93635">
        <w:rPr>
          <w:lang w:val="en-US"/>
        </w:rPr>
        <w:t xml:space="preserve"> </w:t>
      </w:r>
      <w:r w:rsidRPr="00E93635">
        <w:rPr>
          <w:lang w:val="en-US"/>
        </w:rPr>
        <w:t xml:space="preserve">by </w:t>
      </w:r>
      <w:r w:rsidR="00B8498C">
        <w:rPr>
          <w:lang w:val="en-US"/>
        </w:rPr>
        <w:t>the seminal work of</w:t>
      </w:r>
      <w:r w:rsidR="00082ACA" w:rsidRPr="00E93635">
        <w:rPr>
          <w:lang w:val="en-US"/>
        </w:rPr>
        <w:t xml:space="preserve"> </w:t>
      </w:r>
      <w:r w:rsidR="00E626E0">
        <w:rPr>
          <w:lang w:val="en-US"/>
        </w:rPr>
        <w:t xml:space="preserve">the political scientist </w:t>
      </w:r>
      <w:r w:rsidR="005A01F9">
        <w:rPr>
          <w:lang w:val="en-US"/>
        </w:rPr>
        <w:t xml:space="preserve">Peter </w:t>
      </w:r>
      <w:r w:rsidRPr="00E93635">
        <w:rPr>
          <w:lang w:val="en-US"/>
        </w:rPr>
        <w:t>Hall (</w:t>
      </w:r>
      <w:r w:rsidR="005A01F9">
        <w:rPr>
          <w:lang w:val="en-US"/>
        </w:rPr>
        <w:t>1993</w:t>
      </w:r>
      <w:r w:rsidRPr="00E93635">
        <w:rPr>
          <w:lang w:val="en-US"/>
        </w:rPr>
        <w:t>).</w:t>
      </w:r>
    </w:p>
    <w:p w:rsidR="00C271BE" w:rsidRPr="00E93635" w:rsidRDefault="007003FD" w:rsidP="00C923BC">
      <w:pPr>
        <w:spacing w:line="360" w:lineRule="auto"/>
        <w:ind w:firstLine="1304"/>
        <w:rPr>
          <w:lang w:val="en-US"/>
        </w:rPr>
      </w:pPr>
      <w:r w:rsidRPr="00E93635">
        <w:rPr>
          <w:lang w:val="en-US"/>
        </w:rPr>
        <w:t xml:space="preserve">In what is to follow we </w:t>
      </w:r>
      <w:r w:rsidR="00B8498C">
        <w:rPr>
          <w:lang w:val="en-US"/>
        </w:rPr>
        <w:t xml:space="preserve">shall </w:t>
      </w:r>
      <w:r w:rsidRPr="00E93635">
        <w:rPr>
          <w:lang w:val="en-US"/>
        </w:rPr>
        <w:t>first discuss whether one is to expect significant changes of the textbooks due to the financia</w:t>
      </w:r>
      <w:r w:rsidR="00082ACA" w:rsidRPr="00E93635">
        <w:rPr>
          <w:lang w:val="en-US"/>
        </w:rPr>
        <w:t>l</w:t>
      </w:r>
      <w:r w:rsidRPr="00E93635">
        <w:rPr>
          <w:lang w:val="en-US"/>
        </w:rPr>
        <w:t xml:space="preserve"> crisis. Next, the method is briefly accounted for, while the ma</w:t>
      </w:r>
      <w:r w:rsidR="00082ACA" w:rsidRPr="00E93635">
        <w:rPr>
          <w:lang w:val="en-US"/>
        </w:rPr>
        <w:t>in section presents the results</w:t>
      </w:r>
      <w:r w:rsidRPr="00E93635">
        <w:rPr>
          <w:lang w:val="en-US"/>
        </w:rPr>
        <w:t xml:space="preserve"> of the analysis of six textbooks. </w:t>
      </w:r>
    </w:p>
    <w:p w:rsidR="00C271BE" w:rsidRPr="00E93635" w:rsidRDefault="00C271BE" w:rsidP="00C271BE">
      <w:pPr>
        <w:spacing w:line="360" w:lineRule="auto"/>
        <w:rPr>
          <w:lang w:val="en-US"/>
        </w:rPr>
      </w:pPr>
    </w:p>
    <w:p w:rsidR="00C271BE" w:rsidRPr="00E93635" w:rsidRDefault="0030453E" w:rsidP="00C271BE">
      <w:pPr>
        <w:pStyle w:val="ListParagraph"/>
        <w:numPr>
          <w:ilvl w:val="0"/>
          <w:numId w:val="16"/>
        </w:numPr>
        <w:spacing w:after="0" w:line="360" w:lineRule="auto"/>
        <w:contextualSpacing/>
        <w:rPr>
          <w:rFonts w:ascii="Times New Roman" w:hAnsi="Times New Roman"/>
          <w:i/>
          <w:sz w:val="24"/>
          <w:szCs w:val="24"/>
        </w:rPr>
      </w:pPr>
      <w:r w:rsidRPr="00E93635">
        <w:rPr>
          <w:rFonts w:ascii="Times New Roman" w:hAnsi="Times New Roman"/>
          <w:i/>
          <w:sz w:val="24"/>
          <w:szCs w:val="24"/>
        </w:rPr>
        <w:t xml:space="preserve">Are there </w:t>
      </w:r>
      <w:r w:rsidR="00082ACA" w:rsidRPr="00E93635">
        <w:rPr>
          <w:rFonts w:ascii="Times New Roman" w:hAnsi="Times New Roman"/>
          <w:i/>
          <w:sz w:val="24"/>
          <w:szCs w:val="24"/>
        </w:rPr>
        <w:t xml:space="preserve">a priori </w:t>
      </w:r>
      <w:r w:rsidRPr="00E93635">
        <w:rPr>
          <w:rFonts w:ascii="Times New Roman" w:hAnsi="Times New Roman"/>
          <w:i/>
          <w:sz w:val="24"/>
          <w:szCs w:val="24"/>
        </w:rPr>
        <w:t>reasons to expect significant changes of the textbooks?</w:t>
      </w:r>
    </w:p>
    <w:p w:rsidR="00A33955" w:rsidRPr="00E93635" w:rsidRDefault="0030453E" w:rsidP="00153470">
      <w:pPr>
        <w:spacing w:line="360" w:lineRule="auto"/>
        <w:ind w:firstLine="720"/>
        <w:rPr>
          <w:lang w:val="en-US"/>
        </w:rPr>
      </w:pPr>
      <w:r w:rsidRPr="00E93635">
        <w:rPr>
          <w:lang w:val="en-US"/>
        </w:rPr>
        <w:t>The answer to this question depends on two issues which can be formulated as questions:</w:t>
      </w:r>
    </w:p>
    <w:p w:rsidR="009232D9" w:rsidRPr="00E93635" w:rsidRDefault="0030453E" w:rsidP="009232D9">
      <w:pPr>
        <w:pStyle w:val="ListParagraph"/>
        <w:numPr>
          <w:ilvl w:val="0"/>
          <w:numId w:val="20"/>
        </w:numPr>
        <w:spacing w:line="360" w:lineRule="auto"/>
        <w:rPr>
          <w:rFonts w:ascii="Times New Roman" w:hAnsi="Times New Roman"/>
          <w:sz w:val="24"/>
          <w:szCs w:val="24"/>
        </w:rPr>
      </w:pPr>
      <w:r w:rsidRPr="00E93635">
        <w:rPr>
          <w:rFonts w:ascii="Times New Roman" w:hAnsi="Times New Roman"/>
          <w:sz w:val="24"/>
          <w:szCs w:val="24"/>
        </w:rPr>
        <w:t>Are there aspects of the financial crisis, which in some sense challenge the existing theoretical framework of textbooks</w:t>
      </w:r>
      <w:r w:rsidR="006B3269" w:rsidRPr="00E93635">
        <w:rPr>
          <w:rFonts w:ascii="Times New Roman" w:hAnsi="Times New Roman"/>
          <w:sz w:val="24"/>
          <w:szCs w:val="24"/>
        </w:rPr>
        <w:t xml:space="preserve">? </w:t>
      </w:r>
    </w:p>
    <w:p w:rsidR="00A33955" w:rsidRPr="00E93635" w:rsidRDefault="0030453E" w:rsidP="00C271BE">
      <w:pPr>
        <w:pStyle w:val="ListParagraph"/>
        <w:numPr>
          <w:ilvl w:val="0"/>
          <w:numId w:val="20"/>
        </w:numPr>
        <w:spacing w:line="360" w:lineRule="auto"/>
        <w:rPr>
          <w:rFonts w:ascii="Times New Roman" w:hAnsi="Times New Roman"/>
        </w:rPr>
      </w:pPr>
      <w:r w:rsidRPr="00E93635">
        <w:rPr>
          <w:rFonts w:ascii="Times New Roman" w:hAnsi="Times New Roman"/>
          <w:sz w:val="24"/>
          <w:szCs w:val="24"/>
        </w:rPr>
        <w:lastRenderedPageBreak/>
        <w:t xml:space="preserve">Taking into account what </w:t>
      </w:r>
      <w:r w:rsidR="00B8498C">
        <w:rPr>
          <w:rFonts w:ascii="Times New Roman" w:hAnsi="Times New Roman"/>
          <w:sz w:val="24"/>
          <w:szCs w:val="24"/>
        </w:rPr>
        <w:t xml:space="preserve">might </w:t>
      </w:r>
      <w:r w:rsidRPr="00E93635">
        <w:rPr>
          <w:rFonts w:ascii="Times New Roman" w:hAnsi="Times New Roman"/>
          <w:sz w:val="24"/>
          <w:szCs w:val="24"/>
        </w:rPr>
        <w:t>normally change tex</w:t>
      </w:r>
      <w:r w:rsidR="00E626E0">
        <w:rPr>
          <w:rFonts w:ascii="Times New Roman" w:hAnsi="Times New Roman"/>
          <w:sz w:val="24"/>
          <w:szCs w:val="24"/>
        </w:rPr>
        <w:t>tbooks does the financial crisis</w:t>
      </w:r>
      <w:r w:rsidR="002816C1" w:rsidRPr="00E93635">
        <w:rPr>
          <w:rFonts w:ascii="Times New Roman" w:hAnsi="Times New Roman"/>
          <w:sz w:val="24"/>
          <w:szCs w:val="24"/>
        </w:rPr>
        <w:t xml:space="preserve"> have what it takes to initiate significant changes of textbooks?</w:t>
      </w:r>
      <w:r w:rsidR="002816C1" w:rsidRPr="00E93635">
        <w:rPr>
          <w:rFonts w:ascii="Times New Roman" w:hAnsi="Times New Roman"/>
        </w:rPr>
        <w:t xml:space="preserve"> </w:t>
      </w:r>
    </w:p>
    <w:p w:rsidR="00E22E76" w:rsidRPr="00E626E0" w:rsidRDefault="002816C1" w:rsidP="00C271BE">
      <w:pPr>
        <w:spacing w:line="360" w:lineRule="auto"/>
        <w:rPr>
          <w:color w:val="FF0000"/>
          <w:lang w:val="en-US"/>
        </w:rPr>
      </w:pPr>
      <w:r w:rsidRPr="00E93635">
        <w:rPr>
          <w:lang w:val="en-US"/>
        </w:rPr>
        <w:t>Re</w:t>
      </w:r>
      <w:r w:rsidR="00611FB1" w:rsidRPr="00E93635">
        <w:rPr>
          <w:lang w:val="en-US"/>
        </w:rPr>
        <w:t xml:space="preserve"> 1) </w:t>
      </w:r>
      <w:r w:rsidR="00F510F1" w:rsidRPr="00E93635">
        <w:rPr>
          <w:lang w:val="en-US"/>
        </w:rPr>
        <w:t xml:space="preserve">The first question is not easily answered and will be </w:t>
      </w:r>
      <w:r w:rsidR="00B8498C">
        <w:rPr>
          <w:lang w:val="en-US"/>
        </w:rPr>
        <w:t>dealt with in</w:t>
      </w:r>
      <w:r w:rsidR="00F510F1" w:rsidRPr="00E93635">
        <w:rPr>
          <w:lang w:val="en-US"/>
        </w:rPr>
        <w:t xml:space="preserve"> the analysis below. The crisis and the attempts to deal with it politically do, however, already at the outset raise fundamental questions which even textbooks might be forced </w:t>
      </w:r>
      <w:r w:rsidR="001F034F">
        <w:rPr>
          <w:lang w:val="en-US"/>
        </w:rPr>
        <w:t xml:space="preserve">to </w:t>
      </w:r>
      <w:r w:rsidR="00E626E0">
        <w:rPr>
          <w:lang w:val="en-US"/>
        </w:rPr>
        <w:t xml:space="preserve">at least </w:t>
      </w:r>
      <w:r w:rsidR="00F510F1" w:rsidRPr="00E93635">
        <w:rPr>
          <w:lang w:val="en-US"/>
        </w:rPr>
        <w:t>address</w:t>
      </w:r>
      <w:r w:rsidR="00232AE4" w:rsidRPr="00E93635">
        <w:rPr>
          <w:lang w:val="en-US"/>
        </w:rPr>
        <w:t xml:space="preserve">. </w:t>
      </w:r>
      <w:r w:rsidR="002E349C" w:rsidRPr="00E93635">
        <w:rPr>
          <w:lang w:val="en-US"/>
        </w:rPr>
        <w:t xml:space="preserve"> </w:t>
      </w:r>
      <w:r w:rsidR="00A17EF3" w:rsidRPr="00E93635">
        <w:rPr>
          <w:lang w:val="en-US"/>
        </w:rPr>
        <w:t>The most pertinent</w:t>
      </w:r>
      <w:r w:rsidR="002E349C" w:rsidRPr="00E93635">
        <w:rPr>
          <w:lang w:val="en-US"/>
        </w:rPr>
        <w:t xml:space="preserve"> </w:t>
      </w:r>
      <w:r w:rsidR="00B8498C">
        <w:rPr>
          <w:lang w:val="en-US"/>
        </w:rPr>
        <w:t>questions might be</w:t>
      </w:r>
      <w:r w:rsidR="00232AE4" w:rsidRPr="00E626E0">
        <w:rPr>
          <w:lang w:val="en-US"/>
        </w:rPr>
        <w:t>:</w:t>
      </w:r>
      <w:r w:rsidR="00A17EF3" w:rsidRPr="00E626E0">
        <w:rPr>
          <w:rStyle w:val="FootnoteReference"/>
          <w:lang w:val="en-US"/>
        </w:rPr>
        <w:t xml:space="preserve"> </w:t>
      </w:r>
      <w:r w:rsidR="00A17EF3" w:rsidRPr="00E93635">
        <w:rPr>
          <w:rStyle w:val="FootnoteReference"/>
        </w:rPr>
        <w:footnoteReference w:id="10"/>
      </w:r>
      <w:r w:rsidR="00A17EF3" w:rsidRPr="00E626E0">
        <w:rPr>
          <w:lang w:val="en-US"/>
        </w:rPr>
        <w:t xml:space="preserve"> </w:t>
      </w:r>
    </w:p>
    <w:p w:rsidR="00E22E76" w:rsidRPr="00E93635" w:rsidRDefault="002E349C" w:rsidP="00E22E76">
      <w:pPr>
        <w:pStyle w:val="ListParagraph"/>
        <w:numPr>
          <w:ilvl w:val="0"/>
          <w:numId w:val="21"/>
        </w:numPr>
        <w:spacing w:line="360" w:lineRule="auto"/>
        <w:rPr>
          <w:rFonts w:ascii="Times New Roman" w:hAnsi="Times New Roman"/>
          <w:sz w:val="24"/>
          <w:szCs w:val="24"/>
        </w:rPr>
      </w:pPr>
      <w:r w:rsidRPr="00E93635">
        <w:rPr>
          <w:rFonts w:ascii="Times New Roman" w:hAnsi="Times New Roman"/>
          <w:sz w:val="24"/>
          <w:szCs w:val="24"/>
        </w:rPr>
        <w:t xml:space="preserve">Does the financial crisis </w:t>
      </w:r>
      <w:r w:rsidR="005539F3">
        <w:rPr>
          <w:rFonts w:ascii="Times New Roman" w:hAnsi="Times New Roman"/>
          <w:sz w:val="24"/>
          <w:szCs w:val="24"/>
        </w:rPr>
        <w:t>lead to a questioning of</w:t>
      </w:r>
      <w:r w:rsidRPr="00E93635">
        <w:rPr>
          <w:rFonts w:ascii="Times New Roman" w:hAnsi="Times New Roman"/>
          <w:sz w:val="24"/>
          <w:szCs w:val="24"/>
        </w:rPr>
        <w:t xml:space="preserve"> the way markets mode of functioning is trad</w:t>
      </w:r>
      <w:r w:rsidR="00082ACA" w:rsidRPr="00E93635">
        <w:rPr>
          <w:rFonts w:ascii="Times New Roman" w:hAnsi="Times New Roman"/>
          <w:sz w:val="24"/>
          <w:szCs w:val="24"/>
        </w:rPr>
        <w:t>i</w:t>
      </w:r>
      <w:r w:rsidRPr="00E93635">
        <w:rPr>
          <w:rFonts w:ascii="Times New Roman" w:hAnsi="Times New Roman"/>
          <w:sz w:val="24"/>
          <w:szCs w:val="24"/>
        </w:rPr>
        <w:t>tionally pictured in textbooks?</w:t>
      </w:r>
    </w:p>
    <w:p w:rsidR="00E22E76" w:rsidRPr="00E93635" w:rsidRDefault="002E349C" w:rsidP="00E22E76">
      <w:pPr>
        <w:pStyle w:val="ListParagraph"/>
        <w:numPr>
          <w:ilvl w:val="0"/>
          <w:numId w:val="21"/>
        </w:numPr>
        <w:spacing w:line="360" w:lineRule="auto"/>
        <w:rPr>
          <w:rFonts w:ascii="Times New Roman" w:hAnsi="Times New Roman"/>
          <w:sz w:val="24"/>
          <w:szCs w:val="24"/>
        </w:rPr>
      </w:pPr>
      <w:r w:rsidRPr="00E93635">
        <w:rPr>
          <w:rFonts w:ascii="Times New Roman" w:hAnsi="Times New Roman"/>
          <w:sz w:val="24"/>
          <w:szCs w:val="24"/>
        </w:rPr>
        <w:t xml:space="preserve">Will the state </w:t>
      </w:r>
      <w:r w:rsidR="00082ACA" w:rsidRPr="00E93635">
        <w:rPr>
          <w:rFonts w:ascii="Times New Roman" w:hAnsi="Times New Roman"/>
          <w:sz w:val="24"/>
          <w:szCs w:val="24"/>
        </w:rPr>
        <w:t xml:space="preserve">due to the financial crisis </w:t>
      </w:r>
      <w:r w:rsidRPr="00E93635">
        <w:rPr>
          <w:rFonts w:ascii="Times New Roman" w:hAnsi="Times New Roman"/>
          <w:sz w:val="24"/>
          <w:szCs w:val="24"/>
        </w:rPr>
        <w:t>play a large</w:t>
      </w:r>
      <w:r w:rsidR="00082ACA" w:rsidRPr="00E93635">
        <w:rPr>
          <w:rFonts w:ascii="Times New Roman" w:hAnsi="Times New Roman"/>
          <w:sz w:val="24"/>
          <w:szCs w:val="24"/>
        </w:rPr>
        <w:t>r</w:t>
      </w:r>
      <w:r w:rsidRPr="00E93635">
        <w:rPr>
          <w:rFonts w:ascii="Times New Roman" w:hAnsi="Times New Roman"/>
          <w:sz w:val="24"/>
          <w:szCs w:val="24"/>
        </w:rPr>
        <w:t xml:space="preserve"> or qualitatively different role in </w:t>
      </w:r>
      <w:r w:rsidR="00A17EF3" w:rsidRPr="00E93635">
        <w:rPr>
          <w:rFonts w:ascii="Times New Roman" w:hAnsi="Times New Roman"/>
          <w:sz w:val="24"/>
          <w:szCs w:val="24"/>
        </w:rPr>
        <w:t xml:space="preserve">regulating </w:t>
      </w:r>
      <w:r w:rsidRPr="00E93635">
        <w:rPr>
          <w:rFonts w:ascii="Times New Roman" w:hAnsi="Times New Roman"/>
          <w:sz w:val="24"/>
          <w:szCs w:val="24"/>
        </w:rPr>
        <w:t>the economy</w:t>
      </w:r>
      <w:r w:rsidR="00A17EF3" w:rsidRPr="00E93635">
        <w:rPr>
          <w:rFonts w:ascii="Times New Roman" w:hAnsi="Times New Roman"/>
          <w:sz w:val="24"/>
          <w:szCs w:val="24"/>
        </w:rPr>
        <w:t xml:space="preserve"> in the future</w:t>
      </w:r>
      <w:r w:rsidR="00E22E76" w:rsidRPr="00E93635">
        <w:rPr>
          <w:rFonts w:ascii="Times New Roman" w:hAnsi="Times New Roman"/>
          <w:sz w:val="24"/>
          <w:szCs w:val="24"/>
        </w:rPr>
        <w:t>?</w:t>
      </w:r>
    </w:p>
    <w:p w:rsidR="002E349C" w:rsidRPr="00E93635" w:rsidRDefault="002E349C" w:rsidP="00E22E76">
      <w:pPr>
        <w:pStyle w:val="ListParagraph"/>
        <w:numPr>
          <w:ilvl w:val="0"/>
          <w:numId w:val="21"/>
        </w:numPr>
        <w:spacing w:line="360" w:lineRule="auto"/>
        <w:rPr>
          <w:rFonts w:ascii="Times New Roman" w:hAnsi="Times New Roman"/>
          <w:sz w:val="24"/>
          <w:szCs w:val="24"/>
        </w:rPr>
      </w:pPr>
      <w:r w:rsidRPr="00E93635">
        <w:rPr>
          <w:rFonts w:ascii="Times New Roman" w:hAnsi="Times New Roman"/>
          <w:sz w:val="24"/>
          <w:szCs w:val="24"/>
        </w:rPr>
        <w:t xml:space="preserve">Has fiscal policy </w:t>
      </w:r>
      <w:r w:rsidR="00082ACA" w:rsidRPr="00E93635">
        <w:rPr>
          <w:rFonts w:ascii="Times New Roman" w:hAnsi="Times New Roman"/>
          <w:sz w:val="24"/>
          <w:szCs w:val="24"/>
        </w:rPr>
        <w:t xml:space="preserve">now </w:t>
      </w:r>
      <w:r w:rsidRPr="00E93635">
        <w:rPr>
          <w:rFonts w:ascii="Times New Roman" w:hAnsi="Times New Roman"/>
          <w:sz w:val="24"/>
          <w:szCs w:val="24"/>
        </w:rPr>
        <w:t>a larger potential or different role to play than normally assumed in textbooks?</w:t>
      </w:r>
    </w:p>
    <w:p w:rsidR="00E22E76" w:rsidRPr="00E93635" w:rsidRDefault="002E349C" w:rsidP="00E22E76">
      <w:pPr>
        <w:pStyle w:val="ListParagraph"/>
        <w:numPr>
          <w:ilvl w:val="0"/>
          <w:numId w:val="21"/>
        </w:numPr>
        <w:spacing w:line="360" w:lineRule="auto"/>
        <w:rPr>
          <w:rFonts w:ascii="Times New Roman" w:hAnsi="Times New Roman"/>
          <w:sz w:val="24"/>
          <w:szCs w:val="24"/>
        </w:rPr>
      </w:pPr>
      <w:r w:rsidRPr="00E93635">
        <w:rPr>
          <w:rFonts w:ascii="Times New Roman" w:hAnsi="Times New Roman"/>
          <w:sz w:val="24"/>
          <w:szCs w:val="24"/>
        </w:rPr>
        <w:t>Do</w:t>
      </w:r>
      <w:r w:rsidR="00A17EF3" w:rsidRPr="00E93635">
        <w:rPr>
          <w:rFonts w:ascii="Times New Roman" w:hAnsi="Times New Roman"/>
          <w:sz w:val="24"/>
          <w:szCs w:val="24"/>
        </w:rPr>
        <w:t>es</w:t>
      </w:r>
      <w:r w:rsidRPr="00E93635">
        <w:rPr>
          <w:rFonts w:ascii="Times New Roman" w:hAnsi="Times New Roman"/>
          <w:sz w:val="24"/>
          <w:szCs w:val="24"/>
        </w:rPr>
        <w:t xml:space="preserve"> the financial crisis question the notion of </w:t>
      </w:r>
      <w:r w:rsidR="00E22E76" w:rsidRPr="00E93635">
        <w:rPr>
          <w:rFonts w:ascii="Times New Roman" w:hAnsi="Times New Roman"/>
          <w:sz w:val="24"/>
          <w:szCs w:val="24"/>
        </w:rPr>
        <w:t>’the great moderation’</w:t>
      </w:r>
      <w:r w:rsidR="001F034F">
        <w:rPr>
          <w:rFonts w:ascii="Times New Roman" w:hAnsi="Times New Roman"/>
          <w:sz w:val="24"/>
          <w:szCs w:val="24"/>
        </w:rPr>
        <w:t xml:space="preserve"> and if so what are the theoretical implications</w:t>
      </w:r>
      <w:r w:rsidR="00E22E76" w:rsidRPr="00E93635">
        <w:rPr>
          <w:rFonts w:ascii="Times New Roman" w:hAnsi="Times New Roman"/>
          <w:sz w:val="24"/>
          <w:szCs w:val="24"/>
        </w:rPr>
        <w:t>?</w:t>
      </w:r>
      <w:r w:rsidR="000B5C30" w:rsidRPr="00E93635">
        <w:rPr>
          <w:rStyle w:val="FootnoteReference"/>
          <w:rFonts w:ascii="Times New Roman" w:hAnsi="Times New Roman"/>
          <w:sz w:val="24"/>
          <w:szCs w:val="24"/>
          <w:lang w:val="da-DK"/>
        </w:rPr>
        <w:footnoteReference w:id="11"/>
      </w:r>
    </w:p>
    <w:p w:rsidR="002E349C" w:rsidRPr="00E93635" w:rsidRDefault="002E349C" w:rsidP="00E22E76">
      <w:pPr>
        <w:pStyle w:val="ListParagraph"/>
        <w:numPr>
          <w:ilvl w:val="0"/>
          <w:numId w:val="21"/>
        </w:numPr>
        <w:spacing w:line="360" w:lineRule="auto"/>
        <w:rPr>
          <w:rFonts w:ascii="Times New Roman" w:hAnsi="Times New Roman"/>
          <w:sz w:val="24"/>
          <w:szCs w:val="24"/>
        </w:rPr>
      </w:pPr>
      <w:r w:rsidRPr="00E93635">
        <w:rPr>
          <w:rFonts w:ascii="Times New Roman" w:hAnsi="Times New Roman"/>
          <w:sz w:val="24"/>
          <w:szCs w:val="24"/>
        </w:rPr>
        <w:t>Does the financial crisis imply that future textbooks will d</w:t>
      </w:r>
      <w:r w:rsidR="00E626E0">
        <w:rPr>
          <w:rFonts w:ascii="Times New Roman" w:hAnsi="Times New Roman"/>
          <w:sz w:val="24"/>
          <w:szCs w:val="24"/>
        </w:rPr>
        <w:t>iscuss business cycles and crise</w:t>
      </w:r>
      <w:r w:rsidRPr="00E93635">
        <w:rPr>
          <w:rFonts w:ascii="Times New Roman" w:hAnsi="Times New Roman"/>
          <w:sz w:val="24"/>
          <w:szCs w:val="24"/>
        </w:rPr>
        <w:t>s and the</w:t>
      </w:r>
      <w:r w:rsidR="00E626E0">
        <w:rPr>
          <w:rFonts w:ascii="Times New Roman" w:hAnsi="Times New Roman"/>
          <w:sz w:val="24"/>
          <w:szCs w:val="24"/>
        </w:rPr>
        <w:t>ir</w:t>
      </w:r>
      <w:r w:rsidRPr="00E93635">
        <w:rPr>
          <w:rFonts w:ascii="Times New Roman" w:hAnsi="Times New Roman"/>
          <w:sz w:val="24"/>
          <w:szCs w:val="24"/>
        </w:rPr>
        <w:t xml:space="preserve"> underlying causes</w:t>
      </w:r>
      <w:r w:rsidR="00B8498C">
        <w:rPr>
          <w:rFonts w:ascii="Times New Roman" w:hAnsi="Times New Roman"/>
          <w:sz w:val="24"/>
          <w:szCs w:val="24"/>
        </w:rPr>
        <w:t xml:space="preserve"> to a larger extent</w:t>
      </w:r>
      <w:r w:rsidRPr="00E93635">
        <w:rPr>
          <w:rFonts w:ascii="Times New Roman" w:hAnsi="Times New Roman"/>
          <w:sz w:val="24"/>
          <w:szCs w:val="24"/>
        </w:rPr>
        <w:t>?</w:t>
      </w:r>
    </w:p>
    <w:p w:rsidR="00E22E76" w:rsidRPr="00E93635" w:rsidRDefault="00E626E0" w:rsidP="00E22E76">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Will </w:t>
      </w:r>
      <w:r w:rsidR="002E349C" w:rsidRPr="00E93635">
        <w:rPr>
          <w:rFonts w:ascii="Times New Roman" w:hAnsi="Times New Roman"/>
          <w:sz w:val="24"/>
          <w:szCs w:val="24"/>
        </w:rPr>
        <w:t xml:space="preserve">the actual change in US monetary policy and the pivotal role played </w:t>
      </w:r>
      <w:r w:rsidR="00B8498C">
        <w:rPr>
          <w:rFonts w:ascii="Times New Roman" w:hAnsi="Times New Roman"/>
          <w:sz w:val="24"/>
          <w:szCs w:val="24"/>
        </w:rPr>
        <w:t>by the financial sector</w:t>
      </w:r>
      <w:r w:rsidR="002E349C" w:rsidRPr="00E93635">
        <w:rPr>
          <w:rFonts w:ascii="Times New Roman" w:hAnsi="Times New Roman"/>
          <w:sz w:val="24"/>
          <w:szCs w:val="24"/>
        </w:rPr>
        <w:t xml:space="preserve"> also change the presentation of monetary policy?</w:t>
      </w:r>
    </w:p>
    <w:p w:rsidR="00E22E76" w:rsidRPr="00E93635" w:rsidRDefault="00082ACA" w:rsidP="00C271BE">
      <w:pPr>
        <w:spacing w:line="360" w:lineRule="auto"/>
        <w:rPr>
          <w:lang w:val="en-US"/>
        </w:rPr>
      </w:pPr>
      <w:r w:rsidRPr="00E93635">
        <w:rPr>
          <w:lang w:val="en-US"/>
        </w:rPr>
        <w:t>Summing up</w:t>
      </w:r>
      <w:r w:rsidR="002E349C" w:rsidRPr="00E93635">
        <w:rPr>
          <w:lang w:val="en-US"/>
        </w:rPr>
        <w:t>, it is possible to point to a number of critical issues challenging the theoretical foundation in more neoclassical textbooks</w:t>
      </w:r>
      <w:r w:rsidR="00E626E0">
        <w:rPr>
          <w:lang w:val="en-US"/>
        </w:rPr>
        <w:t>. By the term neoclassical we refer</w:t>
      </w:r>
      <w:r w:rsidR="002E349C" w:rsidRPr="00E93635">
        <w:rPr>
          <w:lang w:val="en-US"/>
        </w:rPr>
        <w:t xml:space="preserve"> implicitly and explicitly</w:t>
      </w:r>
      <w:r w:rsidR="00E626E0">
        <w:rPr>
          <w:lang w:val="en-US"/>
        </w:rPr>
        <w:t xml:space="preserve"> to an approach which tends </w:t>
      </w:r>
      <w:r w:rsidR="002E349C" w:rsidRPr="00E93635">
        <w:rPr>
          <w:lang w:val="en-US"/>
        </w:rPr>
        <w:t>to depicture capitalism as a fundamentally stable system while cri</w:t>
      </w:r>
      <w:r w:rsidR="001F034F">
        <w:rPr>
          <w:lang w:val="en-US"/>
        </w:rPr>
        <w:t>se</w:t>
      </w:r>
      <w:r w:rsidRPr="00E93635">
        <w:rPr>
          <w:lang w:val="en-US"/>
        </w:rPr>
        <w:t xml:space="preserve">s and business cycles are </w:t>
      </w:r>
      <w:r w:rsidR="00B8498C">
        <w:rPr>
          <w:lang w:val="en-US"/>
        </w:rPr>
        <w:t>treated</w:t>
      </w:r>
      <w:r w:rsidR="002E349C" w:rsidRPr="00E93635">
        <w:rPr>
          <w:lang w:val="en-US"/>
        </w:rPr>
        <w:t xml:space="preserve"> as exceptions.</w:t>
      </w:r>
      <w:r w:rsidR="00FD3B63" w:rsidRPr="00E93635">
        <w:rPr>
          <w:lang w:val="en-US"/>
        </w:rPr>
        <w:t xml:space="preserve"> We shall return to these six points in the analysis</w:t>
      </w:r>
      <w:r w:rsidR="00713F2D">
        <w:rPr>
          <w:lang w:val="en-US"/>
        </w:rPr>
        <w:t>. Th</w:t>
      </w:r>
      <w:r w:rsidR="00FD3B63" w:rsidRPr="00E93635">
        <w:rPr>
          <w:lang w:val="en-US"/>
        </w:rPr>
        <w:t xml:space="preserve">ey will be used as a kind of measuring rot for what the textbooks do </w:t>
      </w:r>
      <w:r w:rsidR="00E626E0">
        <w:rPr>
          <w:lang w:val="en-US"/>
        </w:rPr>
        <w:t xml:space="preserve">or do </w:t>
      </w:r>
      <w:r w:rsidR="00FD3B63" w:rsidRPr="00E93635">
        <w:rPr>
          <w:lang w:val="en-US"/>
        </w:rPr>
        <w:t>not do.</w:t>
      </w:r>
      <w:r w:rsidR="006B3269" w:rsidRPr="00E93635">
        <w:rPr>
          <w:lang w:val="en-US"/>
        </w:rPr>
        <w:t xml:space="preserve"> </w:t>
      </w:r>
    </w:p>
    <w:p w:rsidR="00A17EF3" w:rsidRPr="00E93635" w:rsidRDefault="002E349C" w:rsidP="00C923BC">
      <w:pPr>
        <w:spacing w:line="360" w:lineRule="auto"/>
        <w:ind w:firstLine="1304"/>
        <w:rPr>
          <w:lang w:val="en-US"/>
        </w:rPr>
      </w:pPr>
      <w:r w:rsidRPr="00E93635">
        <w:rPr>
          <w:lang w:val="en-US"/>
        </w:rPr>
        <w:t>Re</w:t>
      </w:r>
      <w:r w:rsidR="00611FB1" w:rsidRPr="00E93635">
        <w:rPr>
          <w:lang w:val="en-US"/>
        </w:rPr>
        <w:t xml:space="preserve"> 2</w:t>
      </w:r>
      <w:r w:rsidR="006B3269" w:rsidRPr="00E93635">
        <w:rPr>
          <w:lang w:val="en-US"/>
        </w:rPr>
        <w:t>)</w:t>
      </w:r>
      <w:r w:rsidR="00611FB1" w:rsidRPr="00E93635">
        <w:rPr>
          <w:lang w:val="en-US"/>
        </w:rPr>
        <w:t xml:space="preserve"> </w:t>
      </w:r>
      <w:r w:rsidRPr="00E93635">
        <w:rPr>
          <w:lang w:val="en-US"/>
        </w:rPr>
        <w:t xml:space="preserve">The answer to </w:t>
      </w:r>
      <w:r w:rsidR="00082ACA" w:rsidRPr="00E93635">
        <w:rPr>
          <w:lang w:val="en-US"/>
        </w:rPr>
        <w:t xml:space="preserve">this </w:t>
      </w:r>
      <w:r w:rsidRPr="00E93635">
        <w:rPr>
          <w:lang w:val="en-US"/>
        </w:rPr>
        <w:t>question depends of the choice of perspective.</w:t>
      </w:r>
      <w:r w:rsidR="0051640E" w:rsidRPr="00E93635">
        <w:rPr>
          <w:lang w:val="en-US"/>
        </w:rPr>
        <w:t xml:space="preserve"> </w:t>
      </w:r>
      <w:r w:rsidR="001F034F">
        <w:rPr>
          <w:lang w:val="en-US"/>
        </w:rPr>
        <w:t>W</w:t>
      </w:r>
      <w:r w:rsidR="0051640E" w:rsidRPr="00E93635">
        <w:rPr>
          <w:lang w:val="en-US"/>
        </w:rPr>
        <w:t xml:space="preserve">e shall </w:t>
      </w:r>
      <w:r w:rsidR="00A17EF3" w:rsidRPr="00E93635">
        <w:rPr>
          <w:lang w:val="en-US"/>
        </w:rPr>
        <w:t xml:space="preserve">present three different </w:t>
      </w:r>
      <w:r w:rsidR="00413E7F" w:rsidRPr="00E93635">
        <w:rPr>
          <w:lang w:val="en-US"/>
        </w:rPr>
        <w:t>perspectives as to what might change textbook in the s</w:t>
      </w:r>
      <w:r w:rsidR="00A17EF3" w:rsidRPr="00E93635">
        <w:rPr>
          <w:lang w:val="en-US"/>
        </w:rPr>
        <w:t xml:space="preserve">horter and longer term: </w:t>
      </w:r>
      <w:r w:rsidR="00A17EF3" w:rsidRPr="00E93635">
        <w:rPr>
          <w:lang w:val="en-US"/>
        </w:rPr>
        <w:lastRenderedPageBreak/>
        <w:t>a change in the educational background</w:t>
      </w:r>
      <w:r w:rsidR="00413E7F" w:rsidRPr="00E93635">
        <w:rPr>
          <w:lang w:val="en-US"/>
        </w:rPr>
        <w:t xml:space="preserve"> of teachers, Kuhn’s theory of shifting paradigms and </w:t>
      </w:r>
      <w:r w:rsidR="00A17EF3" w:rsidRPr="00E93635">
        <w:rPr>
          <w:lang w:val="en-US"/>
        </w:rPr>
        <w:t xml:space="preserve">the </w:t>
      </w:r>
      <w:r w:rsidR="00413E7F" w:rsidRPr="00E93635">
        <w:rPr>
          <w:lang w:val="en-US"/>
        </w:rPr>
        <w:t>type of competition on the US textbook market.</w:t>
      </w:r>
      <w:r w:rsidR="00A17EF3" w:rsidRPr="00E93635">
        <w:rPr>
          <w:lang w:val="en-US"/>
        </w:rPr>
        <w:t xml:space="preserve"> </w:t>
      </w:r>
      <w:r w:rsidR="00E626E0">
        <w:rPr>
          <w:lang w:val="en-US"/>
        </w:rPr>
        <w:t xml:space="preserve">By applying these perspectives to the financial crisis different possible changes of textbooks are </w:t>
      </w:r>
      <w:r w:rsidR="00B8498C">
        <w:rPr>
          <w:lang w:val="en-US"/>
        </w:rPr>
        <w:t xml:space="preserve">to be </w:t>
      </w:r>
      <w:r w:rsidR="00E626E0">
        <w:rPr>
          <w:lang w:val="en-US"/>
        </w:rPr>
        <w:t>discussed.</w:t>
      </w:r>
    </w:p>
    <w:p w:rsidR="00C271BE" w:rsidRPr="00E93635" w:rsidRDefault="0097067B" w:rsidP="00C923BC">
      <w:pPr>
        <w:spacing w:line="360" w:lineRule="auto"/>
        <w:ind w:firstLine="1304"/>
        <w:rPr>
          <w:lang w:val="en-US"/>
        </w:rPr>
      </w:pPr>
      <w:r w:rsidRPr="00E93635">
        <w:rPr>
          <w:lang w:val="en-US"/>
        </w:rPr>
        <w:t>One of the rather few researchers</w:t>
      </w:r>
      <w:r w:rsidR="00713F2D">
        <w:rPr>
          <w:lang w:val="en-US"/>
        </w:rPr>
        <w:t>,</w:t>
      </w:r>
      <w:r w:rsidRPr="00E93635">
        <w:rPr>
          <w:lang w:val="en-US"/>
        </w:rPr>
        <w:t xml:space="preserve"> which take textbooks seriously </w:t>
      </w:r>
      <w:r w:rsidR="00E626E0">
        <w:rPr>
          <w:lang w:val="en-US"/>
        </w:rPr>
        <w:t xml:space="preserve">in his research </w:t>
      </w:r>
      <w:r w:rsidRPr="00E93635">
        <w:rPr>
          <w:lang w:val="en-US"/>
        </w:rPr>
        <w:t>is</w:t>
      </w:r>
      <w:r w:rsidR="00082ACA" w:rsidRPr="00E93635">
        <w:rPr>
          <w:lang w:val="en-US"/>
        </w:rPr>
        <w:t xml:space="preserve"> </w:t>
      </w:r>
      <w:r w:rsidRPr="00E93635">
        <w:rPr>
          <w:lang w:val="en-US"/>
        </w:rPr>
        <w:t xml:space="preserve">David </w:t>
      </w:r>
      <w:r w:rsidR="00245649" w:rsidRPr="00E93635">
        <w:rPr>
          <w:lang w:val="en-US"/>
        </w:rPr>
        <w:t>Colander</w:t>
      </w:r>
      <w:r w:rsidRPr="00E93635">
        <w:rPr>
          <w:lang w:val="en-US"/>
        </w:rPr>
        <w:t xml:space="preserve">. He claims, that fundamental changes of textbooks will take place </w:t>
      </w:r>
      <w:r w:rsidR="00713F2D">
        <w:rPr>
          <w:lang w:val="en-US"/>
        </w:rPr>
        <w:t xml:space="preserve">eventually </w:t>
      </w:r>
      <w:r w:rsidRPr="00E93635">
        <w:rPr>
          <w:lang w:val="en-US"/>
        </w:rPr>
        <w:t>when economists being educated in newer non-</w:t>
      </w:r>
      <w:r w:rsidR="00082ACA" w:rsidRPr="00E93635">
        <w:rPr>
          <w:lang w:val="en-US"/>
        </w:rPr>
        <w:t>neoclassical theory start writing</w:t>
      </w:r>
      <w:r w:rsidRPr="00E93635">
        <w:rPr>
          <w:lang w:val="en-US"/>
        </w:rPr>
        <w:t xml:space="preserve"> textbooks</w:t>
      </w:r>
      <w:r w:rsidR="00CE02A0" w:rsidRPr="00E93635">
        <w:rPr>
          <w:lang w:val="en-US"/>
        </w:rPr>
        <w:t xml:space="preserve"> (2005</w:t>
      </w:r>
      <w:r w:rsidR="00255BB5" w:rsidRPr="00E93635">
        <w:rPr>
          <w:lang w:val="en-US"/>
        </w:rPr>
        <w:t>, p. 255)</w:t>
      </w:r>
      <w:r w:rsidR="00C271BE" w:rsidRPr="00E93635">
        <w:rPr>
          <w:lang w:val="en-US"/>
        </w:rPr>
        <w:t xml:space="preserve">. </w:t>
      </w:r>
      <w:r w:rsidRPr="00E93635">
        <w:rPr>
          <w:lang w:val="en-US"/>
        </w:rPr>
        <w:t xml:space="preserve">As mentioned, Colander purports the view that most textbooks are neoclassical while research has developed in a more pluralistic direction. </w:t>
      </w:r>
      <w:r w:rsidR="00713F2D">
        <w:rPr>
          <w:lang w:val="en-US"/>
        </w:rPr>
        <w:t xml:space="preserve">It follows that </w:t>
      </w:r>
      <w:r w:rsidRPr="00E93635">
        <w:rPr>
          <w:lang w:val="en-US"/>
        </w:rPr>
        <w:t xml:space="preserve">the education </w:t>
      </w:r>
      <w:r w:rsidR="00713F2D">
        <w:rPr>
          <w:lang w:val="en-US"/>
        </w:rPr>
        <w:t>of future textbooks writers might</w:t>
      </w:r>
      <w:r w:rsidRPr="00E93635">
        <w:rPr>
          <w:lang w:val="en-US"/>
        </w:rPr>
        <w:t xml:space="preserve"> be far more important for </w:t>
      </w:r>
      <w:r w:rsidR="00713F2D">
        <w:rPr>
          <w:lang w:val="en-US"/>
        </w:rPr>
        <w:t xml:space="preserve">the future </w:t>
      </w:r>
      <w:r w:rsidRPr="00E93635">
        <w:rPr>
          <w:lang w:val="en-US"/>
        </w:rPr>
        <w:t xml:space="preserve">development of textbooks than the current fiscal crisis. Applying this perspective </w:t>
      </w:r>
      <w:r w:rsidR="00082ACA" w:rsidRPr="00E93635">
        <w:rPr>
          <w:lang w:val="en-US"/>
        </w:rPr>
        <w:t xml:space="preserve">there are reasons to believe that the financial crisis will leave textbooks fundamentally unchanged – </w:t>
      </w:r>
      <w:r w:rsidR="000B0606" w:rsidRPr="00E93635">
        <w:rPr>
          <w:lang w:val="en-US"/>
        </w:rPr>
        <w:t>at</w:t>
      </w:r>
      <w:r w:rsidR="00082ACA" w:rsidRPr="00E93635">
        <w:rPr>
          <w:lang w:val="en-US"/>
        </w:rPr>
        <w:t xml:space="preserve"> least in the short run</w:t>
      </w:r>
      <w:r w:rsidR="00C271BE" w:rsidRPr="00E93635">
        <w:rPr>
          <w:lang w:val="en-US"/>
        </w:rPr>
        <w:t>.</w:t>
      </w:r>
    </w:p>
    <w:p w:rsidR="00C271BE" w:rsidRPr="00E93635" w:rsidRDefault="00082ACA" w:rsidP="00C923BC">
      <w:pPr>
        <w:spacing w:line="360" w:lineRule="auto"/>
        <w:ind w:firstLine="1304"/>
        <w:rPr>
          <w:lang w:val="en-US"/>
        </w:rPr>
      </w:pPr>
      <w:r w:rsidRPr="00E93635">
        <w:rPr>
          <w:lang w:val="en-US"/>
        </w:rPr>
        <w:t xml:space="preserve">From a Kuhnian </w:t>
      </w:r>
      <w:r w:rsidR="00A43D67" w:rsidRPr="00E93635">
        <w:rPr>
          <w:lang w:val="en-US"/>
        </w:rPr>
        <w:t>(1974</w:t>
      </w:r>
      <w:r w:rsidR="00B42ECC" w:rsidRPr="00E93635">
        <w:rPr>
          <w:lang w:val="en-US"/>
        </w:rPr>
        <w:t>) perspe</w:t>
      </w:r>
      <w:r w:rsidRPr="00E93635">
        <w:rPr>
          <w:lang w:val="en-US"/>
        </w:rPr>
        <w:t xml:space="preserve">ctive, the question is rather whether the financial crisis constitutes a decisive </w:t>
      </w:r>
      <w:r w:rsidR="00A21B02" w:rsidRPr="00E93635">
        <w:rPr>
          <w:lang w:val="en-US"/>
        </w:rPr>
        <w:t>anomaly</w:t>
      </w:r>
      <w:r w:rsidRPr="00E93635">
        <w:rPr>
          <w:lang w:val="en-US"/>
        </w:rPr>
        <w:t xml:space="preserve"> </w:t>
      </w:r>
      <w:r w:rsidR="009766A0" w:rsidRPr="00E93635">
        <w:rPr>
          <w:lang w:val="en-US"/>
        </w:rPr>
        <w:t xml:space="preserve">eroding the dominant position of neoclassical theory in textbooks. If so one would expect theories being better suited to explain the financial crisis (Keynesian theory, </w:t>
      </w:r>
      <w:r w:rsidR="00A21B02" w:rsidRPr="00E93635">
        <w:rPr>
          <w:lang w:val="en-US"/>
        </w:rPr>
        <w:t>behavioral</w:t>
      </w:r>
      <w:r w:rsidR="009766A0" w:rsidRPr="00E93635">
        <w:rPr>
          <w:lang w:val="en-US"/>
        </w:rPr>
        <w:t xml:space="preserve"> theory, experimental theory, psychological economics, institutional economics etc.</w:t>
      </w:r>
      <w:r w:rsidR="00232AE4" w:rsidRPr="00E93635">
        <w:rPr>
          <w:lang w:val="en-US"/>
        </w:rPr>
        <w:t>)</w:t>
      </w:r>
      <w:r w:rsidR="009766A0" w:rsidRPr="00E93635">
        <w:rPr>
          <w:lang w:val="en-US"/>
        </w:rPr>
        <w:t xml:space="preserve"> to gradually replace neoclassical theory</w:t>
      </w:r>
      <w:r w:rsidR="00C271BE" w:rsidRPr="00E93635">
        <w:rPr>
          <w:lang w:val="en-US"/>
        </w:rPr>
        <w:t xml:space="preserve">. </w:t>
      </w:r>
      <w:r w:rsidR="009766A0" w:rsidRPr="00E93635">
        <w:rPr>
          <w:lang w:val="en-US"/>
        </w:rPr>
        <w:t xml:space="preserve">At first </w:t>
      </w:r>
      <w:r w:rsidR="00A91D0A" w:rsidRPr="00E93635">
        <w:rPr>
          <w:lang w:val="en-US"/>
        </w:rPr>
        <w:t>textbook writers relying on</w:t>
      </w:r>
      <w:r w:rsidR="009766A0" w:rsidRPr="00E93635">
        <w:rPr>
          <w:lang w:val="en-US"/>
        </w:rPr>
        <w:t xml:space="preserve"> neoclassical theory </w:t>
      </w:r>
      <w:r w:rsidR="00A91D0A" w:rsidRPr="00E93635">
        <w:rPr>
          <w:lang w:val="en-US"/>
        </w:rPr>
        <w:t xml:space="preserve">would be expected to ignore the </w:t>
      </w:r>
      <w:r w:rsidR="00713F2D">
        <w:rPr>
          <w:lang w:val="en-US"/>
        </w:rPr>
        <w:t xml:space="preserve">theoretical </w:t>
      </w:r>
      <w:r w:rsidR="00A91D0A" w:rsidRPr="00E93635">
        <w:rPr>
          <w:lang w:val="en-US"/>
        </w:rPr>
        <w:t>challenge</w:t>
      </w:r>
      <w:r w:rsidR="009766A0" w:rsidRPr="00E93635">
        <w:rPr>
          <w:lang w:val="en-US"/>
        </w:rPr>
        <w:t xml:space="preserve"> </w:t>
      </w:r>
      <w:r w:rsidR="00713F2D">
        <w:rPr>
          <w:lang w:val="en-US"/>
        </w:rPr>
        <w:t xml:space="preserve">posed by the financial crisis </w:t>
      </w:r>
      <w:r w:rsidR="009766A0" w:rsidRPr="00E93635">
        <w:rPr>
          <w:lang w:val="en-US"/>
        </w:rPr>
        <w:t xml:space="preserve">but step by step they will be forced </w:t>
      </w:r>
      <w:r w:rsidR="00A91D0A" w:rsidRPr="00E93635">
        <w:rPr>
          <w:lang w:val="en-US"/>
        </w:rPr>
        <w:t>to incorporate other</w:t>
      </w:r>
      <w:r w:rsidR="009766A0" w:rsidRPr="00E93635">
        <w:rPr>
          <w:lang w:val="en-US"/>
        </w:rPr>
        <w:t xml:space="preserve"> theories but without a change of the dominant paradigm. </w:t>
      </w:r>
      <w:r w:rsidR="005F0F11">
        <w:rPr>
          <w:lang w:val="en-US"/>
        </w:rPr>
        <w:t>A</w:t>
      </w:r>
      <w:r w:rsidR="009766A0" w:rsidRPr="00E93635">
        <w:rPr>
          <w:lang w:val="en-US"/>
        </w:rPr>
        <w:t>t some point of time this strategy will become untenable as the dominant theory will become too useless in explaining what’s going on. This will lead adherent</w:t>
      </w:r>
      <w:r w:rsidR="00664E09">
        <w:rPr>
          <w:lang w:val="en-US"/>
        </w:rPr>
        <w:t>s</w:t>
      </w:r>
      <w:r w:rsidR="009766A0" w:rsidRPr="00E93635">
        <w:rPr>
          <w:lang w:val="en-US"/>
        </w:rPr>
        <w:t xml:space="preserve"> </w:t>
      </w:r>
      <w:r w:rsidR="00A91D0A" w:rsidRPr="00E93635">
        <w:rPr>
          <w:lang w:val="en-US"/>
        </w:rPr>
        <w:t xml:space="preserve">of neoclassical theory </w:t>
      </w:r>
      <w:r w:rsidR="009766A0" w:rsidRPr="00E93635">
        <w:rPr>
          <w:lang w:val="en-US"/>
        </w:rPr>
        <w:t xml:space="preserve">to </w:t>
      </w:r>
      <w:r w:rsidR="00A91D0A" w:rsidRPr="00E93635">
        <w:rPr>
          <w:lang w:val="en-US"/>
        </w:rPr>
        <w:t xml:space="preserve">finally </w:t>
      </w:r>
      <w:r w:rsidR="009766A0" w:rsidRPr="00E93635">
        <w:rPr>
          <w:lang w:val="en-US"/>
        </w:rPr>
        <w:t xml:space="preserve">discard </w:t>
      </w:r>
      <w:r w:rsidR="00713F2D">
        <w:rPr>
          <w:lang w:val="en-US"/>
        </w:rPr>
        <w:t>it as the</w:t>
      </w:r>
      <w:r w:rsidR="00A91D0A" w:rsidRPr="00E93635">
        <w:rPr>
          <w:lang w:val="en-US"/>
        </w:rPr>
        <w:t xml:space="preserve"> dominant theory</w:t>
      </w:r>
      <w:r w:rsidR="009766A0" w:rsidRPr="00E93635">
        <w:rPr>
          <w:lang w:val="en-US"/>
        </w:rPr>
        <w:t>. Taking into account that so far we have only had four year to digest the American subprime crisis and less than three years to cope with the global financial crisis</w:t>
      </w:r>
      <w:r w:rsidR="00C271BE" w:rsidRPr="00E93635">
        <w:rPr>
          <w:lang w:val="en-US"/>
        </w:rPr>
        <w:t xml:space="preserve">, </w:t>
      </w:r>
      <w:r w:rsidR="009766A0" w:rsidRPr="00E93635">
        <w:rPr>
          <w:lang w:val="en-US"/>
        </w:rPr>
        <w:t xml:space="preserve">it is still too early to expect paradigmatic changes, </w:t>
      </w:r>
      <w:r w:rsidR="00713F2D">
        <w:rPr>
          <w:lang w:val="en-US"/>
        </w:rPr>
        <w:t>but there</w:t>
      </w:r>
      <w:r w:rsidR="00B910D0" w:rsidRPr="00E93635">
        <w:rPr>
          <w:lang w:val="en-US"/>
        </w:rPr>
        <w:t xml:space="preserve"> might be some indications or least attempts to deal with the financial crisis within the existing paradigm with some minor theoretical amendments.</w:t>
      </w:r>
    </w:p>
    <w:p w:rsidR="00B910D0" w:rsidRPr="00E93635" w:rsidRDefault="00A91D0A" w:rsidP="00C923BC">
      <w:pPr>
        <w:spacing w:line="360" w:lineRule="auto"/>
        <w:ind w:firstLine="1304"/>
        <w:rPr>
          <w:lang w:val="en-US"/>
        </w:rPr>
      </w:pPr>
      <w:r w:rsidRPr="00E93635">
        <w:rPr>
          <w:lang w:val="en-US"/>
        </w:rPr>
        <w:t>The</w:t>
      </w:r>
      <w:r w:rsidR="00B910D0" w:rsidRPr="00E93635">
        <w:rPr>
          <w:lang w:val="en-US"/>
        </w:rPr>
        <w:t xml:space="preserve"> third possible perspective </w:t>
      </w:r>
      <w:r w:rsidRPr="00E93635">
        <w:rPr>
          <w:lang w:val="en-US"/>
        </w:rPr>
        <w:t>involves</w:t>
      </w:r>
      <w:r w:rsidR="00B910D0" w:rsidRPr="00E93635">
        <w:rPr>
          <w:lang w:val="en-US"/>
        </w:rPr>
        <w:t xml:space="preserve"> an analysis of American basic introductions as a commodity sold and bought on a market, which according to Stiglitz</w:t>
      </w:r>
      <w:r w:rsidR="00C271BE" w:rsidRPr="00E93635">
        <w:rPr>
          <w:lang w:val="en-US"/>
        </w:rPr>
        <w:t xml:space="preserve"> (1988) </w:t>
      </w:r>
      <w:r w:rsidR="00B910D0" w:rsidRPr="00E93635">
        <w:rPr>
          <w:lang w:val="en-US"/>
        </w:rPr>
        <w:t>is</w:t>
      </w:r>
      <w:r w:rsidR="00255BB5" w:rsidRPr="00E93635">
        <w:rPr>
          <w:lang w:val="en-US"/>
        </w:rPr>
        <w:t xml:space="preserve"> </w:t>
      </w:r>
      <w:r w:rsidRPr="00E93635">
        <w:rPr>
          <w:lang w:val="en-US"/>
        </w:rPr>
        <w:t xml:space="preserve">working like a </w:t>
      </w:r>
      <w:r w:rsidR="00B910D0" w:rsidRPr="00E93635">
        <w:rPr>
          <w:lang w:val="en-US"/>
        </w:rPr>
        <w:t>monopolistic</w:t>
      </w:r>
      <w:r w:rsidRPr="00E93635">
        <w:rPr>
          <w:lang w:val="en-US"/>
        </w:rPr>
        <w:t xml:space="preserve"> market</w:t>
      </w:r>
      <w:r w:rsidR="00B910D0" w:rsidRPr="00E93635">
        <w:rPr>
          <w:lang w:val="en-US"/>
        </w:rPr>
        <w:t xml:space="preserve">. In </w:t>
      </w:r>
      <w:r w:rsidRPr="00E93635">
        <w:rPr>
          <w:lang w:val="en-US"/>
        </w:rPr>
        <w:t>such a market</w:t>
      </w:r>
      <w:r w:rsidR="00B910D0" w:rsidRPr="00E93635">
        <w:rPr>
          <w:lang w:val="en-US"/>
        </w:rPr>
        <w:t xml:space="preserve"> all producers </w:t>
      </w:r>
      <w:r w:rsidR="00713F2D">
        <w:rPr>
          <w:lang w:val="en-US"/>
        </w:rPr>
        <w:t xml:space="preserve">are supposed to </w:t>
      </w:r>
      <w:r w:rsidR="00B910D0" w:rsidRPr="00E93635">
        <w:rPr>
          <w:lang w:val="en-US"/>
        </w:rPr>
        <w:t xml:space="preserve">attempt to differentiate their products </w:t>
      </w:r>
      <w:r w:rsidR="005F0F11">
        <w:rPr>
          <w:lang w:val="en-US"/>
        </w:rPr>
        <w:t xml:space="preserve">as </w:t>
      </w:r>
      <w:r w:rsidR="00B910D0" w:rsidRPr="00E93635">
        <w:rPr>
          <w:lang w:val="en-US"/>
        </w:rPr>
        <w:t>compared to competitors</w:t>
      </w:r>
      <w:r w:rsidR="00C271BE" w:rsidRPr="00E93635">
        <w:rPr>
          <w:rStyle w:val="FootnoteReference"/>
        </w:rPr>
        <w:footnoteReference w:id="12"/>
      </w:r>
      <w:r w:rsidR="00C271BE" w:rsidRPr="00E93635">
        <w:rPr>
          <w:lang w:val="en-US"/>
        </w:rPr>
        <w:t xml:space="preserve"> </w:t>
      </w:r>
      <w:r w:rsidR="00B910D0" w:rsidRPr="00E93635">
        <w:rPr>
          <w:lang w:val="en-US"/>
        </w:rPr>
        <w:t xml:space="preserve">in order to obtain </w:t>
      </w:r>
      <w:r w:rsidR="00713F2D">
        <w:rPr>
          <w:lang w:val="en-US"/>
        </w:rPr>
        <w:t>a monopoly-</w:t>
      </w:r>
      <w:r w:rsidR="00B910D0" w:rsidRPr="00E93635">
        <w:rPr>
          <w:lang w:val="en-US"/>
        </w:rPr>
        <w:t xml:space="preserve">like position – at least </w:t>
      </w:r>
      <w:r w:rsidR="00713F2D">
        <w:rPr>
          <w:lang w:val="en-US"/>
        </w:rPr>
        <w:t>temporarily</w:t>
      </w:r>
      <w:r w:rsidR="00C271BE" w:rsidRPr="00E93635">
        <w:rPr>
          <w:lang w:val="en-US"/>
        </w:rPr>
        <w:t xml:space="preserve">. </w:t>
      </w:r>
      <w:r w:rsidR="00B910D0" w:rsidRPr="00E93635">
        <w:rPr>
          <w:lang w:val="en-US"/>
        </w:rPr>
        <w:t>In order to avoid fall</w:t>
      </w:r>
      <w:r w:rsidR="00360757">
        <w:rPr>
          <w:lang w:val="en-US"/>
        </w:rPr>
        <w:t>ing behind the other competitor</w:t>
      </w:r>
      <w:r w:rsidR="00B910D0" w:rsidRPr="00E93635">
        <w:rPr>
          <w:lang w:val="en-US"/>
        </w:rPr>
        <w:t xml:space="preserve"> one might a</w:t>
      </w:r>
      <w:r w:rsidR="00A21B02" w:rsidRPr="00E93635">
        <w:rPr>
          <w:lang w:val="en-US"/>
        </w:rPr>
        <w:t>t</w:t>
      </w:r>
      <w:r w:rsidR="00B910D0" w:rsidRPr="00E93635">
        <w:rPr>
          <w:lang w:val="en-US"/>
        </w:rPr>
        <w:t xml:space="preserve"> the same time </w:t>
      </w:r>
      <w:r w:rsidR="00B910D0" w:rsidRPr="00E93635">
        <w:rPr>
          <w:lang w:val="en-US"/>
        </w:rPr>
        <w:lastRenderedPageBreak/>
        <w:t xml:space="preserve">observe </w:t>
      </w:r>
      <w:r w:rsidR="00A21B02" w:rsidRPr="00E93635">
        <w:rPr>
          <w:lang w:val="en-US"/>
        </w:rPr>
        <w:t>numerous instances of imi</w:t>
      </w:r>
      <w:r w:rsidR="00664E09">
        <w:rPr>
          <w:lang w:val="en-US"/>
        </w:rPr>
        <w:t>tation, which help explaining</w:t>
      </w:r>
      <w:r w:rsidR="00B910D0" w:rsidRPr="00E93635">
        <w:rPr>
          <w:lang w:val="en-US"/>
        </w:rPr>
        <w:t xml:space="preserve"> the surprising s</w:t>
      </w:r>
      <w:r w:rsidR="00713F2D">
        <w:rPr>
          <w:lang w:val="en-US"/>
        </w:rPr>
        <w:t>imilarity</w:t>
      </w:r>
      <w:r w:rsidR="00B910D0" w:rsidRPr="00E93635">
        <w:rPr>
          <w:lang w:val="en-US"/>
        </w:rPr>
        <w:t xml:space="preserve"> of textbooks</w:t>
      </w:r>
      <w:r w:rsidR="00C271BE" w:rsidRPr="00E93635">
        <w:rPr>
          <w:lang w:val="en-US"/>
        </w:rPr>
        <w:t xml:space="preserve">. </w:t>
      </w:r>
      <w:r w:rsidR="00B910D0" w:rsidRPr="00E93635">
        <w:rPr>
          <w:lang w:val="en-US"/>
        </w:rPr>
        <w:t xml:space="preserve">They all look </w:t>
      </w:r>
      <w:r w:rsidR="00360757" w:rsidRPr="00E93635">
        <w:rPr>
          <w:lang w:val="en-US"/>
        </w:rPr>
        <w:t>alike</w:t>
      </w:r>
      <w:r w:rsidR="00B910D0" w:rsidRPr="00E93635">
        <w:rPr>
          <w:lang w:val="en-US"/>
        </w:rPr>
        <w:t xml:space="preserve"> – with very few exceptions. In </w:t>
      </w:r>
      <w:r w:rsidR="00362E8B">
        <w:rPr>
          <w:lang w:val="en-US"/>
        </w:rPr>
        <w:t>order to leave</w:t>
      </w:r>
      <w:r w:rsidR="00B910D0" w:rsidRPr="00E93635">
        <w:rPr>
          <w:lang w:val="en-US"/>
        </w:rPr>
        <w:t xml:space="preserve"> other competit</w:t>
      </w:r>
      <w:r w:rsidR="00664E09">
        <w:rPr>
          <w:lang w:val="en-US"/>
        </w:rPr>
        <w:t>ors</w:t>
      </w:r>
      <w:r w:rsidR="00B910D0" w:rsidRPr="00E93635">
        <w:rPr>
          <w:lang w:val="en-US"/>
        </w:rPr>
        <w:t xml:space="preserve"> </w:t>
      </w:r>
      <w:r w:rsidR="00362E8B">
        <w:rPr>
          <w:lang w:val="en-US"/>
        </w:rPr>
        <w:t xml:space="preserve">behind </w:t>
      </w:r>
      <w:r w:rsidRPr="00E93635">
        <w:rPr>
          <w:lang w:val="en-US"/>
        </w:rPr>
        <w:t>all textbook writers</w:t>
      </w:r>
      <w:r w:rsidR="00B910D0" w:rsidRPr="00E93635">
        <w:rPr>
          <w:lang w:val="en-US"/>
        </w:rPr>
        <w:t xml:space="preserve"> chase the latest ideas which ‘all’</w:t>
      </w:r>
      <w:r w:rsidR="00360757">
        <w:rPr>
          <w:lang w:val="en-US"/>
        </w:rPr>
        <w:t xml:space="preserve"> textbooks eventually </w:t>
      </w:r>
      <w:r w:rsidR="00B910D0" w:rsidRPr="00E93635">
        <w:rPr>
          <w:lang w:val="en-US"/>
        </w:rPr>
        <w:t xml:space="preserve">incorporate and later it might just as quickly be </w:t>
      </w:r>
      <w:r w:rsidR="009A16D3">
        <w:rPr>
          <w:lang w:val="en-US"/>
        </w:rPr>
        <w:t>omitted</w:t>
      </w:r>
      <w:r w:rsidR="00B910D0" w:rsidRPr="00E93635">
        <w:rPr>
          <w:lang w:val="en-US"/>
        </w:rPr>
        <w:t xml:space="preserve"> in newer editions. The elusive character of textbooks might also be </w:t>
      </w:r>
      <w:r w:rsidR="009A16D3">
        <w:rPr>
          <w:lang w:val="en-US"/>
        </w:rPr>
        <w:t xml:space="preserve">considered as a </w:t>
      </w:r>
      <w:r w:rsidR="00A21B02" w:rsidRPr="00E93635">
        <w:rPr>
          <w:lang w:val="en-US"/>
        </w:rPr>
        <w:t>strength</w:t>
      </w:r>
      <w:r w:rsidR="00B910D0" w:rsidRPr="00E93635">
        <w:rPr>
          <w:lang w:val="en-US"/>
        </w:rPr>
        <w:t xml:space="preserve"> as</w:t>
      </w:r>
      <w:r w:rsidR="00A21B02" w:rsidRPr="00E93635">
        <w:rPr>
          <w:lang w:val="en-US"/>
        </w:rPr>
        <w:t>:”</w:t>
      </w:r>
      <w:r w:rsidR="00C271BE" w:rsidRPr="00E93635">
        <w:rPr>
          <w:lang w:val="en-US"/>
        </w:rPr>
        <w:t>it is important that textbooks speak to the current concerns of the student</w:t>
      </w:r>
      <w:r w:rsidR="0088151D" w:rsidRPr="00E93635">
        <w:rPr>
          <w:lang w:val="en-US"/>
        </w:rPr>
        <w:t>s</w:t>
      </w:r>
      <w:r w:rsidR="00C271BE" w:rsidRPr="00E93635">
        <w:rPr>
          <w:lang w:val="en-US"/>
        </w:rPr>
        <w:t xml:space="preserve">” (Stiglitz, 1988, p. 173). </w:t>
      </w:r>
      <w:r w:rsidR="00B910D0" w:rsidRPr="00E93635">
        <w:rPr>
          <w:lang w:val="en-US"/>
        </w:rPr>
        <w:t>It might be added that in the</w:t>
      </w:r>
      <w:r w:rsidR="00360757">
        <w:rPr>
          <w:lang w:val="en-US"/>
        </w:rPr>
        <w:t xml:space="preserve"> present</w:t>
      </w:r>
      <w:r w:rsidR="00B910D0" w:rsidRPr="00E93635">
        <w:rPr>
          <w:lang w:val="en-US"/>
        </w:rPr>
        <w:t xml:space="preserve"> situation there are reasons to expect that publishers strongly urge – directly or indirectly – </w:t>
      </w:r>
      <w:r w:rsidR="00A21B02" w:rsidRPr="00E93635">
        <w:rPr>
          <w:lang w:val="en-US"/>
        </w:rPr>
        <w:t>textbook writers</w:t>
      </w:r>
      <w:r w:rsidR="00B910D0" w:rsidRPr="00E93635">
        <w:rPr>
          <w:lang w:val="en-US"/>
        </w:rPr>
        <w:t xml:space="preserve"> to a least include something on the financial crisis. It is – so to speak – hanging in the air. These current adaptations</w:t>
      </w:r>
      <w:r w:rsidR="009A16D3">
        <w:rPr>
          <w:lang w:val="en-US"/>
        </w:rPr>
        <w:t xml:space="preserve"> should, however</w:t>
      </w:r>
      <w:r w:rsidR="00C271BE" w:rsidRPr="00E93635">
        <w:rPr>
          <w:lang w:val="en-US"/>
        </w:rPr>
        <w:t xml:space="preserve"> ‘</w:t>
      </w:r>
      <w:r w:rsidR="00C271BE" w:rsidRPr="00E93635">
        <w:rPr>
          <w:i/>
          <w:lang w:val="en-US"/>
        </w:rPr>
        <w:t>not</w:t>
      </w:r>
      <w:r w:rsidR="00C271BE" w:rsidRPr="00E93635">
        <w:rPr>
          <w:lang w:val="en-US"/>
        </w:rPr>
        <w:t xml:space="preserve"> be confused with a fundamental change in the contents…” </w:t>
      </w:r>
      <w:r w:rsidR="00232AE4" w:rsidRPr="00E93635">
        <w:rPr>
          <w:lang w:val="en-US"/>
        </w:rPr>
        <w:t xml:space="preserve">(Stiglitz, 1988, p. 173). </w:t>
      </w:r>
      <w:r w:rsidR="00B910D0" w:rsidRPr="00E93635">
        <w:rPr>
          <w:lang w:val="en-US"/>
        </w:rPr>
        <w:t xml:space="preserve">In other words one should </w:t>
      </w:r>
      <w:r w:rsidRPr="00E93635">
        <w:rPr>
          <w:lang w:val="en-US"/>
        </w:rPr>
        <w:t xml:space="preserve">not </w:t>
      </w:r>
      <w:r w:rsidR="00B910D0" w:rsidRPr="00E93635">
        <w:rPr>
          <w:lang w:val="en-US"/>
        </w:rPr>
        <w:t>expect this competitive process to lead to paradigmatic changes of textbooks – even in the longer run.</w:t>
      </w:r>
    </w:p>
    <w:p w:rsidR="00C923BC" w:rsidRPr="00E93635" w:rsidRDefault="00B910D0" w:rsidP="00C923BC">
      <w:pPr>
        <w:spacing w:line="360" w:lineRule="auto"/>
        <w:ind w:firstLine="1304"/>
        <w:rPr>
          <w:lang w:val="en-US"/>
        </w:rPr>
      </w:pPr>
      <w:r w:rsidRPr="00E93635">
        <w:rPr>
          <w:lang w:val="en-US"/>
        </w:rPr>
        <w:t>The textbooks market has</w:t>
      </w:r>
      <w:r w:rsidR="00360757">
        <w:rPr>
          <w:lang w:val="en-US"/>
        </w:rPr>
        <w:t>, however,</w:t>
      </w:r>
      <w:r w:rsidRPr="00E93635">
        <w:rPr>
          <w:lang w:val="en-US"/>
        </w:rPr>
        <w:t xml:space="preserve"> changed since 1988. Today two players account for around 40 % of the market for basic introductions</w:t>
      </w:r>
      <w:r w:rsidR="00C271BE" w:rsidRPr="00E93635">
        <w:rPr>
          <w:rStyle w:val="FootnoteReference"/>
        </w:rPr>
        <w:footnoteReference w:id="13"/>
      </w:r>
      <w:r w:rsidR="00C271BE" w:rsidRPr="00E93635">
        <w:rPr>
          <w:lang w:val="en-US"/>
        </w:rPr>
        <w:t xml:space="preserve"> </w:t>
      </w:r>
      <w:r w:rsidR="000F265E" w:rsidRPr="00E93635">
        <w:rPr>
          <w:lang w:val="en-US"/>
        </w:rPr>
        <w:t xml:space="preserve">and hence being close to a duopolistic market, which economists expect to behave similarly to an oligopolistic market. On such a market the dominance of few players is more outspoken and permanent. Furthermore, the barriers of entry are higher compared to a monopolistic market. The market form is strategic and producers try to brand their products like monopolistic firms. The market will be marked by inertia – partly explained by the barriers of entry </w:t>
      </w:r>
      <w:r w:rsidR="00362E8B">
        <w:rPr>
          <w:lang w:val="en-US"/>
        </w:rPr>
        <w:t>and partly</w:t>
      </w:r>
      <w:r w:rsidR="000F265E" w:rsidRPr="00E93635">
        <w:rPr>
          <w:lang w:val="en-US"/>
        </w:rPr>
        <w:t xml:space="preserve"> because teachers rather than students are </w:t>
      </w:r>
      <w:r w:rsidR="00A21B02" w:rsidRPr="00E93635">
        <w:rPr>
          <w:lang w:val="en-US"/>
        </w:rPr>
        <w:t>choosing</w:t>
      </w:r>
      <w:r w:rsidR="000F265E" w:rsidRPr="00E93635">
        <w:rPr>
          <w:lang w:val="en-US"/>
        </w:rPr>
        <w:t xml:space="preserve"> most textbooks</w:t>
      </w:r>
      <w:r w:rsidR="00C271BE" w:rsidRPr="00E93635">
        <w:rPr>
          <w:lang w:val="en-US"/>
        </w:rPr>
        <w:t>.</w:t>
      </w:r>
    </w:p>
    <w:p w:rsidR="00664E09" w:rsidRDefault="00362E8B" w:rsidP="00C923BC">
      <w:pPr>
        <w:spacing w:line="360" w:lineRule="auto"/>
        <w:ind w:firstLine="1304"/>
        <w:rPr>
          <w:lang w:val="en-US"/>
        </w:rPr>
      </w:pPr>
      <w:r>
        <w:rPr>
          <w:lang w:val="en-US"/>
        </w:rPr>
        <w:t>Regrettably, t</w:t>
      </w:r>
      <w:r w:rsidR="00FE54F4" w:rsidRPr="00E93635">
        <w:rPr>
          <w:lang w:val="en-US"/>
        </w:rPr>
        <w:t xml:space="preserve">he two </w:t>
      </w:r>
      <w:r w:rsidR="00A21B02" w:rsidRPr="00E93635">
        <w:rPr>
          <w:lang w:val="en-US"/>
        </w:rPr>
        <w:t>duopolies</w:t>
      </w:r>
      <w:r w:rsidR="00FE54F4" w:rsidRPr="00E93635">
        <w:rPr>
          <w:lang w:val="en-US"/>
        </w:rPr>
        <w:t xml:space="preserve"> did </w:t>
      </w:r>
      <w:r w:rsidR="00A91D0A" w:rsidRPr="00E93635">
        <w:rPr>
          <w:lang w:val="en-US"/>
        </w:rPr>
        <w:t xml:space="preserve">not </w:t>
      </w:r>
      <w:r w:rsidR="00FE54F4" w:rsidRPr="00E93635">
        <w:rPr>
          <w:lang w:val="en-US"/>
        </w:rPr>
        <w:t>publish a revised version in 2010. Hence, there are good reasons to believe that the many competitor</w:t>
      </w:r>
      <w:r w:rsidR="0023656B" w:rsidRPr="00E93635">
        <w:rPr>
          <w:lang w:val="en-US"/>
        </w:rPr>
        <w:t>s</w:t>
      </w:r>
      <w:r w:rsidR="00FE54F4" w:rsidRPr="00E93635">
        <w:rPr>
          <w:lang w:val="en-US"/>
        </w:rPr>
        <w:t xml:space="preserve"> will exploit the financial crisis to differentiate themselves in relation to the two. </w:t>
      </w:r>
      <w:r w:rsidR="00A91D0A" w:rsidRPr="00E93635">
        <w:rPr>
          <w:lang w:val="en-US"/>
        </w:rPr>
        <w:t>Summing up</w:t>
      </w:r>
      <w:r w:rsidR="00664E09">
        <w:rPr>
          <w:lang w:val="en-US"/>
        </w:rPr>
        <w:t xml:space="preserve"> on </w:t>
      </w:r>
      <w:r>
        <w:rPr>
          <w:lang w:val="en-US"/>
        </w:rPr>
        <w:t>possible prediction on</w:t>
      </w:r>
      <w:r w:rsidR="00664E09">
        <w:rPr>
          <w:lang w:val="en-US"/>
        </w:rPr>
        <w:t xml:space="preserve"> the c</w:t>
      </w:r>
      <w:r>
        <w:rPr>
          <w:lang w:val="en-US"/>
        </w:rPr>
        <w:t>ontent of textbooks</w:t>
      </w:r>
      <w:r w:rsidR="00A91D0A" w:rsidRPr="00E93635">
        <w:rPr>
          <w:lang w:val="en-US"/>
        </w:rPr>
        <w:t>, one might expect that 2010</w:t>
      </w:r>
      <w:r w:rsidR="00FE54F4" w:rsidRPr="00E93635">
        <w:rPr>
          <w:lang w:val="en-US"/>
        </w:rPr>
        <w:t xml:space="preserve"> textbooks will deal rather intensively with the financial crisis – at least apparently and without compromising the paradigmatic core. Actual paradigmatic changes might only occur in the longer run when changes in the education </w:t>
      </w:r>
      <w:r>
        <w:rPr>
          <w:lang w:val="en-US"/>
        </w:rPr>
        <w:t>have</w:t>
      </w:r>
      <w:r w:rsidR="00FE54F4" w:rsidRPr="00E93635">
        <w:rPr>
          <w:lang w:val="en-US"/>
        </w:rPr>
        <w:t xml:space="preserve"> change</w:t>
      </w:r>
      <w:r>
        <w:rPr>
          <w:lang w:val="en-US"/>
        </w:rPr>
        <w:t>d</w:t>
      </w:r>
      <w:r w:rsidR="00FE54F4" w:rsidRPr="00E93635">
        <w:rPr>
          <w:lang w:val="en-US"/>
        </w:rPr>
        <w:t xml:space="preserve"> in </w:t>
      </w:r>
      <w:r w:rsidR="00A91D0A" w:rsidRPr="00E93635">
        <w:rPr>
          <w:lang w:val="en-US"/>
        </w:rPr>
        <w:t xml:space="preserve">the </w:t>
      </w:r>
      <w:r>
        <w:rPr>
          <w:lang w:val="en-US"/>
        </w:rPr>
        <w:t>mindset of textbook writers</w:t>
      </w:r>
      <w:r w:rsidR="00FE54F4" w:rsidRPr="00E93635">
        <w:rPr>
          <w:lang w:val="en-US"/>
        </w:rPr>
        <w:t>.</w:t>
      </w:r>
      <w:r w:rsidR="00C271BE" w:rsidRPr="00E93635">
        <w:rPr>
          <w:lang w:val="en-US"/>
        </w:rPr>
        <w:t xml:space="preserve"> </w:t>
      </w:r>
    </w:p>
    <w:p w:rsidR="00C271BE" w:rsidRPr="00E93635" w:rsidRDefault="00FE54F4" w:rsidP="00C923BC">
      <w:pPr>
        <w:spacing w:line="360" w:lineRule="auto"/>
        <w:ind w:firstLine="1304"/>
        <w:rPr>
          <w:lang w:val="en-US"/>
        </w:rPr>
      </w:pPr>
      <w:r w:rsidRPr="00E93635">
        <w:rPr>
          <w:lang w:val="en-US"/>
        </w:rPr>
        <w:t xml:space="preserve">It will of course differ from book to book how much time and effort </w:t>
      </w:r>
      <w:r w:rsidR="00360757">
        <w:rPr>
          <w:lang w:val="en-US"/>
        </w:rPr>
        <w:t>there is</w:t>
      </w:r>
      <w:r w:rsidRPr="00E93635">
        <w:rPr>
          <w:lang w:val="en-US"/>
        </w:rPr>
        <w:t xml:space="preserve"> devoted to the financial crisis given the short </w:t>
      </w:r>
      <w:r w:rsidR="00A21B02" w:rsidRPr="00E93635">
        <w:rPr>
          <w:lang w:val="en-US"/>
        </w:rPr>
        <w:t>time span</w:t>
      </w:r>
      <w:r w:rsidRPr="00E93635">
        <w:rPr>
          <w:lang w:val="en-US"/>
        </w:rPr>
        <w:t>. That is why the analysis is based on editions from 2010</w:t>
      </w:r>
      <w:r w:rsidR="00360757">
        <w:rPr>
          <w:lang w:val="en-US"/>
        </w:rPr>
        <w:t xml:space="preserve"> which gives the authors 1-2 years to digest the effects of the financial crisis</w:t>
      </w:r>
      <w:r w:rsidRPr="00E93635">
        <w:rPr>
          <w:lang w:val="en-US"/>
        </w:rPr>
        <w:t xml:space="preserve">. </w:t>
      </w:r>
      <w:r w:rsidR="00360757">
        <w:rPr>
          <w:lang w:val="en-US"/>
        </w:rPr>
        <w:t>Still, o</w:t>
      </w:r>
      <w:r w:rsidRPr="00E93635">
        <w:rPr>
          <w:lang w:val="en-US"/>
        </w:rPr>
        <w:t xml:space="preserve">ne has to take into account that it takes time to produce a new edition and the year of publishing might </w:t>
      </w:r>
      <w:r w:rsidRPr="00E93635">
        <w:rPr>
          <w:lang w:val="en-US"/>
        </w:rPr>
        <w:lastRenderedPageBreak/>
        <w:t>indicate an unsubstantiated newness</w:t>
      </w:r>
      <w:r w:rsidR="00237C45" w:rsidRPr="00E93635">
        <w:rPr>
          <w:lang w:val="en-US"/>
        </w:rPr>
        <w:t xml:space="preserve"> (</w:t>
      </w:r>
      <w:r w:rsidRPr="00E93635">
        <w:rPr>
          <w:lang w:val="en-US"/>
        </w:rPr>
        <w:t xml:space="preserve">e.g. </w:t>
      </w:r>
      <w:r w:rsidR="00237C45" w:rsidRPr="00E93635">
        <w:rPr>
          <w:lang w:val="en-US"/>
        </w:rPr>
        <w:t xml:space="preserve">Colander, </w:t>
      </w:r>
      <w:r w:rsidR="00AF49EF" w:rsidRPr="00E93635">
        <w:rPr>
          <w:lang w:val="en-US"/>
        </w:rPr>
        <w:t>2010</w:t>
      </w:r>
      <w:r w:rsidR="00237C45" w:rsidRPr="00E93635">
        <w:rPr>
          <w:lang w:val="en-US"/>
        </w:rPr>
        <w:t xml:space="preserve"> </w:t>
      </w:r>
      <w:r w:rsidRPr="00E93635">
        <w:rPr>
          <w:lang w:val="en-US"/>
        </w:rPr>
        <w:t>was actually published September,</w:t>
      </w:r>
      <w:r w:rsidR="00237C45" w:rsidRPr="00E93635">
        <w:rPr>
          <w:lang w:val="en-US"/>
        </w:rPr>
        <w:t xml:space="preserve"> 2009)</w:t>
      </w:r>
      <w:r w:rsidRPr="00E93635">
        <w:rPr>
          <w:lang w:val="en-US"/>
        </w:rPr>
        <w:t xml:space="preserve">. This lag </w:t>
      </w:r>
      <w:r w:rsidR="00360757">
        <w:rPr>
          <w:lang w:val="en-US"/>
        </w:rPr>
        <w:t>helps explaining</w:t>
      </w:r>
      <w:r w:rsidRPr="00E93635">
        <w:rPr>
          <w:lang w:val="en-US"/>
        </w:rPr>
        <w:t xml:space="preserve"> why most of</w:t>
      </w:r>
      <w:r w:rsidR="009A16D3">
        <w:rPr>
          <w:lang w:val="en-US"/>
        </w:rPr>
        <w:t xml:space="preserve"> the textbooks have very few</w:t>
      </w:r>
      <w:r w:rsidRPr="00E93635">
        <w:rPr>
          <w:lang w:val="en-US"/>
        </w:rPr>
        <w:t xml:space="preserve"> data on the financial crisis</w:t>
      </w:r>
      <w:r w:rsidR="007A27F5" w:rsidRPr="00E93635">
        <w:rPr>
          <w:lang w:val="en-US"/>
        </w:rPr>
        <w:t>.</w:t>
      </w:r>
    </w:p>
    <w:p w:rsidR="00C271BE" w:rsidRPr="00E93635" w:rsidRDefault="00664E09" w:rsidP="00C923BC">
      <w:pPr>
        <w:spacing w:line="360" w:lineRule="auto"/>
        <w:ind w:firstLine="1304"/>
        <w:rPr>
          <w:lang w:val="en-US"/>
        </w:rPr>
      </w:pPr>
      <w:r>
        <w:rPr>
          <w:lang w:val="en-US"/>
        </w:rPr>
        <w:t>Finally</w:t>
      </w:r>
      <w:r w:rsidR="00362E8B">
        <w:rPr>
          <w:lang w:val="en-US"/>
        </w:rPr>
        <w:t>,</w:t>
      </w:r>
      <w:r>
        <w:rPr>
          <w:lang w:val="en-US"/>
        </w:rPr>
        <w:t xml:space="preserve"> we have to </w:t>
      </w:r>
      <w:r w:rsidR="00362E8B">
        <w:rPr>
          <w:lang w:val="en-US"/>
        </w:rPr>
        <w:t xml:space="preserve">take </w:t>
      </w:r>
      <w:r>
        <w:rPr>
          <w:lang w:val="en-US"/>
        </w:rPr>
        <w:t>into account that</w:t>
      </w:r>
      <w:r w:rsidR="00FE54F4" w:rsidRPr="00E93635">
        <w:rPr>
          <w:lang w:val="en-US"/>
        </w:rPr>
        <w:t xml:space="preserve"> it </w:t>
      </w:r>
      <w:r w:rsidR="009A16D3">
        <w:rPr>
          <w:lang w:val="en-US"/>
        </w:rPr>
        <w:t xml:space="preserve">is </w:t>
      </w:r>
      <w:r>
        <w:rPr>
          <w:lang w:val="en-US"/>
        </w:rPr>
        <w:t xml:space="preserve">in principle </w:t>
      </w:r>
      <w:r w:rsidR="009A16D3">
        <w:rPr>
          <w:lang w:val="en-US"/>
        </w:rPr>
        <w:t>impossible to predict</w:t>
      </w:r>
      <w:r w:rsidR="00FE54F4" w:rsidRPr="00E93635">
        <w:rPr>
          <w:lang w:val="en-US"/>
        </w:rPr>
        <w:t xml:space="preserve"> how textbooks cop</w:t>
      </w:r>
      <w:r w:rsidR="00470BB9" w:rsidRPr="00E93635">
        <w:rPr>
          <w:lang w:val="en-US"/>
        </w:rPr>
        <w:t>e with such a</w:t>
      </w:r>
      <w:r>
        <w:rPr>
          <w:lang w:val="en-US"/>
        </w:rPr>
        <w:t xml:space="preserve"> dramatic and pervasive event</w:t>
      </w:r>
      <w:r w:rsidR="00FE54F4" w:rsidRPr="00E93635">
        <w:rPr>
          <w:lang w:val="en-US"/>
        </w:rPr>
        <w:t xml:space="preserve"> as the financial crisis. </w:t>
      </w:r>
      <w:r w:rsidR="00682734" w:rsidRPr="00E93635">
        <w:rPr>
          <w:lang w:val="en-US"/>
        </w:rPr>
        <w:t xml:space="preserve">This change is not comparable to the current ‘concerns’ aired in the text by Stiglitz. One could imagine that the financial crisis would represent such a challenge that it might lead to </w:t>
      </w:r>
      <w:r w:rsidR="00C213AF">
        <w:rPr>
          <w:lang w:val="en-US"/>
        </w:rPr>
        <w:t>fundamental</w:t>
      </w:r>
      <w:r w:rsidR="00682734" w:rsidRPr="00E93635">
        <w:rPr>
          <w:lang w:val="en-US"/>
        </w:rPr>
        <w:t xml:space="preserve"> changes of the textbook – even in the short term. </w:t>
      </w:r>
      <w:r w:rsidR="00362E8B">
        <w:rPr>
          <w:lang w:val="en-US"/>
        </w:rPr>
        <w:t>Everything</w:t>
      </w:r>
      <w:r w:rsidR="00682734" w:rsidRPr="00E93635">
        <w:rPr>
          <w:lang w:val="en-US"/>
        </w:rPr>
        <w:t xml:space="preserve"> depends on the coping strategy</w:t>
      </w:r>
      <w:r w:rsidR="00C213AF">
        <w:rPr>
          <w:lang w:val="en-US"/>
        </w:rPr>
        <w:t xml:space="preserve"> chosen by</w:t>
      </w:r>
      <w:r w:rsidR="00362E8B">
        <w:rPr>
          <w:lang w:val="en-US"/>
        </w:rPr>
        <w:t xml:space="preserve"> textbooks writers which cannot easily be predicted in advance.</w:t>
      </w:r>
    </w:p>
    <w:p w:rsidR="00D153A8" w:rsidRPr="00E93635" w:rsidRDefault="00D153A8" w:rsidP="00513D2D">
      <w:pPr>
        <w:pStyle w:val="ListParagraph"/>
        <w:spacing w:after="0" w:line="360" w:lineRule="auto"/>
        <w:contextualSpacing/>
        <w:rPr>
          <w:rFonts w:ascii="Times New Roman" w:hAnsi="Times New Roman"/>
          <w:sz w:val="24"/>
          <w:szCs w:val="24"/>
        </w:rPr>
      </w:pPr>
    </w:p>
    <w:p w:rsidR="00C271BE" w:rsidRPr="00E93635" w:rsidRDefault="00153470" w:rsidP="00153470">
      <w:pPr>
        <w:spacing w:line="360" w:lineRule="auto"/>
        <w:ind w:left="1304"/>
        <w:contextualSpacing/>
        <w:rPr>
          <w:i/>
          <w:lang w:val="en-US"/>
        </w:rPr>
      </w:pPr>
      <w:r w:rsidRPr="00E93635">
        <w:rPr>
          <w:i/>
          <w:lang w:val="en-US"/>
        </w:rPr>
        <w:t xml:space="preserve">2. </w:t>
      </w:r>
      <w:r w:rsidR="00CE0EDC" w:rsidRPr="00E93635">
        <w:rPr>
          <w:i/>
          <w:lang w:val="en-US"/>
        </w:rPr>
        <w:t>How to investigate the research question</w:t>
      </w:r>
      <w:r w:rsidR="00C271BE" w:rsidRPr="00E93635">
        <w:rPr>
          <w:i/>
          <w:lang w:val="en-US"/>
        </w:rPr>
        <w:t>?</w:t>
      </w:r>
    </w:p>
    <w:p w:rsidR="00EE262D" w:rsidRPr="00E93635" w:rsidRDefault="00CE0EDC" w:rsidP="00983F24">
      <w:pPr>
        <w:spacing w:line="360" w:lineRule="auto"/>
        <w:ind w:firstLine="1304"/>
        <w:rPr>
          <w:lang w:val="en-US"/>
        </w:rPr>
      </w:pPr>
      <w:r w:rsidRPr="00E93635">
        <w:rPr>
          <w:lang w:val="en-US"/>
        </w:rPr>
        <w:t>There are different kind</w:t>
      </w:r>
      <w:r w:rsidR="00C20FE6">
        <w:rPr>
          <w:lang w:val="en-US"/>
        </w:rPr>
        <w:t>s</w:t>
      </w:r>
      <w:r w:rsidRPr="00E93635">
        <w:rPr>
          <w:lang w:val="en-US"/>
        </w:rPr>
        <w:t xml:space="preserve"> of categories of textbooks but as mentioned </w:t>
      </w:r>
      <w:r w:rsidR="00A34F94">
        <w:rPr>
          <w:lang w:val="en-US"/>
        </w:rPr>
        <w:t xml:space="preserve">we </w:t>
      </w:r>
      <w:r w:rsidRPr="00E93635">
        <w:rPr>
          <w:lang w:val="en-US"/>
        </w:rPr>
        <w:t>have chosen to focus</w:t>
      </w:r>
      <w:r w:rsidR="00244522">
        <w:rPr>
          <w:lang w:val="en-US"/>
        </w:rPr>
        <w:t xml:space="preserve"> on basic American ‘principles of economics’.</w:t>
      </w:r>
      <w:r w:rsidR="006E60BD" w:rsidRPr="00E93635">
        <w:rPr>
          <w:rStyle w:val="FootnoteReference"/>
        </w:rPr>
        <w:footnoteReference w:id="14"/>
      </w:r>
      <w:r w:rsidR="006E60BD" w:rsidRPr="00E93635">
        <w:rPr>
          <w:lang w:val="en-US"/>
        </w:rPr>
        <w:t xml:space="preserve"> </w:t>
      </w:r>
      <w:r w:rsidR="0025249B" w:rsidRPr="00E93635">
        <w:rPr>
          <w:lang w:val="en-US"/>
        </w:rPr>
        <w:t xml:space="preserve">In addition there </w:t>
      </w:r>
      <w:r w:rsidR="000B0606" w:rsidRPr="00E93635">
        <w:rPr>
          <w:lang w:val="en-US"/>
        </w:rPr>
        <w:t>exist</w:t>
      </w:r>
      <w:r w:rsidR="0025249B" w:rsidRPr="00E93635">
        <w:rPr>
          <w:lang w:val="en-US"/>
        </w:rPr>
        <w:t xml:space="preserve"> four types of tex</w:t>
      </w:r>
      <w:r w:rsidR="00983F24" w:rsidRPr="00E93635">
        <w:rPr>
          <w:lang w:val="en-US"/>
        </w:rPr>
        <w:t>t</w:t>
      </w:r>
      <w:r w:rsidR="0025249B" w:rsidRPr="00E93635">
        <w:rPr>
          <w:lang w:val="en-US"/>
        </w:rPr>
        <w:t xml:space="preserve">books which are </w:t>
      </w:r>
      <w:r w:rsidR="0025249B" w:rsidRPr="00E93635">
        <w:rPr>
          <w:i/>
          <w:lang w:val="en-US"/>
        </w:rPr>
        <w:t>not</w:t>
      </w:r>
      <w:r w:rsidR="0025249B" w:rsidRPr="00E93635">
        <w:rPr>
          <w:lang w:val="en-US"/>
        </w:rPr>
        <w:t xml:space="preserve"> analyzed</w:t>
      </w:r>
      <w:r w:rsidR="006E60BD" w:rsidRPr="00E93635">
        <w:rPr>
          <w:lang w:val="en-US"/>
        </w:rPr>
        <w:t xml:space="preserve">: </w:t>
      </w:r>
      <w:r w:rsidR="0025249B" w:rsidRPr="00E93635">
        <w:rPr>
          <w:lang w:val="en-US"/>
        </w:rPr>
        <w:t>basic introduction</w:t>
      </w:r>
      <w:r w:rsidR="00A91D0A" w:rsidRPr="00E93635">
        <w:rPr>
          <w:lang w:val="en-US"/>
        </w:rPr>
        <w:t>s</w:t>
      </w:r>
      <w:r w:rsidR="0025249B" w:rsidRPr="00E93635">
        <w:rPr>
          <w:lang w:val="en-US"/>
        </w:rPr>
        <w:t xml:space="preserve"> to either micro or macro</w:t>
      </w:r>
      <w:r w:rsidR="00983F24" w:rsidRPr="00E93635">
        <w:rPr>
          <w:lang w:val="en-US"/>
        </w:rPr>
        <w:t xml:space="preserve"> and more advance</w:t>
      </w:r>
      <w:r w:rsidR="00A91D0A" w:rsidRPr="00E93635">
        <w:rPr>
          <w:lang w:val="en-US"/>
        </w:rPr>
        <w:t>d</w:t>
      </w:r>
      <w:r w:rsidR="00983F24" w:rsidRPr="00E93635">
        <w:rPr>
          <w:lang w:val="en-US"/>
        </w:rPr>
        <w:t xml:space="preserve"> textbooks (’intermediate’ and</w:t>
      </w:r>
      <w:r w:rsidR="006E60BD" w:rsidRPr="00E93635">
        <w:rPr>
          <w:lang w:val="en-US"/>
        </w:rPr>
        <w:t xml:space="preserve"> ’advanced’</w:t>
      </w:r>
      <w:r w:rsidR="00983F24" w:rsidRPr="00E93635">
        <w:rPr>
          <w:lang w:val="en-US"/>
        </w:rPr>
        <w:t xml:space="preserve">). </w:t>
      </w:r>
      <w:r w:rsidR="009A16D3">
        <w:rPr>
          <w:rStyle w:val="FootnoteReference"/>
          <w:lang w:val="en-US"/>
        </w:rPr>
        <w:footnoteReference w:id="15"/>
      </w:r>
      <w:r w:rsidR="009A16D3">
        <w:rPr>
          <w:lang w:val="en-US"/>
        </w:rPr>
        <w:t xml:space="preserve"> </w:t>
      </w:r>
      <w:r w:rsidR="00983F24" w:rsidRPr="00E93635">
        <w:rPr>
          <w:lang w:val="en-US"/>
        </w:rPr>
        <w:t xml:space="preserve">Focus is on </w:t>
      </w:r>
      <w:r w:rsidR="006E60BD" w:rsidRPr="00E93635">
        <w:rPr>
          <w:lang w:val="en-US"/>
        </w:rPr>
        <w:t>principles</w:t>
      </w:r>
      <w:r w:rsidR="00983F24" w:rsidRPr="00E93635">
        <w:rPr>
          <w:lang w:val="en-US"/>
        </w:rPr>
        <w:t xml:space="preserve"> as they are the most widely used textbooks (it is estimated that around 7-800.000 American students are using these books every year</w:t>
      </w:r>
      <w:r w:rsidR="00362E8B">
        <w:rPr>
          <w:lang w:val="en-US"/>
        </w:rPr>
        <w:t>)</w:t>
      </w:r>
      <w:r w:rsidR="00664E09">
        <w:rPr>
          <w:lang w:val="en-US"/>
        </w:rPr>
        <w:t>.</w:t>
      </w:r>
      <w:r w:rsidR="00664E09">
        <w:rPr>
          <w:rStyle w:val="FootnoteReference"/>
          <w:lang w:val="en-US"/>
        </w:rPr>
        <w:footnoteReference w:id="16"/>
      </w:r>
      <w:r w:rsidR="00237C45" w:rsidRPr="00E93635">
        <w:rPr>
          <w:lang w:val="en-US"/>
        </w:rPr>
        <w:t xml:space="preserve"> </w:t>
      </w:r>
      <w:r w:rsidR="00983F24" w:rsidRPr="00E93635">
        <w:rPr>
          <w:lang w:val="en-US"/>
        </w:rPr>
        <w:t>All analyzed textbooks are so-called international or global edition for practical reasons.</w:t>
      </w:r>
      <w:r w:rsidR="005D3C02" w:rsidRPr="00E93635">
        <w:rPr>
          <w:rStyle w:val="FootnoteReference"/>
        </w:rPr>
        <w:footnoteReference w:id="17"/>
      </w:r>
    </w:p>
    <w:p w:rsidR="00AE32CD" w:rsidRPr="00C213AF" w:rsidRDefault="00AE32CD" w:rsidP="00AE32CD">
      <w:pPr>
        <w:spacing w:line="360" w:lineRule="auto"/>
        <w:ind w:firstLine="1304"/>
        <w:rPr>
          <w:lang w:val="en-US"/>
        </w:rPr>
      </w:pPr>
      <w:r w:rsidRPr="00E93635">
        <w:rPr>
          <w:lang w:val="en-US"/>
        </w:rPr>
        <w:t xml:space="preserve">It could be argued that the analysis should have focused on advanced textbooks as one could expect them to be closer to the complex reality but </w:t>
      </w:r>
      <w:r w:rsidR="005F0F11" w:rsidRPr="001E29D5">
        <w:rPr>
          <w:lang w:val="en-GB"/>
        </w:rPr>
        <w:t>contrary to</w:t>
      </w:r>
      <w:r w:rsidR="00E147F8">
        <w:rPr>
          <w:lang w:val="en-GB"/>
        </w:rPr>
        <w:t xml:space="preserve"> what might be expected</w:t>
      </w:r>
      <w:r w:rsidR="005F0F11" w:rsidRPr="00E93635">
        <w:rPr>
          <w:lang w:val="en-US"/>
        </w:rPr>
        <w:t xml:space="preserve"> </w:t>
      </w:r>
      <w:r w:rsidR="00E315A0" w:rsidRPr="00E93635">
        <w:rPr>
          <w:lang w:val="en-US"/>
        </w:rPr>
        <w:t xml:space="preserve">by non-economists </w:t>
      </w:r>
      <w:r w:rsidRPr="00E93635">
        <w:rPr>
          <w:lang w:val="en-US"/>
        </w:rPr>
        <w:t>more advanced textbooks tend to be very mathematical, theoretical and deductive</w:t>
      </w:r>
      <w:r w:rsidR="00E315A0" w:rsidRPr="00E93635">
        <w:rPr>
          <w:lang w:val="en-US"/>
        </w:rPr>
        <w:t xml:space="preserve"> and hence less related to reality than basic introductions</w:t>
      </w:r>
      <w:r w:rsidRPr="00E93635">
        <w:rPr>
          <w:lang w:val="en-US"/>
        </w:rPr>
        <w:t>.</w:t>
      </w:r>
      <w:r w:rsidR="00C213AF">
        <w:rPr>
          <w:lang w:val="en-US"/>
        </w:rPr>
        <w:t xml:space="preserve"> Or</w:t>
      </w:r>
      <w:r w:rsidR="00F95E24">
        <w:rPr>
          <w:lang w:val="en-US"/>
        </w:rPr>
        <w:t xml:space="preserve"> to put it </w:t>
      </w:r>
      <w:r w:rsidR="00362E8B">
        <w:rPr>
          <w:lang w:val="en-US"/>
        </w:rPr>
        <w:t xml:space="preserve">more </w:t>
      </w:r>
      <w:r w:rsidR="00CD28D8">
        <w:rPr>
          <w:lang w:val="en-US"/>
        </w:rPr>
        <w:t>dryly</w:t>
      </w:r>
      <w:r w:rsidR="00F95E24">
        <w:rPr>
          <w:lang w:val="en-US"/>
        </w:rPr>
        <w:t>: “Graduate students are much more accepting of abstract discussion that do not relate to reality”</w:t>
      </w:r>
      <w:r w:rsidR="00362E8B">
        <w:rPr>
          <w:lang w:val="en-US"/>
        </w:rPr>
        <w:t xml:space="preserve"> (Colander, 2010, p. 383)</w:t>
      </w:r>
      <w:r w:rsidR="00F95E24">
        <w:rPr>
          <w:lang w:val="en-US"/>
        </w:rPr>
        <w:t>.</w:t>
      </w:r>
    </w:p>
    <w:p w:rsidR="00AE32CD" w:rsidRPr="00E93635" w:rsidRDefault="00AE32CD" w:rsidP="00AE32CD">
      <w:pPr>
        <w:spacing w:line="360" w:lineRule="auto"/>
        <w:ind w:firstLine="1304"/>
        <w:rPr>
          <w:lang w:val="en-US"/>
        </w:rPr>
      </w:pPr>
      <w:r w:rsidRPr="00E93635">
        <w:rPr>
          <w:lang w:val="en-US"/>
        </w:rPr>
        <w:t>The six textbooks have been identified b</w:t>
      </w:r>
      <w:r w:rsidR="00470BB9" w:rsidRPr="00E93635">
        <w:rPr>
          <w:lang w:val="en-US"/>
        </w:rPr>
        <w:t>y means of the list in appendix</w:t>
      </w:r>
      <w:r w:rsidRPr="00E93635">
        <w:rPr>
          <w:lang w:val="en-US"/>
        </w:rPr>
        <w:t xml:space="preserve"> B, friendly assistance from a local Liberian (Helle Rovsing) combined with </w:t>
      </w:r>
      <w:r w:rsidR="00CD28D8">
        <w:rPr>
          <w:lang w:val="en-US"/>
        </w:rPr>
        <w:t xml:space="preserve">own </w:t>
      </w:r>
      <w:r w:rsidRPr="00E93635">
        <w:rPr>
          <w:lang w:val="en-US"/>
        </w:rPr>
        <w:t>searches on World Cat (</w:t>
      </w:r>
      <w:r w:rsidR="00E315A0" w:rsidRPr="00E93635">
        <w:rPr>
          <w:lang w:val="en-US"/>
        </w:rPr>
        <w:t xml:space="preserve">a </w:t>
      </w:r>
      <w:r w:rsidR="00470BB9" w:rsidRPr="00E93635">
        <w:rPr>
          <w:lang w:val="en-US"/>
        </w:rPr>
        <w:t xml:space="preserve">database </w:t>
      </w:r>
      <w:r w:rsidR="00E315A0" w:rsidRPr="00E93635">
        <w:rPr>
          <w:lang w:val="en-US"/>
        </w:rPr>
        <w:t xml:space="preserve">also </w:t>
      </w:r>
      <w:r w:rsidR="00470BB9" w:rsidRPr="00E93635">
        <w:rPr>
          <w:lang w:val="en-US"/>
        </w:rPr>
        <w:t xml:space="preserve">comprising </w:t>
      </w:r>
      <w:r w:rsidR="00E315A0" w:rsidRPr="00E93635">
        <w:rPr>
          <w:lang w:val="en-US"/>
        </w:rPr>
        <w:t>i</w:t>
      </w:r>
      <w:r w:rsidR="00470BB9" w:rsidRPr="00E93635">
        <w:rPr>
          <w:lang w:val="en-US"/>
        </w:rPr>
        <w:t>ntroductory textbooks</w:t>
      </w:r>
      <w:r w:rsidRPr="00E93635">
        <w:rPr>
          <w:lang w:val="en-US"/>
        </w:rPr>
        <w:t xml:space="preserve"> targeted at the American market</w:t>
      </w:r>
      <w:r w:rsidR="00E315A0" w:rsidRPr="00E93635">
        <w:rPr>
          <w:lang w:val="en-US"/>
        </w:rPr>
        <w:t>)</w:t>
      </w:r>
      <w:r w:rsidRPr="00E93635">
        <w:rPr>
          <w:lang w:val="en-US"/>
        </w:rPr>
        <w:t xml:space="preserve">. The downside of using this method at this </w:t>
      </w:r>
      <w:r w:rsidR="00244522">
        <w:rPr>
          <w:lang w:val="en-US"/>
        </w:rPr>
        <w:t xml:space="preserve">particular </w:t>
      </w:r>
      <w:r w:rsidRPr="00E93635">
        <w:rPr>
          <w:lang w:val="en-US"/>
        </w:rPr>
        <w:t xml:space="preserve">time </w:t>
      </w:r>
      <w:r w:rsidR="00244522">
        <w:rPr>
          <w:lang w:val="en-US"/>
        </w:rPr>
        <w:t xml:space="preserve">of history </w:t>
      </w:r>
      <w:r w:rsidRPr="00E93635">
        <w:rPr>
          <w:lang w:val="en-US"/>
        </w:rPr>
        <w:t xml:space="preserve">has been that by accident the two </w:t>
      </w:r>
      <w:r w:rsidR="00470BB9" w:rsidRPr="00E93635">
        <w:rPr>
          <w:lang w:val="en-US"/>
        </w:rPr>
        <w:t xml:space="preserve">duopolies </w:t>
      </w:r>
      <w:r w:rsidR="00470BB9" w:rsidRPr="00E93635">
        <w:rPr>
          <w:lang w:val="en-US"/>
        </w:rPr>
        <w:lastRenderedPageBreak/>
        <w:t>Manki</w:t>
      </w:r>
      <w:r w:rsidRPr="00E93635">
        <w:rPr>
          <w:lang w:val="en-US"/>
        </w:rPr>
        <w:t xml:space="preserve">w and McConnell, Brue and Flynn published their most recent edition in 2009. The preliminary and rather extensive research and analysis </w:t>
      </w:r>
      <w:r w:rsidR="00362E8B">
        <w:rPr>
          <w:lang w:val="en-US"/>
        </w:rPr>
        <w:t xml:space="preserve">did </w:t>
      </w:r>
      <w:r w:rsidRPr="00E93635">
        <w:rPr>
          <w:lang w:val="en-US"/>
        </w:rPr>
        <w:t>demonstrate that t</w:t>
      </w:r>
      <w:r w:rsidR="00244522">
        <w:rPr>
          <w:lang w:val="en-US"/>
        </w:rPr>
        <w:t>extbooks from 2009 did not mention</w:t>
      </w:r>
      <w:r w:rsidRPr="00E93635">
        <w:rPr>
          <w:lang w:val="en-US"/>
        </w:rPr>
        <w:t xml:space="preserve"> the financial crisis</w:t>
      </w:r>
      <w:r w:rsidR="00244522">
        <w:rPr>
          <w:lang w:val="en-US"/>
        </w:rPr>
        <w:t xml:space="preserve"> at all</w:t>
      </w:r>
      <w:r w:rsidRPr="00E93635">
        <w:rPr>
          <w:lang w:val="en-US"/>
        </w:rPr>
        <w:t>, but only the American subprime crisis.</w:t>
      </w:r>
      <w:r w:rsidR="00E315A0" w:rsidRPr="00E93635">
        <w:rPr>
          <w:rStyle w:val="FootnoteReference"/>
          <w:lang w:val="en-US"/>
        </w:rPr>
        <w:t xml:space="preserve"> </w:t>
      </w:r>
      <w:r w:rsidR="00E315A0" w:rsidRPr="00E93635">
        <w:rPr>
          <w:rStyle w:val="FootnoteReference"/>
        </w:rPr>
        <w:footnoteReference w:id="18"/>
      </w:r>
      <w:r w:rsidRPr="00E93635">
        <w:rPr>
          <w:lang w:val="en-US"/>
        </w:rPr>
        <w:t xml:space="preserve"> For this reason focus </w:t>
      </w:r>
      <w:r w:rsidR="00362E8B">
        <w:rPr>
          <w:lang w:val="en-US"/>
        </w:rPr>
        <w:t>will</w:t>
      </w:r>
      <w:r w:rsidRPr="00E93635">
        <w:rPr>
          <w:lang w:val="en-US"/>
        </w:rPr>
        <w:t xml:space="preserve"> be on the most sold textbooks in 2010.</w:t>
      </w:r>
      <w:r w:rsidRPr="00E93635">
        <w:rPr>
          <w:rStyle w:val="FootnoteReference"/>
          <w:lang w:val="en-US"/>
        </w:rPr>
        <w:t xml:space="preserve"> </w:t>
      </w:r>
    </w:p>
    <w:p w:rsidR="00AE32CD" w:rsidRPr="00E93635" w:rsidRDefault="00AE32CD" w:rsidP="00AE32CD">
      <w:pPr>
        <w:spacing w:line="360" w:lineRule="auto"/>
        <w:ind w:firstLine="1304"/>
        <w:rPr>
          <w:lang w:val="en-US"/>
        </w:rPr>
      </w:pPr>
      <w:r w:rsidRPr="00E93635">
        <w:rPr>
          <w:lang w:val="en-US"/>
        </w:rPr>
        <w:t xml:space="preserve">As mentioned in the </w:t>
      </w:r>
      <w:r w:rsidR="00A34F94">
        <w:rPr>
          <w:lang w:val="en-US"/>
        </w:rPr>
        <w:t>presentation</w:t>
      </w:r>
      <w:r w:rsidRPr="00E93635">
        <w:rPr>
          <w:lang w:val="en-US"/>
        </w:rPr>
        <w:t xml:space="preserve"> of </w:t>
      </w:r>
      <w:r w:rsidR="000B0606" w:rsidRPr="00E93635">
        <w:rPr>
          <w:lang w:val="en-US"/>
        </w:rPr>
        <w:t>Stieglitz’s</w:t>
      </w:r>
      <w:r w:rsidRPr="00E93635">
        <w:rPr>
          <w:lang w:val="en-US"/>
        </w:rPr>
        <w:t xml:space="preserve"> thoughts the </w:t>
      </w:r>
      <w:r w:rsidR="00C213AF">
        <w:rPr>
          <w:lang w:val="en-US"/>
        </w:rPr>
        <w:t>content of</w:t>
      </w:r>
      <w:r w:rsidRPr="00E93635">
        <w:rPr>
          <w:lang w:val="en-US"/>
        </w:rPr>
        <w:t xml:space="preserve"> textbooks </w:t>
      </w:r>
      <w:r w:rsidR="00C213AF">
        <w:rPr>
          <w:lang w:val="en-US"/>
        </w:rPr>
        <w:t>is</w:t>
      </w:r>
      <w:r w:rsidRPr="00E93635">
        <w:rPr>
          <w:lang w:val="en-US"/>
        </w:rPr>
        <w:t xml:space="preserve"> in a state of fl</w:t>
      </w:r>
      <w:r w:rsidR="00470BB9" w:rsidRPr="00E93635">
        <w:rPr>
          <w:lang w:val="en-US"/>
        </w:rPr>
        <w:t xml:space="preserve">ux and </w:t>
      </w:r>
      <w:r w:rsidR="00E315A0" w:rsidRPr="00E93635">
        <w:rPr>
          <w:lang w:val="en-US"/>
        </w:rPr>
        <w:t xml:space="preserve">constant </w:t>
      </w:r>
      <w:r w:rsidR="00470BB9" w:rsidRPr="00E93635">
        <w:rPr>
          <w:lang w:val="en-US"/>
        </w:rPr>
        <w:t>development. Being adap</w:t>
      </w:r>
      <w:r w:rsidRPr="00E93635">
        <w:rPr>
          <w:lang w:val="en-US"/>
        </w:rPr>
        <w:t>tive is a major competitive parameter. Most</w:t>
      </w:r>
      <w:r w:rsidR="00E315A0" w:rsidRPr="00E93635">
        <w:rPr>
          <w:lang w:val="en-US"/>
        </w:rPr>
        <w:t xml:space="preserve"> textbooks</w:t>
      </w:r>
      <w:r w:rsidR="0034607D" w:rsidRPr="00E93635">
        <w:rPr>
          <w:rStyle w:val="FootnoteReference"/>
          <w:lang w:val="en-US"/>
        </w:rPr>
        <w:footnoteReference w:id="19"/>
      </w:r>
      <w:r w:rsidR="00E315A0" w:rsidRPr="00E93635">
        <w:rPr>
          <w:lang w:val="en-US"/>
        </w:rPr>
        <w:t xml:space="preserve"> present major changes</w:t>
      </w:r>
      <w:r w:rsidRPr="00E93635">
        <w:rPr>
          <w:lang w:val="en-US"/>
        </w:rPr>
        <w:t xml:space="preserve"> in the preface making it rather easy to identify changes </w:t>
      </w:r>
      <w:r w:rsidR="00E315A0" w:rsidRPr="00E93635">
        <w:rPr>
          <w:lang w:val="en-US"/>
        </w:rPr>
        <w:t>following from</w:t>
      </w:r>
      <w:r w:rsidRPr="00E93635">
        <w:rPr>
          <w:lang w:val="en-US"/>
        </w:rPr>
        <w:t xml:space="preserve"> the financial crisis. </w:t>
      </w:r>
      <w:r w:rsidR="00362E8B">
        <w:rPr>
          <w:lang w:val="en-US"/>
        </w:rPr>
        <w:t xml:space="preserve">The analysis is helped by a </w:t>
      </w:r>
      <w:r w:rsidRPr="00E93635">
        <w:rPr>
          <w:lang w:val="en-US"/>
        </w:rPr>
        <w:t xml:space="preserve">tendency to </w:t>
      </w:r>
      <w:r w:rsidR="00470BB9" w:rsidRPr="00E93635">
        <w:rPr>
          <w:lang w:val="en-US"/>
        </w:rPr>
        <w:t>over</w:t>
      </w:r>
      <w:r w:rsidR="00244522">
        <w:rPr>
          <w:lang w:val="en-US"/>
        </w:rPr>
        <w:t>-</w:t>
      </w:r>
      <w:r w:rsidR="00470BB9" w:rsidRPr="00E93635">
        <w:rPr>
          <w:lang w:val="en-US"/>
        </w:rPr>
        <w:t>report</w:t>
      </w:r>
      <w:r w:rsidRPr="00E93635">
        <w:rPr>
          <w:lang w:val="en-US"/>
        </w:rPr>
        <w:t xml:space="preserve"> and overstate changes</w:t>
      </w:r>
      <w:r w:rsidR="00E315A0" w:rsidRPr="00E93635">
        <w:rPr>
          <w:lang w:val="en-US"/>
        </w:rPr>
        <w:t xml:space="preserve"> in the preface of </w:t>
      </w:r>
      <w:r w:rsidR="00E83633">
        <w:rPr>
          <w:lang w:val="en-US"/>
        </w:rPr>
        <w:t xml:space="preserve">the </w:t>
      </w:r>
      <w:r w:rsidR="00E315A0" w:rsidRPr="00E93635">
        <w:rPr>
          <w:lang w:val="en-US"/>
        </w:rPr>
        <w:t>textbook</w:t>
      </w:r>
      <w:r w:rsidR="00E83633">
        <w:rPr>
          <w:lang w:val="en-US"/>
        </w:rPr>
        <w:t>s</w:t>
      </w:r>
      <w:r w:rsidR="00244522">
        <w:rPr>
          <w:lang w:val="en-US"/>
        </w:rPr>
        <w:t>. The focus</w:t>
      </w:r>
      <w:r w:rsidR="00E83633">
        <w:rPr>
          <w:lang w:val="en-US"/>
        </w:rPr>
        <w:t xml:space="preserve"> will</w:t>
      </w:r>
      <w:r w:rsidR="00244522">
        <w:rPr>
          <w:lang w:val="en-US"/>
        </w:rPr>
        <w:t xml:space="preserve"> primarily </w:t>
      </w:r>
      <w:r w:rsidR="00E83633">
        <w:rPr>
          <w:lang w:val="en-US"/>
        </w:rPr>
        <w:t xml:space="preserve">be </w:t>
      </w:r>
      <w:r w:rsidR="00244522">
        <w:rPr>
          <w:lang w:val="en-US"/>
        </w:rPr>
        <w:t>on</w:t>
      </w:r>
      <w:r w:rsidRPr="00E93635">
        <w:rPr>
          <w:lang w:val="en-US"/>
        </w:rPr>
        <w:t xml:space="preserve"> changes which the textbooks themselves perceive and present as a direct consequence of the financial crisis as well </w:t>
      </w:r>
      <w:r w:rsidR="00E315A0" w:rsidRPr="00E93635">
        <w:rPr>
          <w:lang w:val="en-US"/>
        </w:rPr>
        <w:t xml:space="preserve">as </w:t>
      </w:r>
      <w:r w:rsidR="00362E8B">
        <w:rPr>
          <w:lang w:val="en-US"/>
        </w:rPr>
        <w:t xml:space="preserve">their </w:t>
      </w:r>
      <w:r w:rsidRPr="00E93635">
        <w:rPr>
          <w:lang w:val="en-US"/>
        </w:rPr>
        <w:t>direct presentation</w:t>
      </w:r>
      <w:r w:rsidR="00E315A0" w:rsidRPr="00E93635">
        <w:rPr>
          <w:lang w:val="en-US"/>
        </w:rPr>
        <w:t>s and analyse</w:t>
      </w:r>
      <w:r w:rsidRPr="00E93635">
        <w:rPr>
          <w:lang w:val="en-US"/>
        </w:rPr>
        <w:t>s of the financial crisis. The method on a more detail</w:t>
      </w:r>
      <w:r w:rsidR="00E315A0" w:rsidRPr="00E93635">
        <w:rPr>
          <w:lang w:val="en-US"/>
        </w:rPr>
        <w:t>ed level will become apparent in</w:t>
      </w:r>
      <w:r w:rsidRPr="00E93635">
        <w:rPr>
          <w:lang w:val="en-US"/>
        </w:rPr>
        <w:t xml:space="preserve"> the presentation of the results.</w:t>
      </w:r>
    </w:p>
    <w:p w:rsidR="00AE32CD" w:rsidRPr="00E93635" w:rsidRDefault="00AE32CD" w:rsidP="00AE32CD">
      <w:pPr>
        <w:spacing w:line="360" w:lineRule="auto"/>
        <w:rPr>
          <w:b/>
          <w:lang w:val="en-US"/>
        </w:rPr>
      </w:pPr>
    </w:p>
    <w:p w:rsidR="00E315A0" w:rsidRPr="00E93635" w:rsidRDefault="00E315A0" w:rsidP="00AE32CD">
      <w:pPr>
        <w:spacing w:line="360" w:lineRule="auto"/>
        <w:rPr>
          <w:b/>
          <w:lang w:val="en-US"/>
        </w:rPr>
      </w:pPr>
    </w:p>
    <w:p w:rsidR="00AE32CD" w:rsidRPr="00362E8B" w:rsidRDefault="00AE32CD" w:rsidP="00AE32CD">
      <w:pPr>
        <w:pStyle w:val="ListParagraph"/>
        <w:numPr>
          <w:ilvl w:val="0"/>
          <w:numId w:val="22"/>
        </w:numPr>
        <w:spacing w:line="360" w:lineRule="auto"/>
        <w:rPr>
          <w:rFonts w:ascii="Times New Roman" w:hAnsi="Times New Roman"/>
          <w:i/>
          <w:sz w:val="24"/>
          <w:szCs w:val="24"/>
        </w:rPr>
      </w:pPr>
      <w:r w:rsidRPr="00362E8B">
        <w:rPr>
          <w:rFonts w:ascii="Times New Roman" w:hAnsi="Times New Roman"/>
          <w:i/>
          <w:sz w:val="24"/>
          <w:szCs w:val="24"/>
        </w:rPr>
        <w:t>How much has the financial crisis changed textbooks?</w:t>
      </w:r>
      <w:r w:rsidRPr="00362E8B">
        <w:rPr>
          <w:rStyle w:val="FootnoteReference"/>
          <w:rFonts w:ascii="Times New Roman" w:hAnsi="Times New Roman"/>
          <w:sz w:val="24"/>
          <w:szCs w:val="24"/>
          <w:lang w:val="da-DK"/>
        </w:rPr>
        <w:footnoteReference w:id="20"/>
      </w:r>
    </w:p>
    <w:p w:rsidR="00AD3925" w:rsidRPr="00E93635" w:rsidRDefault="00AE32CD" w:rsidP="00AE32CD">
      <w:pPr>
        <w:spacing w:line="360" w:lineRule="auto"/>
        <w:ind w:firstLine="1304"/>
        <w:rPr>
          <w:lang w:val="en-US"/>
        </w:rPr>
      </w:pPr>
      <w:r w:rsidRPr="00E93635">
        <w:rPr>
          <w:lang w:val="en-US"/>
        </w:rPr>
        <w:t>In this section the content of six best selling American principles of economics is analyzed (cf.</w:t>
      </w:r>
      <w:r w:rsidR="00470BB9" w:rsidRPr="00E93635">
        <w:rPr>
          <w:lang w:val="en-US"/>
        </w:rPr>
        <w:t xml:space="preserve"> appendix</w:t>
      </w:r>
      <w:r w:rsidRPr="00E93635">
        <w:rPr>
          <w:lang w:val="en-US"/>
        </w:rPr>
        <w:t xml:space="preserve"> A</w:t>
      </w:r>
      <w:r w:rsidRPr="00E93635">
        <w:rPr>
          <w:rStyle w:val="FootnoteReference"/>
        </w:rPr>
        <w:footnoteReference w:id="21"/>
      </w:r>
      <w:r w:rsidRPr="00E93635">
        <w:rPr>
          <w:lang w:val="en-US"/>
        </w:rPr>
        <w:t>). The overall result is that they are all highly a</w:t>
      </w:r>
      <w:r w:rsidR="00E83633">
        <w:rPr>
          <w:lang w:val="en-US"/>
        </w:rPr>
        <w:t>ffected by the financial crisis measured in quantitative terms</w:t>
      </w:r>
      <w:r w:rsidR="00E315A0" w:rsidRPr="00E93635">
        <w:rPr>
          <w:lang w:val="en-US"/>
        </w:rPr>
        <w:t xml:space="preserve">. </w:t>
      </w:r>
      <w:r w:rsidRPr="00E93635">
        <w:rPr>
          <w:lang w:val="en-US"/>
        </w:rPr>
        <w:t>First, all textbooks have a number of entries being related to the financial crisis of 2008 (</w:t>
      </w:r>
      <w:r w:rsidR="00244522">
        <w:rPr>
          <w:lang w:val="en-US"/>
        </w:rPr>
        <w:t xml:space="preserve">going </w:t>
      </w:r>
      <w:r w:rsidRPr="00E93635">
        <w:rPr>
          <w:lang w:val="en-US"/>
        </w:rPr>
        <w:t>from 22 to 235 entries). Secondly, we have counted the number of pages mention</w:t>
      </w:r>
      <w:r w:rsidR="00E315A0" w:rsidRPr="00E93635">
        <w:rPr>
          <w:lang w:val="en-US"/>
        </w:rPr>
        <w:t>ing the financial crisis (from one line to a</w:t>
      </w:r>
      <w:r w:rsidRPr="00E93635">
        <w:rPr>
          <w:lang w:val="en-US"/>
        </w:rPr>
        <w:t xml:space="preserve"> whole page). </w:t>
      </w:r>
      <w:r w:rsidR="00244522">
        <w:rPr>
          <w:lang w:val="en-US"/>
        </w:rPr>
        <w:t>The result goes</w:t>
      </w:r>
      <w:r w:rsidRPr="00E93635">
        <w:rPr>
          <w:lang w:val="en-US"/>
        </w:rPr>
        <w:t xml:space="preserve"> from 19 to 85 pages which should be compared to the standard size </w:t>
      </w:r>
      <w:r w:rsidR="00C20FE6" w:rsidRPr="00E93635">
        <w:rPr>
          <w:lang w:val="en-US"/>
        </w:rPr>
        <w:t>of a typical principle</w:t>
      </w:r>
      <w:r w:rsidRPr="00E93635">
        <w:rPr>
          <w:lang w:val="en-US"/>
        </w:rPr>
        <w:t xml:space="preserve"> (800 pages).  Focusing on pages which give the financial </w:t>
      </w:r>
      <w:r w:rsidR="00470BB9" w:rsidRPr="00E93635">
        <w:rPr>
          <w:lang w:val="en-US"/>
        </w:rPr>
        <w:t>crisis a serious treatment (not</w:t>
      </w:r>
      <w:r w:rsidRPr="00E93635">
        <w:rPr>
          <w:lang w:val="en-US"/>
        </w:rPr>
        <w:t xml:space="preserve"> </w:t>
      </w:r>
      <w:r w:rsidR="001730D0">
        <w:rPr>
          <w:lang w:val="en-US"/>
        </w:rPr>
        <w:t>merely</w:t>
      </w:r>
      <w:r w:rsidRPr="00E93635">
        <w:rPr>
          <w:lang w:val="en-US"/>
        </w:rPr>
        <w:t xml:space="preserve"> mentioning it in passing) the </w:t>
      </w:r>
      <w:r w:rsidR="00362E8B">
        <w:rPr>
          <w:lang w:val="en-US"/>
        </w:rPr>
        <w:t>number of pages is</w:t>
      </w:r>
      <w:r w:rsidR="00E83633">
        <w:rPr>
          <w:lang w:val="en-US"/>
        </w:rPr>
        <w:t xml:space="preserve"> reduced to seven to 69</w:t>
      </w:r>
      <w:r w:rsidRPr="00E93635">
        <w:rPr>
          <w:lang w:val="en-US"/>
        </w:rPr>
        <w:t xml:space="preserve"> </w:t>
      </w:r>
      <w:r w:rsidR="00244522">
        <w:rPr>
          <w:lang w:val="en-US"/>
        </w:rPr>
        <w:t xml:space="preserve">pages </w:t>
      </w:r>
      <w:r w:rsidR="00E83633">
        <w:rPr>
          <w:lang w:val="en-US"/>
        </w:rPr>
        <w:t>and of these are six</w:t>
      </w:r>
      <w:r w:rsidRPr="00E93635">
        <w:rPr>
          <w:lang w:val="en-US"/>
        </w:rPr>
        <w:t xml:space="preserve"> to 31 </w:t>
      </w:r>
      <w:r w:rsidR="00E315A0" w:rsidRPr="00E93635">
        <w:rPr>
          <w:lang w:val="en-US"/>
        </w:rPr>
        <w:t xml:space="preserve">pages constituted by </w:t>
      </w:r>
      <w:r w:rsidRPr="00E93635">
        <w:rPr>
          <w:lang w:val="en-US"/>
        </w:rPr>
        <w:t xml:space="preserve">’boxes’ clearly </w:t>
      </w:r>
      <w:r w:rsidR="00470BB9" w:rsidRPr="00E93635">
        <w:rPr>
          <w:lang w:val="en-US"/>
        </w:rPr>
        <w:t>separated</w:t>
      </w:r>
      <w:r w:rsidRPr="00E93635">
        <w:rPr>
          <w:lang w:val="en-US"/>
        </w:rPr>
        <w:t xml:space="preserve"> from the general text – often without any linkages – from the text to boxes or vice</w:t>
      </w:r>
      <w:r w:rsidR="00A26F53" w:rsidRPr="00E93635">
        <w:rPr>
          <w:lang w:val="en-US"/>
        </w:rPr>
        <w:t xml:space="preserve"> versa.</w:t>
      </w:r>
    </w:p>
    <w:p w:rsidR="00D153A8" w:rsidRPr="00E93635" w:rsidRDefault="00AE32CD" w:rsidP="00C923BC">
      <w:pPr>
        <w:spacing w:line="360" w:lineRule="auto"/>
        <w:ind w:firstLine="1304"/>
        <w:rPr>
          <w:lang w:val="en-US"/>
        </w:rPr>
      </w:pPr>
      <w:r w:rsidRPr="00E93635">
        <w:rPr>
          <w:lang w:val="en-US"/>
        </w:rPr>
        <w:lastRenderedPageBreak/>
        <w:t xml:space="preserve">Another interesting quantitative result </w:t>
      </w:r>
      <w:r w:rsidR="00470BB9" w:rsidRPr="00E93635">
        <w:rPr>
          <w:lang w:val="en-US"/>
        </w:rPr>
        <w:t>is</w:t>
      </w:r>
      <w:r w:rsidRPr="00E93635">
        <w:rPr>
          <w:lang w:val="en-US"/>
        </w:rPr>
        <w:t xml:space="preserve"> that </w:t>
      </w:r>
      <w:r w:rsidR="00AD3925" w:rsidRPr="00E93635">
        <w:rPr>
          <w:i/>
          <w:lang w:val="en-US"/>
        </w:rPr>
        <w:t>all</w:t>
      </w:r>
      <w:r w:rsidR="00AD3925" w:rsidRPr="00E93635">
        <w:rPr>
          <w:lang w:val="en-US"/>
        </w:rPr>
        <w:t xml:space="preserve"> </w:t>
      </w:r>
      <w:r w:rsidRPr="00E93635">
        <w:rPr>
          <w:lang w:val="en-US"/>
        </w:rPr>
        <w:t>textbooks share the common feature that the financial crisis is persona non grata</w:t>
      </w:r>
      <w:r w:rsidR="00E315A0" w:rsidRPr="00E93635">
        <w:rPr>
          <w:lang w:val="en-US"/>
        </w:rPr>
        <w:t xml:space="preserve"> in large parts of the textbook</w:t>
      </w:r>
      <w:r w:rsidRPr="00E93635">
        <w:rPr>
          <w:lang w:val="en-US"/>
        </w:rPr>
        <w:t xml:space="preserve">. One can identify up to 3-400 pages without any mentioning of the financial crisis whatsoever – typically </w:t>
      </w:r>
      <w:r w:rsidR="00E315A0" w:rsidRPr="00E93635">
        <w:rPr>
          <w:lang w:val="en-US"/>
        </w:rPr>
        <w:t xml:space="preserve">for </w:t>
      </w:r>
      <w:r w:rsidRPr="00E93635">
        <w:rPr>
          <w:lang w:val="en-US"/>
        </w:rPr>
        <w:t>the microeconomic part</w:t>
      </w:r>
      <w:r w:rsidR="00AD3925" w:rsidRPr="00E93635">
        <w:rPr>
          <w:lang w:val="en-US"/>
        </w:rPr>
        <w:t xml:space="preserve">. </w:t>
      </w:r>
      <w:r w:rsidRPr="00E93635">
        <w:rPr>
          <w:lang w:val="en-US"/>
        </w:rPr>
        <w:t>Without any argument the financial crisis is with very few exceptions treated as an entirely macroeconomic phenomenon leaving the whole discussion about the possibl</w:t>
      </w:r>
      <w:r w:rsidR="00E83633">
        <w:rPr>
          <w:lang w:val="en-US"/>
        </w:rPr>
        <w:t>e inefficiency of markets attenuated</w:t>
      </w:r>
      <w:r w:rsidRPr="00E93635">
        <w:rPr>
          <w:lang w:val="en-US"/>
        </w:rPr>
        <w:t xml:space="preserve"> by the financial crisis aside.</w:t>
      </w:r>
      <w:r w:rsidR="000B0606">
        <w:rPr>
          <w:rStyle w:val="FootnoteReference"/>
          <w:lang w:val="en-US"/>
        </w:rPr>
        <w:footnoteReference w:id="22"/>
      </w:r>
      <w:r w:rsidR="00AD3925" w:rsidRPr="00E93635">
        <w:rPr>
          <w:lang w:val="en-US"/>
        </w:rPr>
        <w:t xml:space="preserve"> </w:t>
      </w:r>
    </w:p>
    <w:p w:rsidR="00AD3925" w:rsidRPr="00E93635" w:rsidRDefault="00AE32CD" w:rsidP="00C923BC">
      <w:pPr>
        <w:spacing w:line="360" w:lineRule="auto"/>
        <w:ind w:firstLine="1304"/>
        <w:rPr>
          <w:lang w:val="en-US"/>
        </w:rPr>
      </w:pPr>
      <w:r w:rsidRPr="00E93635">
        <w:rPr>
          <w:lang w:val="en-US"/>
        </w:rPr>
        <w:t>Furthermore, it has been investigated whether th</w:t>
      </w:r>
      <w:r w:rsidR="00C20FE6">
        <w:rPr>
          <w:lang w:val="en-US"/>
        </w:rPr>
        <w:t>e</w:t>
      </w:r>
      <w:r w:rsidR="005F0F11">
        <w:rPr>
          <w:lang w:val="en-US"/>
        </w:rPr>
        <w:t xml:space="preserve"> </w:t>
      </w:r>
      <w:r w:rsidRPr="00E93635">
        <w:rPr>
          <w:lang w:val="en-US"/>
        </w:rPr>
        <w:t xml:space="preserve">financial crisis has </w:t>
      </w:r>
      <w:r w:rsidR="00E315A0" w:rsidRPr="00E93635">
        <w:rPr>
          <w:lang w:val="en-US"/>
        </w:rPr>
        <w:t xml:space="preserve">also </w:t>
      </w:r>
      <w:r w:rsidRPr="00E93635">
        <w:rPr>
          <w:lang w:val="en-US"/>
        </w:rPr>
        <w:t>been given a full treatment (causes, consequences etc.) in a separate section or cha</w:t>
      </w:r>
      <w:r w:rsidR="00F202AC" w:rsidRPr="00E93635">
        <w:rPr>
          <w:lang w:val="en-US"/>
        </w:rPr>
        <w:t>p</w:t>
      </w:r>
      <w:r w:rsidRPr="00E93635">
        <w:rPr>
          <w:lang w:val="en-US"/>
        </w:rPr>
        <w:t>ter or whether the financial crisis is scattered all over the text</w:t>
      </w:r>
      <w:r w:rsidR="00AD3925" w:rsidRPr="00E93635">
        <w:rPr>
          <w:lang w:val="en-US"/>
        </w:rPr>
        <w:t xml:space="preserve">. </w:t>
      </w:r>
      <w:r w:rsidRPr="00E93635">
        <w:rPr>
          <w:lang w:val="en-US"/>
        </w:rPr>
        <w:t xml:space="preserve">Four of six textbooks </w:t>
      </w:r>
      <w:r w:rsidR="00C20FE6" w:rsidRPr="00E93635">
        <w:rPr>
          <w:lang w:val="en-US"/>
        </w:rPr>
        <w:t>deliver</w:t>
      </w:r>
      <w:r w:rsidRPr="00E93635">
        <w:rPr>
          <w:lang w:val="en-US"/>
        </w:rPr>
        <w:t xml:space="preserve"> a general presentation of the financial crisis and </w:t>
      </w:r>
      <w:r w:rsidR="00362E8B">
        <w:rPr>
          <w:lang w:val="en-US"/>
        </w:rPr>
        <w:t xml:space="preserve">only </w:t>
      </w:r>
      <w:r w:rsidRPr="00E93635">
        <w:rPr>
          <w:lang w:val="en-US"/>
        </w:rPr>
        <w:t>one of the books devotes an entire chapter to the financial crisis</w:t>
      </w:r>
      <w:r w:rsidR="00F14F47" w:rsidRPr="00E93635">
        <w:rPr>
          <w:lang w:val="en-US"/>
        </w:rPr>
        <w:t xml:space="preserve"> (Colander, 2010, </w:t>
      </w:r>
      <w:r w:rsidRPr="00E93635">
        <w:rPr>
          <w:lang w:val="en-US"/>
        </w:rPr>
        <w:t>chapter</w:t>
      </w:r>
      <w:r w:rsidR="00F14F47" w:rsidRPr="00E93635">
        <w:rPr>
          <w:lang w:val="en-US"/>
        </w:rPr>
        <w:t xml:space="preserve"> 32, pp. 753-775). </w:t>
      </w:r>
    </w:p>
    <w:p w:rsidR="00AD3925" w:rsidRPr="00E93635" w:rsidRDefault="00E63FF2" w:rsidP="00C923BC">
      <w:pPr>
        <w:spacing w:line="360" w:lineRule="auto"/>
        <w:ind w:firstLine="1304"/>
        <w:rPr>
          <w:lang w:val="en-US"/>
        </w:rPr>
      </w:pPr>
      <w:r w:rsidRPr="00E93635">
        <w:rPr>
          <w:lang w:val="en-US"/>
        </w:rPr>
        <w:t>The term ’quantitative’ does also cover the many instances in which the financial crisis is ’added’ to the general presentation</w:t>
      </w:r>
      <w:r w:rsidR="00FD739C" w:rsidRPr="00E93635">
        <w:rPr>
          <w:lang w:val="en-US"/>
        </w:rPr>
        <w:t>. By ‘added’ we understand</w:t>
      </w:r>
      <w:r w:rsidRPr="00E93635">
        <w:rPr>
          <w:lang w:val="en-US"/>
        </w:rPr>
        <w:t xml:space="preserve"> that the financial crisis does not interact with the general presentation. This is also </w:t>
      </w:r>
      <w:r w:rsidR="00944E79">
        <w:rPr>
          <w:lang w:val="en-US"/>
        </w:rPr>
        <w:t xml:space="preserve">implicitly </w:t>
      </w:r>
      <w:r w:rsidRPr="00E93635">
        <w:rPr>
          <w:lang w:val="en-US"/>
        </w:rPr>
        <w:t xml:space="preserve">indicated in the </w:t>
      </w:r>
      <w:r w:rsidR="001730D0">
        <w:rPr>
          <w:lang w:val="en-US"/>
        </w:rPr>
        <w:t>manner</w:t>
      </w:r>
      <w:r w:rsidRPr="00E93635">
        <w:rPr>
          <w:lang w:val="en-US"/>
        </w:rPr>
        <w:t xml:space="preserve"> the treatment of t</w:t>
      </w:r>
      <w:r w:rsidR="00CD28D8">
        <w:rPr>
          <w:lang w:val="en-US"/>
        </w:rPr>
        <w:t>he financial crisis is referred to</w:t>
      </w:r>
      <w:r w:rsidRPr="00E93635">
        <w:rPr>
          <w:lang w:val="en-US"/>
        </w:rPr>
        <w:t xml:space="preserve"> in some of the prefaces: </w:t>
      </w:r>
      <w:r w:rsidRPr="006310A2">
        <w:rPr>
          <w:lang w:val="en-US"/>
        </w:rPr>
        <w:t>’</w:t>
      </w:r>
      <w:r w:rsidR="00FD739C" w:rsidRPr="006310A2">
        <w:rPr>
          <w:lang w:val="en-US"/>
        </w:rPr>
        <w:t>fresh illustrations</w:t>
      </w:r>
      <w:r w:rsidR="00124F22" w:rsidRPr="006310A2">
        <w:rPr>
          <w:lang w:val="en-US"/>
        </w:rPr>
        <w:t>’</w:t>
      </w:r>
      <w:r w:rsidR="00FD739C" w:rsidRPr="006310A2">
        <w:rPr>
          <w:lang w:val="en-US"/>
        </w:rPr>
        <w:t>, ’</w:t>
      </w:r>
      <w:r w:rsidR="006310A2" w:rsidRPr="006310A2">
        <w:rPr>
          <w:lang w:val="en-US"/>
        </w:rPr>
        <w:t>tied to each</w:t>
      </w:r>
      <w:r w:rsidR="00FD739C" w:rsidRPr="006310A2">
        <w:rPr>
          <w:lang w:val="en-US"/>
        </w:rPr>
        <w:t xml:space="preserve"> chapter</w:t>
      </w:r>
      <w:r w:rsidR="00124F22" w:rsidRPr="006310A2">
        <w:rPr>
          <w:lang w:val="en-US"/>
        </w:rPr>
        <w:t>’</w:t>
      </w:r>
      <w:r w:rsidR="00124F22" w:rsidRPr="00E93635">
        <w:rPr>
          <w:lang w:val="en-US"/>
        </w:rPr>
        <w:t xml:space="preserve"> </w:t>
      </w:r>
      <w:r w:rsidR="00FD739C" w:rsidRPr="00E93635">
        <w:rPr>
          <w:lang w:val="en-US"/>
        </w:rPr>
        <w:t>(Schiller, 2010, p. xv)</w:t>
      </w:r>
      <w:r w:rsidRPr="00E93635">
        <w:rPr>
          <w:lang w:val="en-US"/>
        </w:rPr>
        <w:t xml:space="preserve"> or ’new coverage’ (Hubbard and</w:t>
      </w:r>
      <w:r w:rsidR="00124F22" w:rsidRPr="00E93635">
        <w:rPr>
          <w:lang w:val="en-US"/>
        </w:rPr>
        <w:t xml:space="preserve"> Brian, 2010, p. 7).  </w:t>
      </w:r>
      <w:r w:rsidRPr="00E93635">
        <w:rPr>
          <w:lang w:val="en-US"/>
        </w:rPr>
        <w:t>In all textbooks the financial crisis is treated in isolation – except in Hubbard and Brian as they succeed in integrating the actual development durin</w:t>
      </w:r>
      <w:r w:rsidR="00314F60" w:rsidRPr="00E93635">
        <w:rPr>
          <w:lang w:val="en-US"/>
        </w:rPr>
        <w:t>g the financial crisis in a pedagogically manner</w:t>
      </w:r>
      <w:r w:rsidR="00072A42">
        <w:rPr>
          <w:lang w:val="en-US"/>
        </w:rPr>
        <w:t xml:space="preserve"> in a number of chapters (especially the beginning)</w:t>
      </w:r>
      <w:r w:rsidR="00F14F47" w:rsidRPr="00E93635">
        <w:rPr>
          <w:lang w:val="en-US"/>
        </w:rPr>
        <w:t xml:space="preserve">, </w:t>
      </w:r>
      <w:r w:rsidR="00314F60" w:rsidRPr="00E93635">
        <w:rPr>
          <w:lang w:val="en-US"/>
        </w:rPr>
        <w:t xml:space="preserve">but without </w:t>
      </w:r>
      <w:r w:rsidR="00072A42">
        <w:rPr>
          <w:lang w:val="en-US"/>
        </w:rPr>
        <w:t xml:space="preserve">letting </w:t>
      </w:r>
      <w:r w:rsidR="00314F60" w:rsidRPr="00E93635">
        <w:rPr>
          <w:lang w:val="en-US"/>
        </w:rPr>
        <w:t>the financial crisis</w:t>
      </w:r>
      <w:r w:rsidR="00072A42">
        <w:rPr>
          <w:lang w:val="en-US"/>
        </w:rPr>
        <w:t xml:space="preserve"> lead to </w:t>
      </w:r>
      <w:r w:rsidR="00944E79">
        <w:rPr>
          <w:lang w:val="en-US"/>
        </w:rPr>
        <w:t>changes in the theoretical content.</w:t>
      </w:r>
    </w:p>
    <w:p w:rsidR="00AD3925" w:rsidRPr="00E93635" w:rsidRDefault="00314F60" w:rsidP="00C923BC">
      <w:pPr>
        <w:spacing w:line="360" w:lineRule="auto"/>
        <w:ind w:firstLine="1304"/>
        <w:rPr>
          <w:lang w:val="en-US"/>
        </w:rPr>
      </w:pPr>
      <w:r w:rsidRPr="00E93635">
        <w:rPr>
          <w:lang w:val="en-US"/>
        </w:rPr>
        <w:t xml:space="preserve">The most </w:t>
      </w:r>
      <w:r w:rsidR="00362E8B">
        <w:rPr>
          <w:lang w:val="en-US"/>
        </w:rPr>
        <w:t>pertinent</w:t>
      </w:r>
      <w:r w:rsidRPr="00E93635">
        <w:rPr>
          <w:lang w:val="en-US"/>
        </w:rPr>
        <w:t xml:space="preserve"> question is</w:t>
      </w:r>
      <w:r w:rsidR="00072A42">
        <w:rPr>
          <w:lang w:val="en-US"/>
        </w:rPr>
        <w:t xml:space="preserve">, however, </w:t>
      </w:r>
      <w:r w:rsidRPr="00E93635">
        <w:rPr>
          <w:lang w:val="en-US"/>
        </w:rPr>
        <w:t xml:space="preserve">whether one can observe any </w:t>
      </w:r>
      <w:r w:rsidRPr="00E93635">
        <w:rPr>
          <w:i/>
          <w:lang w:val="en-US"/>
        </w:rPr>
        <w:t>qualitative</w:t>
      </w:r>
      <w:r w:rsidRPr="00E93635">
        <w:rPr>
          <w:lang w:val="en-US"/>
        </w:rPr>
        <w:t xml:space="preserve"> changes of the textbooks. </w:t>
      </w:r>
      <w:r w:rsidR="00CD28D8">
        <w:rPr>
          <w:lang w:val="en-US"/>
        </w:rPr>
        <w:t>That is: t</w:t>
      </w:r>
      <w:r w:rsidRPr="00E93635">
        <w:rPr>
          <w:lang w:val="en-US"/>
        </w:rPr>
        <w:t>o which extent has the textbooks considered it necessary to change the normal content in order to be able to contain the financial crisis? By reading the prefaces it has only been possible to identify one minor qualitative change</w:t>
      </w:r>
      <w:r w:rsidR="00072A42">
        <w:rPr>
          <w:lang w:val="en-US"/>
        </w:rPr>
        <w:t xml:space="preserve"> in the main text</w:t>
      </w:r>
      <w:r w:rsidRPr="00E93635">
        <w:rPr>
          <w:lang w:val="en-US"/>
        </w:rPr>
        <w:t xml:space="preserve">. Parkin (2010) </w:t>
      </w:r>
      <w:r w:rsidR="00CD28D8">
        <w:rPr>
          <w:lang w:val="en-US"/>
        </w:rPr>
        <w:t>states that</w:t>
      </w:r>
      <w:r w:rsidR="00944E79">
        <w:rPr>
          <w:lang w:val="en-US"/>
        </w:rPr>
        <w:t xml:space="preserve"> he </w:t>
      </w:r>
      <w:r w:rsidRPr="00E93635">
        <w:rPr>
          <w:lang w:val="en-US"/>
        </w:rPr>
        <w:t xml:space="preserve">has also covered the </w:t>
      </w:r>
      <w:r w:rsidR="00072A42">
        <w:rPr>
          <w:lang w:val="en-US"/>
        </w:rPr>
        <w:t xml:space="preserve">so-called </w:t>
      </w:r>
      <w:r w:rsidRPr="00E93635">
        <w:rPr>
          <w:lang w:val="en-US"/>
        </w:rPr>
        <w:t>’lemon problem</w:t>
      </w:r>
      <w:r w:rsidR="00AD3925" w:rsidRPr="00E93635">
        <w:rPr>
          <w:lang w:val="en-US"/>
        </w:rPr>
        <w:t>’</w:t>
      </w:r>
      <w:r w:rsidRPr="00E93635">
        <w:rPr>
          <w:lang w:val="en-US"/>
        </w:rPr>
        <w:t xml:space="preserve"> in earlier editions, but this treatment has been </w:t>
      </w:r>
      <w:r w:rsidR="00AD3925" w:rsidRPr="00E93635">
        <w:rPr>
          <w:lang w:val="en-US"/>
        </w:rPr>
        <w:t>’heavily revised’</w:t>
      </w:r>
      <w:r w:rsidR="00124F22" w:rsidRPr="00E93635">
        <w:rPr>
          <w:lang w:val="en-US"/>
        </w:rPr>
        <w:t xml:space="preserve"> (p. viii</w:t>
      </w:r>
      <w:r w:rsidR="002F667B" w:rsidRPr="00E93635">
        <w:rPr>
          <w:lang w:val="en-US"/>
        </w:rPr>
        <w:t>)</w:t>
      </w:r>
      <w:r w:rsidRPr="00E93635">
        <w:rPr>
          <w:lang w:val="en-US"/>
        </w:rPr>
        <w:t xml:space="preserve"> in the light of the fiscal crisis.</w:t>
      </w:r>
    </w:p>
    <w:p w:rsidR="00AD3925" w:rsidRPr="00E93635" w:rsidRDefault="00314F60" w:rsidP="00C923BC">
      <w:pPr>
        <w:spacing w:line="360" w:lineRule="auto"/>
        <w:ind w:firstLine="1304"/>
        <w:rPr>
          <w:lang w:val="en-US"/>
        </w:rPr>
      </w:pPr>
      <w:r w:rsidRPr="00E93635">
        <w:rPr>
          <w:lang w:val="en-US"/>
        </w:rPr>
        <w:t xml:space="preserve">Another more implicit </w:t>
      </w:r>
      <w:r w:rsidR="00072A42">
        <w:rPr>
          <w:lang w:val="en-US"/>
        </w:rPr>
        <w:t xml:space="preserve">and qualitative </w:t>
      </w:r>
      <w:r w:rsidRPr="00E93635">
        <w:rPr>
          <w:lang w:val="en-US"/>
        </w:rPr>
        <w:t xml:space="preserve">change </w:t>
      </w:r>
      <w:r w:rsidR="00072A42">
        <w:rPr>
          <w:lang w:val="en-US"/>
        </w:rPr>
        <w:t xml:space="preserve">in the preface </w:t>
      </w:r>
      <w:r w:rsidRPr="00E93635">
        <w:rPr>
          <w:lang w:val="en-US"/>
        </w:rPr>
        <w:t>is observed in Schiller (2010). When comparing the two most recent editions of Schiller’s textbook, it is apparent that something h</w:t>
      </w:r>
      <w:r w:rsidR="00537832" w:rsidRPr="00E93635">
        <w:rPr>
          <w:lang w:val="en-US"/>
        </w:rPr>
        <w:t>as changed</w:t>
      </w:r>
      <w:r w:rsidRPr="00E93635">
        <w:rPr>
          <w:lang w:val="en-US"/>
        </w:rPr>
        <w:t xml:space="preserve">. </w:t>
      </w:r>
      <w:r w:rsidR="00537832" w:rsidRPr="00E93635">
        <w:rPr>
          <w:lang w:val="en-US"/>
        </w:rPr>
        <w:t>In 2010 h</w:t>
      </w:r>
      <w:r w:rsidR="00037890">
        <w:rPr>
          <w:lang w:val="en-US"/>
        </w:rPr>
        <w:t>e argues that</w:t>
      </w:r>
      <w:r w:rsidRPr="00E93635">
        <w:rPr>
          <w:lang w:val="en-US"/>
        </w:rPr>
        <w:t xml:space="preserve"> </w:t>
      </w:r>
      <w:r w:rsidR="00037890">
        <w:rPr>
          <w:lang w:val="en-US"/>
        </w:rPr>
        <w:t xml:space="preserve">‘I have always emphasized </w:t>
      </w:r>
      <w:r w:rsidR="006310A2" w:rsidRPr="006310A2">
        <w:rPr>
          <w:lang w:val="en-US"/>
        </w:rPr>
        <w:t>the problems associated with short-run instability</w:t>
      </w:r>
      <w:r w:rsidR="006310A2">
        <w:rPr>
          <w:lang w:val="en-US"/>
        </w:rPr>
        <w:t>’ (p. vii)</w:t>
      </w:r>
      <w:r w:rsidR="00537832" w:rsidRPr="00E93635">
        <w:rPr>
          <w:lang w:val="en-US"/>
        </w:rPr>
        <w:t xml:space="preserve">. </w:t>
      </w:r>
      <w:r w:rsidR="00072A42">
        <w:rPr>
          <w:lang w:val="en-US"/>
        </w:rPr>
        <w:t xml:space="preserve">This </w:t>
      </w:r>
      <w:r w:rsidR="00037890">
        <w:rPr>
          <w:lang w:val="en-US"/>
        </w:rPr>
        <w:t xml:space="preserve">clear statement </w:t>
      </w:r>
      <w:r w:rsidR="00CD28D8">
        <w:rPr>
          <w:lang w:val="en-US"/>
        </w:rPr>
        <w:t>i</w:t>
      </w:r>
      <w:r w:rsidR="00037890">
        <w:rPr>
          <w:lang w:val="en-US"/>
        </w:rPr>
        <w:t xml:space="preserve">s a couple of lines later linked to the 2009 stimulus program. This </w:t>
      </w:r>
      <w:r w:rsidR="00CD28D8">
        <w:rPr>
          <w:lang w:val="en-US"/>
        </w:rPr>
        <w:t>i</w:t>
      </w:r>
      <w:r w:rsidR="00072A42">
        <w:rPr>
          <w:lang w:val="en-US"/>
        </w:rPr>
        <w:t xml:space="preserve">s </w:t>
      </w:r>
      <w:r w:rsidR="003F3B09">
        <w:rPr>
          <w:lang w:val="en-US"/>
        </w:rPr>
        <w:t>slightly</w:t>
      </w:r>
      <w:r w:rsidR="00072A42">
        <w:rPr>
          <w:lang w:val="en-US"/>
        </w:rPr>
        <w:t xml:space="preserve"> </w:t>
      </w:r>
      <w:r w:rsidR="00037890">
        <w:rPr>
          <w:lang w:val="en-US"/>
        </w:rPr>
        <w:t>striking</w:t>
      </w:r>
      <w:r w:rsidR="00072A42">
        <w:rPr>
          <w:lang w:val="en-US"/>
        </w:rPr>
        <w:t xml:space="preserve"> and, hence, it was checked whether this particular </w:t>
      </w:r>
      <w:r w:rsidR="00072A42">
        <w:rPr>
          <w:lang w:val="en-US"/>
        </w:rPr>
        <w:lastRenderedPageBreak/>
        <w:t>approach was just as evident in preface of the previous edition (</w:t>
      </w:r>
      <w:r w:rsidR="00D143E7" w:rsidRPr="00E93635">
        <w:rPr>
          <w:lang w:val="en-US"/>
        </w:rPr>
        <w:t>Schiller</w:t>
      </w:r>
      <w:r w:rsidR="00072A42">
        <w:rPr>
          <w:lang w:val="en-US"/>
        </w:rPr>
        <w:t>,</w:t>
      </w:r>
      <w:r w:rsidR="00CD28D8">
        <w:rPr>
          <w:lang w:val="en-US"/>
        </w:rPr>
        <w:t xml:space="preserve"> </w:t>
      </w:r>
      <w:r w:rsidR="00D143E7" w:rsidRPr="00E93635">
        <w:rPr>
          <w:lang w:val="en-US"/>
        </w:rPr>
        <w:t xml:space="preserve">2008). </w:t>
      </w:r>
      <w:r w:rsidR="00072A42">
        <w:rPr>
          <w:lang w:val="en-US"/>
        </w:rPr>
        <w:t xml:space="preserve"> Unsurprisingly, it was not. </w:t>
      </w:r>
      <w:r w:rsidR="00037890">
        <w:rPr>
          <w:lang w:val="en-US"/>
        </w:rPr>
        <w:t xml:space="preserve">One possible interpretation is </w:t>
      </w:r>
      <w:r w:rsidR="00D143E7" w:rsidRPr="00E93635">
        <w:rPr>
          <w:lang w:val="en-US"/>
        </w:rPr>
        <w:t xml:space="preserve">that the financial crisis legitimates </w:t>
      </w:r>
      <w:r w:rsidR="00072A42">
        <w:rPr>
          <w:lang w:val="en-US"/>
        </w:rPr>
        <w:t>or makes it more acceptable to present</w:t>
      </w:r>
      <w:r w:rsidR="00D143E7" w:rsidRPr="00E93635">
        <w:rPr>
          <w:lang w:val="en-US"/>
        </w:rPr>
        <w:t xml:space="preserve"> capitalism as </w:t>
      </w:r>
      <w:r w:rsidR="00072A42">
        <w:rPr>
          <w:lang w:val="en-US"/>
        </w:rPr>
        <w:t xml:space="preserve">an </w:t>
      </w:r>
      <w:r w:rsidR="00D143E7" w:rsidRPr="00E93635">
        <w:rPr>
          <w:lang w:val="en-US"/>
        </w:rPr>
        <w:t>unstable</w:t>
      </w:r>
      <w:r w:rsidR="00072A42">
        <w:rPr>
          <w:lang w:val="en-US"/>
        </w:rPr>
        <w:t xml:space="preserve"> economic system</w:t>
      </w:r>
      <w:r w:rsidR="00D143E7" w:rsidRPr="00E93635">
        <w:rPr>
          <w:lang w:val="en-US"/>
        </w:rPr>
        <w:t xml:space="preserve">. </w:t>
      </w:r>
      <w:r w:rsidR="00072A42">
        <w:rPr>
          <w:lang w:val="en-US"/>
        </w:rPr>
        <w:t xml:space="preserve">What has changed is that </w:t>
      </w:r>
      <w:r w:rsidR="00204022">
        <w:rPr>
          <w:lang w:val="en-US"/>
        </w:rPr>
        <w:t xml:space="preserve">apparently </w:t>
      </w:r>
      <w:r w:rsidR="00D143E7" w:rsidRPr="00E93635">
        <w:rPr>
          <w:lang w:val="en-US"/>
        </w:rPr>
        <w:t>Schiller does not feel that he has to defend himself against a paradigm downplaying instability and business cycles.</w:t>
      </w:r>
      <w:r w:rsidR="00AD3925" w:rsidRPr="00E93635">
        <w:rPr>
          <w:rStyle w:val="FootnoteReference"/>
        </w:rPr>
        <w:footnoteReference w:id="23"/>
      </w:r>
      <w:r w:rsidR="00537832" w:rsidRPr="00E93635">
        <w:rPr>
          <w:lang w:val="en-US"/>
        </w:rPr>
        <w:t xml:space="preserve"> Or to put it </w:t>
      </w:r>
      <w:r w:rsidR="003F3B09">
        <w:rPr>
          <w:lang w:val="en-US"/>
        </w:rPr>
        <w:t>slightly</w:t>
      </w:r>
      <w:r w:rsidR="00537832" w:rsidRPr="00E93635">
        <w:rPr>
          <w:lang w:val="en-US"/>
        </w:rPr>
        <w:t xml:space="preserve"> different</w:t>
      </w:r>
      <w:r w:rsidR="00944E79">
        <w:rPr>
          <w:lang w:val="en-US"/>
        </w:rPr>
        <w:t>ly</w:t>
      </w:r>
      <w:r w:rsidR="00537832" w:rsidRPr="00E93635">
        <w:rPr>
          <w:lang w:val="en-US"/>
        </w:rPr>
        <w:t xml:space="preserve"> – he is less in the defensive in 2010 than in 2008.</w:t>
      </w:r>
    </w:p>
    <w:p w:rsidR="00F1551D" w:rsidRPr="00E93635" w:rsidRDefault="00D143E7" w:rsidP="00C923BC">
      <w:pPr>
        <w:spacing w:line="360" w:lineRule="auto"/>
        <w:ind w:firstLine="1304"/>
        <w:rPr>
          <w:lang w:val="en-US"/>
        </w:rPr>
      </w:pPr>
      <w:r w:rsidRPr="00E93635">
        <w:rPr>
          <w:lang w:val="en-US"/>
        </w:rPr>
        <w:t xml:space="preserve">The only textbook which reflects theoretically on the financial crisis is Colander (2010). He develops new concepts </w:t>
      </w:r>
      <w:r w:rsidR="00470BB9" w:rsidRPr="00E93635">
        <w:rPr>
          <w:lang w:val="en-US"/>
        </w:rPr>
        <w:t>tailor-made</w:t>
      </w:r>
      <w:r w:rsidRPr="00E93635">
        <w:rPr>
          <w:lang w:val="en-US"/>
        </w:rPr>
        <w:t xml:space="preserve"> to cope with the financial crisis</w:t>
      </w:r>
      <w:r w:rsidR="00965B59">
        <w:rPr>
          <w:lang w:val="en-US"/>
        </w:rPr>
        <w:t xml:space="preserve"> (</w:t>
      </w:r>
      <w:r w:rsidR="00D4386D">
        <w:rPr>
          <w:lang w:val="en-US"/>
        </w:rPr>
        <w:t>‘</w:t>
      </w:r>
      <w:r w:rsidR="00D4386D" w:rsidRPr="00D4386D">
        <w:rPr>
          <w:lang w:val="en-US"/>
        </w:rPr>
        <w:t xml:space="preserve">triage, treatment, and </w:t>
      </w:r>
      <w:r w:rsidR="00C20FE6" w:rsidRPr="00D4386D">
        <w:rPr>
          <w:lang w:val="en-US"/>
        </w:rPr>
        <w:t>rehabilitation</w:t>
      </w:r>
      <w:r w:rsidR="00D4386D">
        <w:rPr>
          <w:lang w:val="en-US"/>
        </w:rPr>
        <w:t>’, p. x</w:t>
      </w:r>
      <w:r w:rsidR="00127E10">
        <w:rPr>
          <w:lang w:val="en-US"/>
        </w:rPr>
        <w:t>vi</w:t>
      </w:r>
      <w:r w:rsidR="00965B59">
        <w:rPr>
          <w:lang w:val="en-US"/>
        </w:rPr>
        <w:t>)</w:t>
      </w:r>
      <w:r w:rsidRPr="00E93635">
        <w:rPr>
          <w:lang w:val="en-US"/>
        </w:rPr>
        <w:t xml:space="preserve">. </w:t>
      </w:r>
      <w:r w:rsidR="00965B59">
        <w:rPr>
          <w:lang w:val="en-US"/>
        </w:rPr>
        <w:t xml:space="preserve">At the same time he is the writer that to the largest extent conceptualizes the financial crisis (26 concepts </w:t>
      </w:r>
      <w:r w:rsidR="005F0F11">
        <w:rPr>
          <w:lang w:val="en-US"/>
        </w:rPr>
        <w:t>in comparison with</w:t>
      </w:r>
      <w:r w:rsidR="00CD28D8">
        <w:rPr>
          <w:lang w:val="en-US"/>
        </w:rPr>
        <w:t xml:space="preserve"> four to </w:t>
      </w:r>
      <w:r w:rsidR="00965B59">
        <w:rPr>
          <w:lang w:val="en-US"/>
        </w:rPr>
        <w:t>15 in the other books</w:t>
      </w:r>
      <w:r w:rsidR="00D9158E">
        <w:rPr>
          <w:lang w:val="en-US"/>
        </w:rPr>
        <w:t>, cf</w:t>
      </w:r>
      <w:r w:rsidR="00F00A55">
        <w:rPr>
          <w:lang w:val="en-US"/>
        </w:rPr>
        <w:t>.)</w:t>
      </w:r>
      <w:r w:rsidR="00965B59">
        <w:rPr>
          <w:lang w:val="en-US"/>
        </w:rPr>
        <w:t xml:space="preserve">. </w:t>
      </w:r>
      <w:r w:rsidRPr="00E93635">
        <w:rPr>
          <w:lang w:val="en-US"/>
        </w:rPr>
        <w:t>Col</w:t>
      </w:r>
      <w:r w:rsidR="00537832" w:rsidRPr="00E93635">
        <w:rPr>
          <w:lang w:val="en-US"/>
        </w:rPr>
        <w:t>ander is also the only textbook</w:t>
      </w:r>
      <w:r w:rsidRPr="00E93635">
        <w:rPr>
          <w:lang w:val="en-US"/>
        </w:rPr>
        <w:t xml:space="preserve"> which applies behavioral economics </w:t>
      </w:r>
      <w:r w:rsidR="00204022">
        <w:rPr>
          <w:lang w:val="en-US"/>
        </w:rPr>
        <w:t xml:space="preserve">(very briefly) </w:t>
      </w:r>
      <w:r w:rsidRPr="00E93635">
        <w:rPr>
          <w:lang w:val="en-US"/>
        </w:rPr>
        <w:t>to analyze the financial crisis</w:t>
      </w:r>
      <w:r w:rsidR="001A022F" w:rsidRPr="00E93635">
        <w:rPr>
          <w:lang w:val="en-US"/>
        </w:rPr>
        <w:t xml:space="preserve"> </w:t>
      </w:r>
      <w:r w:rsidR="004E4876" w:rsidRPr="00E93635">
        <w:rPr>
          <w:lang w:val="en-US"/>
        </w:rPr>
        <w:t>(</w:t>
      </w:r>
      <w:r w:rsidR="004A066E" w:rsidRPr="00E93635">
        <w:rPr>
          <w:lang w:val="en-US"/>
        </w:rPr>
        <w:t xml:space="preserve">2010, </w:t>
      </w:r>
      <w:r w:rsidR="004E4876" w:rsidRPr="00E93635">
        <w:rPr>
          <w:lang w:val="en-US"/>
        </w:rPr>
        <w:t>p. 756-758)</w:t>
      </w:r>
      <w:r w:rsidR="00AD3925" w:rsidRPr="00E93635">
        <w:rPr>
          <w:lang w:val="en-US"/>
        </w:rPr>
        <w:t>.</w:t>
      </w:r>
      <w:r w:rsidR="002F667B" w:rsidRPr="00E93635">
        <w:rPr>
          <w:lang w:val="en-US"/>
        </w:rPr>
        <w:t xml:space="preserve"> </w:t>
      </w:r>
      <w:r w:rsidRPr="00E93635">
        <w:rPr>
          <w:lang w:val="en-US"/>
        </w:rPr>
        <w:t xml:space="preserve">The main reason why Colander does not develop </w:t>
      </w:r>
      <w:r w:rsidR="00D9158E">
        <w:rPr>
          <w:lang w:val="en-US"/>
        </w:rPr>
        <w:t>the</w:t>
      </w:r>
      <w:r w:rsidRPr="00E93635">
        <w:rPr>
          <w:lang w:val="en-US"/>
        </w:rPr>
        <w:t xml:space="preserve"> theoretical universe</w:t>
      </w:r>
      <w:r w:rsidR="00D9158E">
        <w:rPr>
          <w:lang w:val="en-US"/>
        </w:rPr>
        <w:t xml:space="preserve"> outside the chapter on the financial crisis</w:t>
      </w:r>
      <w:r w:rsidRPr="00E93635">
        <w:rPr>
          <w:lang w:val="en-US"/>
        </w:rPr>
        <w:t xml:space="preserve"> can </w:t>
      </w:r>
      <w:r w:rsidR="00D9158E">
        <w:rPr>
          <w:lang w:val="en-US"/>
        </w:rPr>
        <w:t xml:space="preserve">be </w:t>
      </w:r>
      <w:r w:rsidRPr="00E93635">
        <w:rPr>
          <w:lang w:val="en-US"/>
        </w:rPr>
        <w:t xml:space="preserve">ascribed to the fact that like Schiller </w:t>
      </w:r>
      <w:r w:rsidR="007E2DEF">
        <w:rPr>
          <w:lang w:val="en-US"/>
        </w:rPr>
        <w:t xml:space="preserve">he </w:t>
      </w:r>
      <w:r w:rsidR="00CD28D8">
        <w:rPr>
          <w:lang w:val="en-US"/>
        </w:rPr>
        <w:t xml:space="preserve">is </w:t>
      </w:r>
      <w:r w:rsidR="007E2DEF">
        <w:rPr>
          <w:lang w:val="en-US"/>
        </w:rPr>
        <w:t>a</w:t>
      </w:r>
      <w:r w:rsidR="00CD28D8">
        <w:rPr>
          <w:lang w:val="en-US"/>
        </w:rPr>
        <w:t>lready operating</w:t>
      </w:r>
      <w:r w:rsidRPr="00E93635">
        <w:rPr>
          <w:lang w:val="en-US"/>
        </w:rPr>
        <w:t xml:space="preserve"> with the possibility of instability and </w:t>
      </w:r>
      <w:r w:rsidR="00D9158E">
        <w:rPr>
          <w:lang w:val="en-US"/>
        </w:rPr>
        <w:t>he did already refer to</w:t>
      </w:r>
      <w:r w:rsidRPr="00E93635">
        <w:rPr>
          <w:lang w:val="en-US"/>
        </w:rPr>
        <w:t xml:space="preserve"> behavioral economics</w:t>
      </w:r>
      <w:r w:rsidR="00537832" w:rsidRPr="00E93635">
        <w:rPr>
          <w:lang w:val="en-US"/>
        </w:rPr>
        <w:t xml:space="preserve"> in the latest edition from 2008</w:t>
      </w:r>
      <w:r w:rsidR="0000141E">
        <w:rPr>
          <w:lang w:val="en-US"/>
        </w:rPr>
        <w:t xml:space="preserve"> (Colander, 2008, p. ??</w:t>
      </w:r>
      <w:r w:rsidR="007E2DEF">
        <w:rPr>
          <w:lang w:val="en-US"/>
        </w:rPr>
        <w:t>)</w:t>
      </w:r>
      <w:r w:rsidRPr="00E93635">
        <w:rPr>
          <w:lang w:val="en-US"/>
        </w:rPr>
        <w:t xml:space="preserve">. </w:t>
      </w:r>
      <w:r w:rsidR="00A26F53" w:rsidRPr="00E93635">
        <w:rPr>
          <w:lang w:val="en-US"/>
        </w:rPr>
        <w:t xml:space="preserve"> </w:t>
      </w:r>
      <w:r w:rsidR="00537832" w:rsidRPr="00E93635">
        <w:rPr>
          <w:lang w:val="en-US"/>
        </w:rPr>
        <w:t>The</w:t>
      </w:r>
      <w:r w:rsidR="007308CB" w:rsidRPr="00E93635">
        <w:rPr>
          <w:lang w:val="en-US"/>
        </w:rPr>
        <w:t xml:space="preserve"> urgent need for</w:t>
      </w:r>
      <w:r w:rsidR="00537832" w:rsidRPr="00E93635">
        <w:rPr>
          <w:lang w:val="en-US"/>
        </w:rPr>
        <w:t xml:space="preserve"> a</w:t>
      </w:r>
      <w:r w:rsidR="007308CB" w:rsidRPr="00E93635">
        <w:rPr>
          <w:lang w:val="en-US"/>
        </w:rPr>
        <w:t xml:space="preserve"> paradigmatic change</w:t>
      </w:r>
      <w:r w:rsidR="00537832" w:rsidRPr="00E93635">
        <w:rPr>
          <w:lang w:val="en-US"/>
        </w:rPr>
        <w:t xml:space="preserve"> is, hence, less obvious in the case of Colander</w:t>
      </w:r>
      <w:r w:rsidR="007308CB" w:rsidRPr="00E93635">
        <w:rPr>
          <w:lang w:val="en-US"/>
        </w:rPr>
        <w:t>. This is an</w:t>
      </w:r>
      <w:r w:rsidR="00537832" w:rsidRPr="00E93635">
        <w:rPr>
          <w:lang w:val="en-US"/>
        </w:rPr>
        <w:t xml:space="preserve"> important conclusion implying</w:t>
      </w:r>
      <w:r w:rsidR="007308CB" w:rsidRPr="00E93635">
        <w:rPr>
          <w:lang w:val="en-US"/>
        </w:rPr>
        <w:t xml:space="preserve"> that Colander</w:t>
      </w:r>
      <w:r w:rsidR="00537832" w:rsidRPr="00E93635">
        <w:rPr>
          <w:lang w:val="en-US"/>
        </w:rPr>
        <w:t xml:space="preserve"> </w:t>
      </w:r>
      <w:r w:rsidR="00CD28D8">
        <w:rPr>
          <w:lang w:val="en-US"/>
        </w:rPr>
        <w:t>i</w:t>
      </w:r>
      <w:r w:rsidR="00537832" w:rsidRPr="00E93635">
        <w:rPr>
          <w:lang w:val="en-US"/>
        </w:rPr>
        <w:t>s right about mainstream being somewhat broader than claimed by heterodox economists – also when it comes to textbooks.</w:t>
      </w:r>
    </w:p>
    <w:p w:rsidR="00F0639B" w:rsidRDefault="007308CB" w:rsidP="00EF6B04">
      <w:pPr>
        <w:spacing w:line="360" w:lineRule="auto"/>
        <w:ind w:firstLine="1304"/>
        <w:rPr>
          <w:lang w:val="en-US"/>
        </w:rPr>
      </w:pPr>
      <w:r w:rsidRPr="00E93635">
        <w:rPr>
          <w:lang w:val="en-US"/>
        </w:rPr>
        <w:t xml:space="preserve">It might be added that </w:t>
      </w:r>
      <w:r w:rsidR="00537832" w:rsidRPr="00E93635">
        <w:rPr>
          <w:lang w:val="en-US"/>
        </w:rPr>
        <w:t xml:space="preserve">as an empty posture </w:t>
      </w:r>
      <w:r w:rsidR="001A68BA" w:rsidRPr="00E93635">
        <w:rPr>
          <w:lang w:val="en-US"/>
        </w:rPr>
        <w:t>Parkin</w:t>
      </w:r>
      <w:r w:rsidR="007762B6" w:rsidRPr="00E93635">
        <w:rPr>
          <w:lang w:val="en-US"/>
        </w:rPr>
        <w:t xml:space="preserve"> (2010)</w:t>
      </w:r>
      <w:r w:rsidR="001A68BA" w:rsidRPr="00E93635">
        <w:rPr>
          <w:lang w:val="en-US"/>
        </w:rPr>
        <w:t xml:space="preserve"> </w:t>
      </w:r>
      <w:r w:rsidRPr="00E93635">
        <w:rPr>
          <w:lang w:val="en-US"/>
        </w:rPr>
        <w:t>writes that</w:t>
      </w:r>
      <w:r w:rsidR="001A68BA" w:rsidRPr="00E93635">
        <w:rPr>
          <w:lang w:val="en-US"/>
        </w:rPr>
        <w:t xml:space="preserve">: ’Even the </w:t>
      </w:r>
      <w:r w:rsidR="001A68BA" w:rsidRPr="00E93635">
        <w:rPr>
          <w:i/>
          <w:lang w:val="en-US"/>
        </w:rPr>
        <w:t>idea</w:t>
      </w:r>
      <w:r w:rsidR="001A68BA" w:rsidRPr="00E93635">
        <w:rPr>
          <w:lang w:val="en-US"/>
        </w:rPr>
        <w:t xml:space="preserve"> that the market is an efficient mechanism for allocating scarce resources came into question as some political leaders trumpeted the end of capitalism and the dawn of a new economic order in which tighter regulation reigned in unfettered greed”</w:t>
      </w:r>
      <w:r w:rsidR="00D153A8" w:rsidRPr="00E93635">
        <w:rPr>
          <w:lang w:val="en-US"/>
        </w:rPr>
        <w:t xml:space="preserve"> (p. vii)</w:t>
      </w:r>
      <w:r w:rsidRPr="00E93635">
        <w:rPr>
          <w:lang w:val="en-US"/>
        </w:rPr>
        <w:t xml:space="preserve">. Empty – because Parkin leaves this sentence hanging in the air without discussing it but </w:t>
      </w:r>
      <w:r w:rsidR="00CD28D8">
        <w:rPr>
          <w:lang w:val="en-US"/>
        </w:rPr>
        <w:t xml:space="preserve">chooses to </w:t>
      </w:r>
      <w:r w:rsidR="00D9158E">
        <w:rPr>
          <w:lang w:val="en-US"/>
        </w:rPr>
        <w:t xml:space="preserve">close this </w:t>
      </w:r>
      <w:r w:rsidR="003336D0">
        <w:rPr>
          <w:lang w:val="en-US"/>
        </w:rPr>
        <w:t>important theoretical discussion</w:t>
      </w:r>
      <w:r w:rsidRPr="00E93635">
        <w:rPr>
          <w:lang w:val="en-US"/>
        </w:rPr>
        <w:t xml:space="preserve"> with the words</w:t>
      </w:r>
      <w:r w:rsidR="001A68BA" w:rsidRPr="00E93635">
        <w:rPr>
          <w:lang w:val="en-US"/>
        </w:rPr>
        <w:t>: ‘Rarely do teachers have such a rich feast on which to draw.’</w:t>
      </w:r>
      <w:r w:rsidR="006310A2">
        <w:rPr>
          <w:lang w:val="en-US"/>
        </w:rPr>
        <w:t xml:space="preserve"> Another way of handling the same point can be found in Schiller (2010, p. vii): “</w:t>
      </w:r>
      <w:r w:rsidR="006310A2" w:rsidRPr="006310A2">
        <w:rPr>
          <w:lang w:val="en-US"/>
        </w:rPr>
        <w:t>As the Great Recession of 2008-9 again reminded us, markets are powerful but not perfect…</w:t>
      </w:r>
      <w:r w:rsidR="00C20FE6">
        <w:rPr>
          <w:lang w:val="en-US"/>
        </w:rPr>
        <w:t>”</w:t>
      </w:r>
      <w:r w:rsidR="006310A2">
        <w:rPr>
          <w:lang w:val="en-US"/>
        </w:rPr>
        <w:t xml:space="preserve"> </w:t>
      </w:r>
      <w:r w:rsidR="00F0639B">
        <w:rPr>
          <w:lang w:val="en-US"/>
        </w:rPr>
        <w:t>T</w:t>
      </w:r>
      <w:r w:rsidR="006310A2">
        <w:rPr>
          <w:lang w:val="en-US"/>
        </w:rPr>
        <w:t>his observation does</w:t>
      </w:r>
      <w:r w:rsidR="00CD28D8">
        <w:rPr>
          <w:lang w:val="en-US"/>
        </w:rPr>
        <w:t>, hence,</w:t>
      </w:r>
      <w:r w:rsidR="006310A2">
        <w:rPr>
          <w:lang w:val="en-US"/>
        </w:rPr>
        <w:t xml:space="preserve"> not lead to any changes but in the preface!</w:t>
      </w:r>
      <w:r w:rsidR="00F0639B">
        <w:rPr>
          <w:lang w:val="en-US"/>
        </w:rPr>
        <w:t xml:space="preserve"> </w:t>
      </w:r>
      <w:r w:rsidR="00CD28D8">
        <w:rPr>
          <w:lang w:val="en-US"/>
        </w:rPr>
        <w:t xml:space="preserve">In all </w:t>
      </w:r>
      <w:r w:rsidR="00D9158E">
        <w:rPr>
          <w:lang w:val="en-US"/>
        </w:rPr>
        <w:t xml:space="preserve">of </w:t>
      </w:r>
      <w:r w:rsidR="00CD28D8">
        <w:rPr>
          <w:lang w:val="en-US"/>
        </w:rPr>
        <w:t>text</w:t>
      </w:r>
      <w:r w:rsidR="00D9158E">
        <w:rPr>
          <w:lang w:val="en-US"/>
        </w:rPr>
        <w:t>s</w:t>
      </w:r>
      <w:r w:rsidR="00CD28D8">
        <w:rPr>
          <w:lang w:val="en-US"/>
        </w:rPr>
        <w:t xml:space="preserve"> the</w:t>
      </w:r>
      <w:r w:rsidR="00564464" w:rsidRPr="00E93635">
        <w:rPr>
          <w:lang w:val="en-US"/>
        </w:rPr>
        <w:t xml:space="preserve"> sections devoted to the financial crisis </w:t>
      </w:r>
      <w:r w:rsidR="00CD28D8">
        <w:rPr>
          <w:lang w:val="en-US"/>
        </w:rPr>
        <w:t>cover</w:t>
      </w:r>
      <w:r w:rsidR="00564464" w:rsidRPr="00E93635">
        <w:rPr>
          <w:lang w:val="en-US"/>
        </w:rPr>
        <w:t xml:space="preserve"> a number of interesting observations </w:t>
      </w:r>
      <w:r w:rsidR="00F0639B">
        <w:rPr>
          <w:lang w:val="en-US"/>
        </w:rPr>
        <w:t xml:space="preserve">and statements </w:t>
      </w:r>
      <w:r w:rsidR="00564464" w:rsidRPr="00E93635">
        <w:rPr>
          <w:lang w:val="en-US"/>
        </w:rPr>
        <w:t xml:space="preserve">several of which </w:t>
      </w:r>
      <w:r w:rsidR="00D9158E">
        <w:rPr>
          <w:lang w:val="en-US"/>
        </w:rPr>
        <w:t>could</w:t>
      </w:r>
      <w:r w:rsidR="00564464" w:rsidRPr="00E93635">
        <w:rPr>
          <w:lang w:val="en-US"/>
        </w:rPr>
        <w:t xml:space="preserve"> </w:t>
      </w:r>
      <w:r w:rsidR="003336D0">
        <w:rPr>
          <w:lang w:val="en-US"/>
        </w:rPr>
        <w:t>in principle have led to important</w:t>
      </w:r>
      <w:r w:rsidR="00564464" w:rsidRPr="00E93635">
        <w:rPr>
          <w:lang w:val="en-US"/>
        </w:rPr>
        <w:t xml:space="preserve"> theoretical </w:t>
      </w:r>
      <w:r w:rsidR="003336D0">
        <w:rPr>
          <w:lang w:val="en-US"/>
        </w:rPr>
        <w:t>modifications</w:t>
      </w:r>
      <w:r w:rsidR="00564464" w:rsidRPr="00E93635">
        <w:rPr>
          <w:lang w:val="en-US"/>
        </w:rPr>
        <w:t xml:space="preserve"> of the textbooks</w:t>
      </w:r>
      <w:r w:rsidR="00EF6B04" w:rsidRPr="00E93635">
        <w:rPr>
          <w:lang w:val="en-US"/>
        </w:rPr>
        <w:t xml:space="preserve"> but so far nothing has happened. </w:t>
      </w:r>
    </w:p>
    <w:p w:rsidR="00EF6B04" w:rsidRPr="00E93635" w:rsidRDefault="00EF6B04" w:rsidP="00EF6B04">
      <w:pPr>
        <w:spacing w:line="360" w:lineRule="auto"/>
        <w:ind w:firstLine="1304"/>
        <w:rPr>
          <w:lang w:val="en-US"/>
        </w:rPr>
      </w:pPr>
      <w:r w:rsidRPr="00E93635">
        <w:rPr>
          <w:lang w:val="en-US"/>
        </w:rPr>
        <w:lastRenderedPageBreak/>
        <w:t xml:space="preserve">The most important quantitative change </w:t>
      </w:r>
      <w:r w:rsidR="00D9158E">
        <w:rPr>
          <w:lang w:val="en-US"/>
        </w:rPr>
        <w:t xml:space="preserve">has </w:t>
      </w:r>
      <w:r w:rsidR="001859A5" w:rsidRPr="00E93635">
        <w:rPr>
          <w:lang w:val="en-US"/>
        </w:rPr>
        <w:t xml:space="preserve">not </w:t>
      </w:r>
      <w:r w:rsidR="00D9158E">
        <w:rPr>
          <w:lang w:val="en-US"/>
        </w:rPr>
        <w:t xml:space="preserve">been </w:t>
      </w:r>
      <w:r w:rsidR="001859A5" w:rsidRPr="00E93635">
        <w:rPr>
          <w:lang w:val="en-US"/>
        </w:rPr>
        <w:t xml:space="preserve">mentioned before </w:t>
      </w:r>
      <w:r w:rsidR="00D9158E">
        <w:rPr>
          <w:lang w:val="en-US"/>
        </w:rPr>
        <w:t>as</w:t>
      </w:r>
      <w:r w:rsidR="001859A5" w:rsidRPr="00E93635">
        <w:rPr>
          <w:lang w:val="en-US"/>
        </w:rPr>
        <w:t xml:space="preserve"> it </w:t>
      </w:r>
      <w:r w:rsidRPr="00E93635">
        <w:rPr>
          <w:lang w:val="en-US"/>
        </w:rPr>
        <w:t xml:space="preserve">is so encompassing that it </w:t>
      </w:r>
      <w:r w:rsidR="001859A5" w:rsidRPr="00E93635">
        <w:rPr>
          <w:lang w:val="en-US"/>
        </w:rPr>
        <w:t xml:space="preserve">is close to </w:t>
      </w:r>
      <w:r w:rsidR="00D9158E">
        <w:rPr>
          <w:lang w:val="en-US"/>
        </w:rPr>
        <w:t>constitute</w:t>
      </w:r>
      <w:r w:rsidRPr="00E93635">
        <w:rPr>
          <w:lang w:val="en-US"/>
        </w:rPr>
        <w:t xml:space="preserve"> a qualitative change. </w:t>
      </w:r>
      <w:r w:rsidR="003336D0">
        <w:rPr>
          <w:lang w:val="en-US"/>
        </w:rPr>
        <w:t>All textbook have changed their presentation of</w:t>
      </w:r>
      <w:r w:rsidRPr="00E93635">
        <w:rPr>
          <w:lang w:val="en-US"/>
        </w:rPr>
        <w:t xml:space="preserve"> American monetary policy</w:t>
      </w:r>
      <w:r w:rsidR="003336D0">
        <w:rPr>
          <w:lang w:val="en-US"/>
        </w:rPr>
        <w:t xml:space="preserve"> as</w:t>
      </w:r>
      <w:r w:rsidR="00AB605C">
        <w:rPr>
          <w:lang w:val="en-US"/>
        </w:rPr>
        <w:t xml:space="preserve"> Fed has arrogated</w:t>
      </w:r>
      <w:r w:rsidRPr="00E93635">
        <w:rPr>
          <w:lang w:val="en-US"/>
        </w:rPr>
        <w:t xml:space="preserve"> new competences and instruments and it conducts policies </w:t>
      </w:r>
      <w:r w:rsidR="003336D0">
        <w:rPr>
          <w:lang w:val="en-US"/>
        </w:rPr>
        <w:t>un</w:t>
      </w:r>
      <w:r w:rsidRPr="00E93635">
        <w:rPr>
          <w:lang w:val="en-US"/>
        </w:rPr>
        <w:t>seen before</w:t>
      </w:r>
      <w:r w:rsidR="003336D0">
        <w:rPr>
          <w:lang w:val="en-US"/>
        </w:rPr>
        <w:t xml:space="preserve"> – in quantitative and qualitative terms</w:t>
      </w:r>
      <w:r w:rsidRPr="00E93635">
        <w:rPr>
          <w:lang w:val="en-US"/>
        </w:rPr>
        <w:t xml:space="preserve">. </w:t>
      </w:r>
      <w:r w:rsidR="005F0F11">
        <w:rPr>
          <w:lang w:val="en-US"/>
        </w:rPr>
        <w:t>A</w:t>
      </w:r>
      <w:r w:rsidRPr="00E93635">
        <w:rPr>
          <w:lang w:val="en-US"/>
        </w:rPr>
        <w:t xml:space="preserve">gain this knowledge is added on </w:t>
      </w:r>
      <w:r w:rsidR="0034607D" w:rsidRPr="00E93635">
        <w:rPr>
          <w:lang w:val="en-US"/>
        </w:rPr>
        <w:t xml:space="preserve">to </w:t>
      </w:r>
      <w:r w:rsidRPr="00E93635">
        <w:rPr>
          <w:lang w:val="en-US"/>
        </w:rPr>
        <w:t xml:space="preserve">the existing monetary chapter – without any change of the summaries condensing the essence of the chapters. </w:t>
      </w:r>
      <w:r w:rsidR="0041355E">
        <w:rPr>
          <w:lang w:val="en-US"/>
        </w:rPr>
        <w:t>Hereby, the significant changes appear</w:t>
      </w:r>
      <w:r w:rsidR="003336D0">
        <w:rPr>
          <w:lang w:val="en-US"/>
        </w:rPr>
        <w:t xml:space="preserve"> as exceptions without </w:t>
      </w:r>
      <w:r w:rsidR="00D9158E">
        <w:rPr>
          <w:lang w:val="en-US"/>
        </w:rPr>
        <w:t xml:space="preserve">any </w:t>
      </w:r>
      <w:r w:rsidR="003336D0">
        <w:rPr>
          <w:lang w:val="en-US"/>
        </w:rPr>
        <w:t>theoretical repercussions.</w:t>
      </w:r>
    </w:p>
    <w:p w:rsidR="00FD3B63" w:rsidRPr="00E93635" w:rsidRDefault="0034607D" w:rsidP="00EF6B04">
      <w:pPr>
        <w:spacing w:line="360" w:lineRule="auto"/>
        <w:ind w:firstLine="1304"/>
        <w:rPr>
          <w:lang w:val="en-US"/>
        </w:rPr>
      </w:pPr>
      <w:r w:rsidRPr="00E93635">
        <w:rPr>
          <w:lang w:val="en-US"/>
        </w:rPr>
        <w:t>Finally, t</w:t>
      </w:r>
      <w:r w:rsidR="00FD3B63" w:rsidRPr="00E93635">
        <w:rPr>
          <w:lang w:val="en-US"/>
        </w:rPr>
        <w:t>he analysis has so far concentrated on what is to be found in the textbook. The six po</w:t>
      </w:r>
      <w:r w:rsidR="003336D0">
        <w:rPr>
          <w:lang w:val="en-US"/>
        </w:rPr>
        <w:t xml:space="preserve">ints (a-f) mentioned above draws </w:t>
      </w:r>
      <w:r w:rsidR="00FD3B63" w:rsidRPr="00E93635">
        <w:rPr>
          <w:lang w:val="en-US"/>
        </w:rPr>
        <w:t xml:space="preserve">the attention to what the textbooks do </w:t>
      </w:r>
      <w:r w:rsidR="00FD3B63" w:rsidRPr="00E93635">
        <w:rPr>
          <w:i/>
          <w:lang w:val="en-US"/>
        </w:rPr>
        <w:t xml:space="preserve">not </w:t>
      </w:r>
      <w:r w:rsidR="00FD3B63" w:rsidRPr="00E93635">
        <w:rPr>
          <w:lang w:val="en-US"/>
        </w:rPr>
        <w:t xml:space="preserve">cover. None of the textbooks reflect upon the first five points. One cannot expect them to agree to these points but one could expect them to at least debate </w:t>
      </w:r>
      <w:r w:rsidR="00CD28D8">
        <w:rPr>
          <w:lang w:val="en-US"/>
        </w:rPr>
        <w:t xml:space="preserve">some of </w:t>
      </w:r>
      <w:r w:rsidR="00FD3B63" w:rsidRPr="00E93635">
        <w:rPr>
          <w:lang w:val="en-US"/>
        </w:rPr>
        <w:t xml:space="preserve">them. As indicated by the </w:t>
      </w:r>
      <w:r w:rsidR="001730D0">
        <w:rPr>
          <w:lang w:val="en-US"/>
        </w:rPr>
        <w:t>latter</w:t>
      </w:r>
      <w:r w:rsidR="001B33B3">
        <w:rPr>
          <w:lang w:val="en-US"/>
        </w:rPr>
        <w:t xml:space="preserve"> paragraph</w:t>
      </w:r>
      <w:r w:rsidR="00FD3B63" w:rsidRPr="00E93635">
        <w:rPr>
          <w:lang w:val="en-US"/>
        </w:rPr>
        <w:t xml:space="preserve"> we can only answer yes to point f</w:t>
      </w:r>
      <w:r w:rsidR="001B33B3">
        <w:rPr>
          <w:lang w:val="en-US"/>
        </w:rPr>
        <w:t>.</w:t>
      </w:r>
      <w:r w:rsidR="00FD3B63" w:rsidRPr="00E93635">
        <w:rPr>
          <w:lang w:val="en-US"/>
        </w:rPr>
        <w:t xml:space="preserve"> </w:t>
      </w:r>
      <w:r w:rsidR="001B33B3">
        <w:rPr>
          <w:lang w:val="en-US"/>
        </w:rPr>
        <w:t>(</w:t>
      </w:r>
      <w:r w:rsidR="00FD3B63" w:rsidRPr="00E93635">
        <w:rPr>
          <w:lang w:val="en-US"/>
        </w:rPr>
        <w:t>concerning the change in monetary policy</w:t>
      </w:r>
      <w:r w:rsidR="001B33B3">
        <w:rPr>
          <w:lang w:val="en-US"/>
        </w:rPr>
        <w:t>)</w:t>
      </w:r>
      <w:r w:rsidR="00FD3B63" w:rsidRPr="00E93635">
        <w:rPr>
          <w:lang w:val="en-US"/>
        </w:rPr>
        <w:t>. This leads to the conclusion that the fiscal crisis has the potential to change textbooks from 2011 and 2012</w:t>
      </w:r>
      <w:r w:rsidR="001B33B3">
        <w:rPr>
          <w:lang w:val="en-US"/>
        </w:rPr>
        <w:t xml:space="preserve"> </w:t>
      </w:r>
      <w:r w:rsidR="003F3B09">
        <w:rPr>
          <w:lang w:val="en-US"/>
        </w:rPr>
        <w:t>somewhat</w:t>
      </w:r>
      <w:r w:rsidR="001B33B3">
        <w:rPr>
          <w:lang w:val="en-US"/>
        </w:rPr>
        <w:t xml:space="preserve"> more than could be observed in the 2010 editions</w:t>
      </w:r>
      <w:r w:rsidR="00FD3B63" w:rsidRPr="00E93635">
        <w:rPr>
          <w:lang w:val="en-US"/>
        </w:rPr>
        <w:t xml:space="preserve">. </w:t>
      </w:r>
    </w:p>
    <w:p w:rsidR="00E65136" w:rsidRPr="00E93635" w:rsidRDefault="00E65136" w:rsidP="00AD3925">
      <w:pPr>
        <w:spacing w:line="360" w:lineRule="auto"/>
        <w:rPr>
          <w:b/>
          <w:lang w:val="en-US"/>
        </w:rPr>
      </w:pPr>
    </w:p>
    <w:p w:rsidR="00AD3925" w:rsidRPr="00E93635" w:rsidRDefault="00EE0B8D" w:rsidP="00153470">
      <w:pPr>
        <w:pStyle w:val="ListParagraph"/>
        <w:numPr>
          <w:ilvl w:val="0"/>
          <w:numId w:val="22"/>
        </w:numPr>
        <w:spacing w:line="360" w:lineRule="auto"/>
        <w:rPr>
          <w:rFonts w:ascii="Times New Roman" w:hAnsi="Times New Roman"/>
          <w:i/>
          <w:sz w:val="24"/>
          <w:szCs w:val="24"/>
        </w:rPr>
      </w:pPr>
      <w:r w:rsidRPr="00E93635">
        <w:rPr>
          <w:rFonts w:ascii="Times New Roman" w:hAnsi="Times New Roman"/>
          <w:i/>
          <w:sz w:val="24"/>
          <w:szCs w:val="24"/>
        </w:rPr>
        <w:t>Conclusion: Has the textbook changed markedly due to the financial crisis</w:t>
      </w:r>
      <w:r w:rsidR="00AD3925" w:rsidRPr="00E93635">
        <w:rPr>
          <w:rFonts w:ascii="Times New Roman" w:hAnsi="Times New Roman"/>
          <w:i/>
          <w:sz w:val="24"/>
          <w:szCs w:val="24"/>
        </w:rPr>
        <w:t>?</w:t>
      </w:r>
    </w:p>
    <w:p w:rsidR="00F0639B" w:rsidRDefault="0034607D" w:rsidP="00C923BC">
      <w:pPr>
        <w:spacing w:line="360" w:lineRule="auto"/>
        <w:ind w:firstLine="1304"/>
        <w:rPr>
          <w:lang w:val="en-US"/>
        </w:rPr>
      </w:pPr>
      <w:r w:rsidRPr="00E93635">
        <w:rPr>
          <w:lang w:val="en-US"/>
        </w:rPr>
        <w:t>The</w:t>
      </w:r>
      <w:r w:rsidR="00EE0B8D" w:rsidRPr="00E93635">
        <w:rPr>
          <w:lang w:val="en-US"/>
        </w:rPr>
        <w:t xml:space="preserve"> short</w:t>
      </w:r>
      <w:r w:rsidR="00E93635" w:rsidRPr="00E93635">
        <w:rPr>
          <w:lang w:val="en-US"/>
        </w:rPr>
        <w:t xml:space="preserve"> and essential</w:t>
      </w:r>
      <w:r w:rsidR="00EE0B8D" w:rsidRPr="00E93635">
        <w:rPr>
          <w:lang w:val="en-US"/>
        </w:rPr>
        <w:t xml:space="preserve"> answer to the researc</w:t>
      </w:r>
      <w:r w:rsidR="00C20FE6">
        <w:rPr>
          <w:lang w:val="en-US"/>
        </w:rPr>
        <w:t>h question is no - d</w:t>
      </w:r>
      <w:r w:rsidR="005C3A8A">
        <w:rPr>
          <w:lang w:val="en-US"/>
        </w:rPr>
        <w:t>espite</w:t>
      </w:r>
      <w:r w:rsidR="00C20FE6">
        <w:rPr>
          <w:lang w:val="en-US"/>
        </w:rPr>
        <w:t xml:space="preserve"> the fact that the textbooks have</w:t>
      </w:r>
      <w:r w:rsidR="005C3A8A">
        <w:rPr>
          <w:lang w:val="en-US"/>
        </w:rPr>
        <w:t xml:space="preserve"> been visibly changed. </w:t>
      </w:r>
      <w:r w:rsidR="005F0F11">
        <w:rPr>
          <w:lang w:val="en-US"/>
        </w:rPr>
        <w:t>T</w:t>
      </w:r>
      <w:r w:rsidR="005C3A8A">
        <w:rPr>
          <w:lang w:val="en-US"/>
        </w:rPr>
        <w:t xml:space="preserve">his change has either </w:t>
      </w:r>
      <w:r w:rsidR="00F74E02" w:rsidRPr="00E93635">
        <w:rPr>
          <w:lang w:val="en-US"/>
        </w:rPr>
        <w:t>been encapsulate</w:t>
      </w:r>
      <w:r w:rsidRPr="00E93635">
        <w:rPr>
          <w:lang w:val="en-US"/>
        </w:rPr>
        <w:t xml:space="preserve">d into </w:t>
      </w:r>
      <w:r w:rsidR="005C3A8A">
        <w:rPr>
          <w:lang w:val="en-US"/>
        </w:rPr>
        <w:t>boxes or</w:t>
      </w:r>
      <w:r w:rsidRPr="00E93635">
        <w:rPr>
          <w:lang w:val="en-US"/>
        </w:rPr>
        <w:t xml:space="preserve"> added to the original</w:t>
      </w:r>
      <w:r w:rsidR="00F74E02" w:rsidRPr="00E93635">
        <w:rPr>
          <w:lang w:val="en-US"/>
        </w:rPr>
        <w:t xml:space="preserve"> text without </w:t>
      </w:r>
      <w:r w:rsidR="00D464D7" w:rsidRPr="00E93635">
        <w:rPr>
          <w:lang w:val="en-US"/>
        </w:rPr>
        <w:t>any real interaction</w:t>
      </w:r>
      <w:r w:rsidR="00F74E02" w:rsidRPr="00E93635">
        <w:rPr>
          <w:lang w:val="en-US"/>
        </w:rPr>
        <w:t xml:space="preserve"> with </w:t>
      </w:r>
      <w:r w:rsidR="005C3A8A">
        <w:rPr>
          <w:lang w:val="en-US"/>
        </w:rPr>
        <w:t xml:space="preserve">and, hence, change of </w:t>
      </w:r>
      <w:r w:rsidR="00F74E02" w:rsidRPr="00E93635">
        <w:rPr>
          <w:lang w:val="en-US"/>
        </w:rPr>
        <w:t>the theoretical core.</w:t>
      </w:r>
      <w:r w:rsidR="00AD3925" w:rsidRPr="00E93635">
        <w:rPr>
          <w:lang w:val="en-US"/>
        </w:rPr>
        <w:t xml:space="preserve"> </w:t>
      </w:r>
      <w:r w:rsidR="00D464D7" w:rsidRPr="00E93635">
        <w:rPr>
          <w:lang w:val="en-US"/>
        </w:rPr>
        <w:t>Consequently, i</w:t>
      </w:r>
      <w:r w:rsidR="00F74E02" w:rsidRPr="00E93635">
        <w:rPr>
          <w:lang w:val="en-US"/>
        </w:rPr>
        <w:t xml:space="preserve">t has been very difficult to find </w:t>
      </w:r>
      <w:r w:rsidR="005C3A8A">
        <w:rPr>
          <w:lang w:val="en-US"/>
        </w:rPr>
        <w:t>significant</w:t>
      </w:r>
      <w:r w:rsidR="00F74E02" w:rsidRPr="00E93635">
        <w:rPr>
          <w:lang w:val="en-US"/>
        </w:rPr>
        <w:t xml:space="preserve"> sig</w:t>
      </w:r>
      <w:r w:rsidR="00D464D7" w:rsidRPr="00E93635">
        <w:rPr>
          <w:lang w:val="en-US"/>
        </w:rPr>
        <w:t>ns of actual qualitative change</w:t>
      </w:r>
      <w:r w:rsidR="00D9158E">
        <w:rPr>
          <w:lang w:val="en-US"/>
        </w:rPr>
        <w:t xml:space="preserve"> of the theoretical core</w:t>
      </w:r>
      <w:r w:rsidR="00F74E02" w:rsidRPr="00E93635">
        <w:rPr>
          <w:lang w:val="en-US"/>
        </w:rPr>
        <w:t xml:space="preserve">. It appears that </w:t>
      </w:r>
      <w:r w:rsidR="005C3A8A">
        <w:rPr>
          <w:lang w:val="en-US"/>
        </w:rPr>
        <w:t xml:space="preserve">the </w:t>
      </w:r>
      <w:r w:rsidR="00F74E02" w:rsidRPr="00E93635">
        <w:rPr>
          <w:lang w:val="en-US"/>
        </w:rPr>
        <w:t xml:space="preserve">coping </w:t>
      </w:r>
      <w:r w:rsidR="005C3A8A">
        <w:rPr>
          <w:lang w:val="en-US"/>
        </w:rPr>
        <w:t xml:space="preserve">strategy has </w:t>
      </w:r>
      <w:r w:rsidR="00F74E02" w:rsidRPr="00E93635">
        <w:rPr>
          <w:lang w:val="en-US"/>
        </w:rPr>
        <w:t xml:space="preserve">essentially </w:t>
      </w:r>
      <w:r w:rsidR="005C3A8A">
        <w:rPr>
          <w:lang w:val="en-US"/>
        </w:rPr>
        <w:t>been concerned with</w:t>
      </w:r>
      <w:r w:rsidR="00D464D7" w:rsidRPr="00E93635">
        <w:rPr>
          <w:lang w:val="en-US"/>
        </w:rPr>
        <w:t xml:space="preserve"> </w:t>
      </w:r>
      <w:r w:rsidR="00F74E02" w:rsidRPr="00E93635">
        <w:rPr>
          <w:lang w:val="en-US"/>
        </w:rPr>
        <w:t xml:space="preserve">making changes look rather dramatic in the preface while </w:t>
      </w:r>
      <w:r w:rsidR="00D9158E">
        <w:rPr>
          <w:lang w:val="en-US"/>
        </w:rPr>
        <w:t>leaving</w:t>
      </w:r>
      <w:r w:rsidR="005C3A8A">
        <w:rPr>
          <w:lang w:val="en-US"/>
        </w:rPr>
        <w:t xml:space="preserve"> </w:t>
      </w:r>
      <w:r w:rsidR="00F74E02" w:rsidRPr="00E93635">
        <w:rPr>
          <w:lang w:val="en-US"/>
        </w:rPr>
        <w:t xml:space="preserve">everything basically the same. </w:t>
      </w:r>
    </w:p>
    <w:p w:rsidR="00AD3925" w:rsidRPr="00E93635" w:rsidRDefault="00F74E02" w:rsidP="00C923BC">
      <w:pPr>
        <w:spacing w:line="360" w:lineRule="auto"/>
        <w:ind w:firstLine="1304"/>
        <w:rPr>
          <w:lang w:val="en-US"/>
        </w:rPr>
      </w:pPr>
      <w:r w:rsidRPr="00E93635">
        <w:rPr>
          <w:lang w:val="en-US"/>
        </w:rPr>
        <w:t xml:space="preserve">The second overall result is that there are some indications that the textbooks have far from digested the financial crisis. The financial crisis has implied rather drastic changes in use of instruments as well as choice of political goals. This indicates an unresolved potential for change </w:t>
      </w:r>
      <w:r w:rsidR="00D83543">
        <w:rPr>
          <w:lang w:val="en-US"/>
        </w:rPr>
        <w:t xml:space="preserve">which might </w:t>
      </w:r>
      <w:r w:rsidRPr="00E93635">
        <w:rPr>
          <w:lang w:val="en-US"/>
        </w:rPr>
        <w:t>mak</w:t>
      </w:r>
      <w:r w:rsidR="00D83543">
        <w:rPr>
          <w:lang w:val="en-US"/>
        </w:rPr>
        <w:t>e</w:t>
      </w:r>
      <w:r w:rsidRPr="00E93635">
        <w:rPr>
          <w:lang w:val="en-US"/>
        </w:rPr>
        <w:t xml:space="preserve"> it difficult to uphold the </w:t>
      </w:r>
      <w:r w:rsidR="00470BB9" w:rsidRPr="00E93635">
        <w:rPr>
          <w:lang w:val="en-US"/>
        </w:rPr>
        <w:t>encapsulating</w:t>
      </w:r>
      <w:r w:rsidRPr="00E93635">
        <w:rPr>
          <w:lang w:val="en-US"/>
        </w:rPr>
        <w:t xml:space="preserve"> strategy. </w:t>
      </w:r>
      <w:r w:rsidR="00D83543">
        <w:rPr>
          <w:lang w:val="en-US"/>
        </w:rPr>
        <w:t xml:space="preserve"> On t</w:t>
      </w:r>
      <w:r w:rsidR="005C3A8A">
        <w:rPr>
          <w:lang w:val="en-US"/>
        </w:rPr>
        <w:t>he other hand the analysis presented</w:t>
      </w:r>
      <w:r w:rsidR="00D83543">
        <w:rPr>
          <w:lang w:val="en-US"/>
        </w:rPr>
        <w:t xml:space="preserve"> </w:t>
      </w:r>
      <w:r w:rsidR="00C20FE6">
        <w:rPr>
          <w:lang w:val="en-US"/>
        </w:rPr>
        <w:t>as well as</w:t>
      </w:r>
      <w:r w:rsidR="00D83543">
        <w:rPr>
          <w:lang w:val="en-US"/>
        </w:rPr>
        <w:t xml:space="preserve"> the theoretical framework </w:t>
      </w:r>
      <w:r w:rsidR="005C3A8A">
        <w:rPr>
          <w:lang w:val="en-US"/>
        </w:rPr>
        <w:t xml:space="preserve">applied </w:t>
      </w:r>
      <w:r w:rsidR="00D83543">
        <w:rPr>
          <w:lang w:val="en-US"/>
        </w:rPr>
        <w:t xml:space="preserve">indicate that </w:t>
      </w:r>
      <w:r w:rsidR="00CD28D8">
        <w:rPr>
          <w:lang w:val="en-US"/>
        </w:rPr>
        <w:t xml:space="preserve">theoretical </w:t>
      </w:r>
      <w:r w:rsidR="00D83543">
        <w:rPr>
          <w:lang w:val="en-US"/>
        </w:rPr>
        <w:t>change</w:t>
      </w:r>
      <w:r w:rsidR="00CD28D8">
        <w:rPr>
          <w:lang w:val="en-US"/>
        </w:rPr>
        <w:t>s</w:t>
      </w:r>
      <w:r w:rsidR="00D83543">
        <w:rPr>
          <w:lang w:val="en-US"/>
        </w:rPr>
        <w:t xml:space="preserve"> will only appear in a very long term perspective. The </w:t>
      </w:r>
      <w:r w:rsidR="005C3A8A">
        <w:rPr>
          <w:lang w:val="en-US"/>
        </w:rPr>
        <w:t xml:space="preserve">possible </w:t>
      </w:r>
      <w:r w:rsidR="00D83543">
        <w:rPr>
          <w:lang w:val="en-US"/>
        </w:rPr>
        <w:t xml:space="preserve">development trend could be traced by </w:t>
      </w:r>
      <w:r w:rsidRPr="00E93635">
        <w:rPr>
          <w:lang w:val="en-US"/>
        </w:rPr>
        <w:t>repeat</w:t>
      </w:r>
      <w:r w:rsidR="00D83543">
        <w:rPr>
          <w:lang w:val="en-US"/>
        </w:rPr>
        <w:t>ing</w:t>
      </w:r>
      <w:r w:rsidRPr="00E93635">
        <w:rPr>
          <w:lang w:val="en-US"/>
        </w:rPr>
        <w:t xml:space="preserve"> the analysis for textbooks from 2011 and</w:t>
      </w:r>
      <w:r w:rsidR="00AD3925" w:rsidRPr="00E93635">
        <w:rPr>
          <w:lang w:val="en-US"/>
        </w:rPr>
        <w:t xml:space="preserve"> 2012. </w:t>
      </w:r>
      <w:r w:rsidR="0041355E">
        <w:rPr>
          <w:lang w:val="en-US"/>
        </w:rPr>
        <w:t xml:space="preserve">One possible approach </w:t>
      </w:r>
      <w:r w:rsidR="005C3A8A">
        <w:rPr>
          <w:lang w:val="en-US"/>
        </w:rPr>
        <w:t>to such an analysis could be to observe</w:t>
      </w:r>
      <w:r w:rsidRPr="00E93635">
        <w:rPr>
          <w:lang w:val="en-US"/>
        </w:rPr>
        <w:t xml:space="preserve"> whether and how the textbooks position themselves to the more recent discussion on ’au</w:t>
      </w:r>
      <w:r w:rsidR="0038772D">
        <w:rPr>
          <w:lang w:val="en-US"/>
        </w:rPr>
        <w:t xml:space="preserve">sterity’ versus ’growth’ </w:t>
      </w:r>
      <w:r w:rsidR="00CD28D8">
        <w:rPr>
          <w:lang w:val="en-US"/>
        </w:rPr>
        <w:t xml:space="preserve">as a recipe </w:t>
      </w:r>
      <w:r w:rsidR="0038772D">
        <w:rPr>
          <w:lang w:val="en-US"/>
        </w:rPr>
        <w:t>to counteract</w:t>
      </w:r>
      <w:r w:rsidRPr="00E93635">
        <w:rPr>
          <w:lang w:val="en-US"/>
        </w:rPr>
        <w:t xml:space="preserve"> the negative repercussions of the financial crisis.</w:t>
      </w:r>
    </w:p>
    <w:p w:rsidR="00E65136" w:rsidRPr="00E93635" w:rsidRDefault="00EF1CE0" w:rsidP="00C923BC">
      <w:pPr>
        <w:spacing w:line="360" w:lineRule="auto"/>
        <w:ind w:firstLine="1304"/>
        <w:rPr>
          <w:lang w:val="en-US"/>
        </w:rPr>
      </w:pPr>
      <w:r w:rsidRPr="00E93635">
        <w:rPr>
          <w:lang w:val="en-US"/>
        </w:rPr>
        <w:lastRenderedPageBreak/>
        <w:t xml:space="preserve">A third important result is an important modification – mainstream textbooks is a </w:t>
      </w:r>
      <w:r w:rsidR="00D9158E">
        <w:rPr>
          <w:lang w:val="en-US"/>
        </w:rPr>
        <w:t xml:space="preserve">much </w:t>
      </w:r>
      <w:r w:rsidRPr="00E93635">
        <w:rPr>
          <w:lang w:val="en-US"/>
        </w:rPr>
        <w:t>wider concept th</w:t>
      </w:r>
      <w:r w:rsidR="001F097C">
        <w:rPr>
          <w:lang w:val="en-US"/>
        </w:rPr>
        <w:t xml:space="preserve">an imagined by </w:t>
      </w:r>
      <w:r w:rsidR="0038772D">
        <w:rPr>
          <w:lang w:val="en-US"/>
        </w:rPr>
        <w:t xml:space="preserve">most </w:t>
      </w:r>
      <w:r w:rsidR="001F097C">
        <w:rPr>
          <w:lang w:val="en-US"/>
        </w:rPr>
        <w:t xml:space="preserve">heterodox economists. Mainstream textbook writers </w:t>
      </w:r>
      <w:r w:rsidR="000B0606">
        <w:rPr>
          <w:lang w:val="en-US"/>
        </w:rPr>
        <w:t>cover</w:t>
      </w:r>
      <w:r w:rsidR="0038772D">
        <w:rPr>
          <w:lang w:val="en-US"/>
        </w:rPr>
        <w:t xml:space="preserve"> a continuum going from</w:t>
      </w:r>
      <w:r w:rsidR="0034607D" w:rsidRPr="00E93635">
        <w:rPr>
          <w:lang w:val="en-US"/>
        </w:rPr>
        <w:t xml:space="preserve"> </w:t>
      </w:r>
      <w:r w:rsidRPr="00E93635">
        <w:rPr>
          <w:lang w:val="en-US"/>
        </w:rPr>
        <w:t>market fundamentalists</w:t>
      </w:r>
      <w:r w:rsidR="0034607D" w:rsidRPr="00E93635">
        <w:rPr>
          <w:lang w:val="en-US"/>
        </w:rPr>
        <w:t xml:space="preserve"> in disguise </w:t>
      </w:r>
      <w:r w:rsidR="0038772D">
        <w:rPr>
          <w:lang w:val="en-US"/>
        </w:rPr>
        <w:t>to</w:t>
      </w:r>
      <w:r w:rsidR="001F097C">
        <w:rPr>
          <w:lang w:val="en-US"/>
        </w:rPr>
        <w:t xml:space="preserve"> believers in</w:t>
      </w:r>
      <w:r w:rsidR="0034607D" w:rsidRPr="00E93635">
        <w:rPr>
          <w:lang w:val="en-US"/>
        </w:rPr>
        <w:t xml:space="preserve"> capitalism </w:t>
      </w:r>
      <w:r w:rsidR="001F097C">
        <w:rPr>
          <w:lang w:val="en-US"/>
        </w:rPr>
        <w:t>being</w:t>
      </w:r>
      <w:r w:rsidR="0034607D" w:rsidRPr="00E93635">
        <w:rPr>
          <w:lang w:val="en-US"/>
        </w:rPr>
        <w:t xml:space="preserve"> fundamentally</w:t>
      </w:r>
      <w:r w:rsidRPr="00E93635">
        <w:rPr>
          <w:lang w:val="en-US"/>
        </w:rPr>
        <w:t xml:space="preserve"> unstable.</w:t>
      </w:r>
    </w:p>
    <w:p w:rsidR="00A34F94" w:rsidRPr="00E93635" w:rsidRDefault="00A34F94" w:rsidP="00A34F94">
      <w:pPr>
        <w:spacing w:line="360" w:lineRule="auto"/>
        <w:ind w:firstLine="1304"/>
        <w:rPr>
          <w:lang w:val="en-US"/>
        </w:rPr>
      </w:pPr>
      <w:r w:rsidRPr="00E93635">
        <w:rPr>
          <w:lang w:val="en-US"/>
        </w:rPr>
        <w:t xml:space="preserve">One could argue that it is too early to see any real change in textbooks as a reaction to the financial crisis. </w:t>
      </w:r>
      <w:r>
        <w:rPr>
          <w:lang w:val="en-US"/>
        </w:rPr>
        <w:t>It counts as a counterargument</w:t>
      </w:r>
      <w:r w:rsidRPr="00E93635">
        <w:rPr>
          <w:lang w:val="en-US"/>
        </w:rPr>
        <w:t xml:space="preserve">, </w:t>
      </w:r>
      <w:r>
        <w:rPr>
          <w:lang w:val="en-US"/>
        </w:rPr>
        <w:t xml:space="preserve">that </w:t>
      </w:r>
      <w:r w:rsidRPr="00E93635">
        <w:rPr>
          <w:lang w:val="en-US"/>
        </w:rPr>
        <w:t>the textbook devoting most attention to the financial crisis is from September 2009 (Colander, 2010), while the other textbooks with one exception (Parkin, 2010) have been published in 2010.</w:t>
      </w:r>
      <w:r w:rsidRPr="00E93635">
        <w:rPr>
          <w:rStyle w:val="FootnoteReference"/>
        </w:rPr>
        <w:footnoteReference w:id="24"/>
      </w:r>
      <w:r w:rsidRPr="00E93635">
        <w:rPr>
          <w:lang w:val="en-US"/>
        </w:rPr>
        <w:t xml:space="preserve"> This indicates tha</w:t>
      </w:r>
      <w:r>
        <w:rPr>
          <w:lang w:val="en-US"/>
        </w:rPr>
        <w:t>t the approach is more decisive</w:t>
      </w:r>
      <w:r w:rsidRPr="00E93635">
        <w:rPr>
          <w:lang w:val="en-US"/>
        </w:rPr>
        <w:t xml:space="preserve"> </w:t>
      </w:r>
      <w:r>
        <w:rPr>
          <w:lang w:val="en-US"/>
        </w:rPr>
        <w:t xml:space="preserve">than </w:t>
      </w:r>
      <w:r w:rsidRPr="00E93635">
        <w:rPr>
          <w:lang w:val="en-US"/>
        </w:rPr>
        <w:t xml:space="preserve">the time factor. </w:t>
      </w:r>
      <w:r>
        <w:rPr>
          <w:lang w:val="en-US"/>
        </w:rPr>
        <w:t xml:space="preserve">Consequently, we should also expect </w:t>
      </w:r>
      <w:r w:rsidRPr="00E93635">
        <w:rPr>
          <w:lang w:val="en-US"/>
        </w:rPr>
        <w:t>change</w:t>
      </w:r>
      <w:r>
        <w:rPr>
          <w:lang w:val="en-US"/>
        </w:rPr>
        <w:t>s to</w:t>
      </w:r>
      <w:r w:rsidRPr="00E93635">
        <w:rPr>
          <w:lang w:val="en-US"/>
        </w:rPr>
        <w:t xml:space="preserve"> be </w:t>
      </w:r>
      <w:r>
        <w:rPr>
          <w:lang w:val="en-US"/>
        </w:rPr>
        <w:t xml:space="preserve">very </w:t>
      </w:r>
      <w:r w:rsidRPr="00E93635">
        <w:rPr>
          <w:lang w:val="en-US"/>
        </w:rPr>
        <w:t>limited in textbooks from 2011.</w:t>
      </w:r>
    </w:p>
    <w:p w:rsidR="00A34F94" w:rsidRDefault="00A34F94" w:rsidP="00A34F94">
      <w:pPr>
        <w:spacing w:line="360" w:lineRule="auto"/>
        <w:ind w:firstLine="1304"/>
        <w:rPr>
          <w:lang w:val="en-US"/>
        </w:rPr>
      </w:pPr>
      <w:r w:rsidRPr="00E93635">
        <w:rPr>
          <w:lang w:val="en-US"/>
        </w:rPr>
        <w:t xml:space="preserve">One lesson </w:t>
      </w:r>
      <w:r>
        <w:rPr>
          <w:lang w:val="en-US"/>
        </w:rPr>
        <w:t xml:space="preserve">to be drawn </w:t>
      </w:r>
      <w:r w:rsidRPr="00E93635">
        <w:rPr>
          <w:lang w:val="en-US"/>
        </w:rPr>
        <w:t>from the thirties is, however, that the actual economic development might be an important joker. If the American economy runs into even more serious problems</w:t>
      </w:r>
      <w:r>
        <w:rPr>
          <w:lang w:val="en-US"/>
        </w:rPr>
        <w:t>, this might trigger theoretical</w:t>
      </w:r>
      <w:r w:rsidRPr="00E93635">
        <w:rPr>
          <w:lang w:val="en-US"/>
        </w:rPr>
        <w:t xml:space="preserve"> change</w:t>
      </w:r>
      <w:r>
        <w:rPr>
          <w:lang w:val="en-US"/>
        </w:rPr>
        <w:t>s</w:t>
      </w:r>
      <w:r w:rsidRPr="00E93635">
        <w:rPr>
          <w:lang w:val="en-US"/>
        </w:rPr>
        <w:t xml:space="preserve"> in textbooks. On the oth</w:t>
      </w:r>
      <w:r>
        <w:rPr>
          <w:lang w:val="en-US"/>
        </w:rPr>
        <w:t>er hand the present analysis and the past</w:t>
      </w:r>
      <w:r w:rsidRPr="00E93635">
        <w:rPr>
          <w:lang w:val="en-US"/>
        </w:rPr>
        <w:t xml:space="preserve"> development of textbooks indicate that textbooks have so far managed to be very flexible without compromising the paradigmatic core.</w:t>
      </w:r>
    </w:p>
    <w:p w:rsidR="003F48D3" w:rsidRPr="00E93635" w:rsidRDefault="003F48D3" w:rsidP="003F48D3">
      <w:pPr>
        <w:spacing w:line="360" w:lineRule="auto"/>
        <w:ind w:firstLine="1304"/>
        <w:rPr>
          <w:lang w:val="en-US"/>
        </w:rPr>
      </w:pPr>
      <w:r w:rsidRPr="00E93635">
        <w:rPr>
          <w:lang w:val="en-US"/>
        </w:rPr>
        <w:t>Looking ahead it would be of interest to investigate whether different coping strategies towards the financial crisis will change the duopolistic character of the textbook market between existing textbook writers</w:t>
      </w:r>
      <w:r w:rsidR="001F097C">
        <w:rPr>
          <w:lang w:val="en-US"/>
        </w:rPr>
        <w:t>. T</w:t>
      </w:r>
      <w:r w:rsidRPr="00E93635">
        <w:rPr>
          <w:lang w:val="en-US"/>
        </w:rPr>
        <w:t xml:space="preserve">he financial crisis </w:t>
      </w:r>
      <w:r w:rsidR="001F097C">
        <w:rPr>
          <w:lang w:val="en-US"/>
        </w:rPr>
        <w:t>might even</w:t>
      </w:r>
      <w:r w:rsidRPr="00E93635">
        <w:rPr>
          <w:lang w:val="en-US"/>
        </w:rPr>
        <w:t xml:space="preserve"> work as a ’window of opportunity’ giving new players a chance on the market. </w:t>
      </w:r>
      <w:r w:rsidR="006956BA">
        <w:rPr>
          <w:lang w:val="en-US"/>
        </w:rPr>
        <w:tab/>
      </w:r>
    </w:p>
    <w:p w:rsidR="003F48D3" w:rsidRPr="00E93635" w:rsidRDefault="003F48D3" w:rsidP="00C923BC">
      <w:pPr>
        <w:spacing w:line="360" w:lineRule="auto"/>
        <w:ind w:firstLine="1304"/>
        <w:rPr>
          <w:lang w:val="en-US"/>
        </w:rPr>
      </w:pPr>
    </w:p>
    <w:p w:rsidR="00AD3925" w:rsidRPr="00E93635" w:rsidRDefault="00AD3925" w:rsidP="00AD3925">
      <w:pPr>
        <w:spacing w:line="360" w:lineRule="auto"/>
        <w:rPr>
          <w:i/>
          <w:lang w:val="en-US"/>
        </w:rPr>
      </w:pPr>
    </w:p>
    <w:p w:rsidR="00B17EE0" w:rsidRPr="00E93635" w:rsidRDefault="00EF1CE0" w:rsidP="00C11A67">
      <w:pPr>
        <w:rPr>
          <w:i/>
          <w:sz w:val="22"/>
          <w:szCs w:val="22"/>
          <w:lang w:val="en-US"/>
        </w:rPr>
      </w:pPr>
      <w:r w:rsidRPr="00E93635">
        <w:rPr>
          <w:i/>
          <w:sz w:val="22"/>
          <w:szCs w:val="22"/>
          <w:lang w:val="en-US"/>
        </w:rPr>
        <w:t>Lit</w:t>
      </w:r>
      <w:r w:rsidR="00C923BC" w:rsidRPr="00E93635">
        <w:rPr>
          <w:i/>
          <w:sz w:val="22"/>
          <w:szCs w:val="22"/>
          <w:lang w:val="en-US"/>
        </w:rPr>
        <w:t>eratur</w:t>
      </w:r>
      <w:r w:rsidRPr="00E93635">
        <w:rPr>
          <w:i/>
          <w:sz w:val="22"/>
          <w:szCs w:val="22"/>
          <w:lang w:val="en-US"/>
        </w:rPr>
        <w:t>e</w:t>
      </w:r>
      <w:r w:rsidR="005932FD" w:rsidRPr="00E93635">
        <w:rPr>
          <w:i/>
          <w:sz w:val="22"/>
          <w:szCs w:val="22"/>
          <w:lang w:val="en-US"/>
        </w:rPr>
        <w:t xml:space="preserve"> (</w:t>
      </w:r>
      <w:r w:rsidRPr="00E93635">
        <w:rPr>
          <w:i/>
          <w:sz w:val="22"/>
          <w:szCs w:val="22"/>
          <w:lang w:val="en-US"/>
        </w:rPr>
        <w:t xml:space="preserve">except the </w:t>
      </w:r>
      <w:r w:rsidR="00470BB9" w:rsidRPr="00E93635">
        <w:rPr>
          <w:i/>
          <w:sz w:val="22"/>
          <w:szCs w:val="22"/>
          <w:lang w:val="en-US"/>
        </w:rPr>
        <w:t>analyzed</w:t>
      </w:r>
      <w:r w:rsidRPr="00E93635">
        <w:rPr>
          <w:i/>
          <w:sz w:val="22"/>
          <w:szCs w:val="22"/>
          <w:lang w:val="en-US"/>
        </w:rPr>
        <w:t xml:space="preserve"> textbooks from</w:t>
      </w:r>
      <w:r w:rsidR="00B601AB" w:rsidRPr="00E93635">
        <w:rPr>
          <w:i/>
          <w:sz w:val="22"/>
          <w:szCs w:val="22"/>
          <w:lang w:val="en-US"/>
        </w:rPr>
        <w:t xml:space="preserve"> </w:t>
      </w:r>
      <w:r w:rsidR="00266F8A" w:rsidRPr="00E93635">
        <w:rPr>
          <w:i/>
          <w:sz w:val="22"/>
          <w:szCs w:val="22"/>
          <w:lang w:val="en-US"/>
        </w:rPr>
        <w:t>2010)</w:t>
      </w:r>
    </w:p>
    <w:p w:rsidR="006F631F" w:rsidRDefault="006F631F" w:rsidP="00C923BC">
      <w:pPr>
        <w:rPr>
          <w:sz w:val="22"/>
          <w:szCs w:val="22"/>
          <w:lang w:val="en-US" w:eastAsia="en-US"/>
        </w:rPr>
      </w:pPr>
    </w:p>
    <w:p w:rsidR="00C923BC" w:rsidRPr="00E93635" w:rsidRDefault="00A743F1" w:rsidP="00C923BC">
      <w:pPr>
        <w:rPr>
          <w:sz w:val="22"/>
          <w:szCs w:val="22"/>
          <w:lang w:val="en-US" w:eastAsia="en-US"/>
        </w:rPr>
      </w:pPr>
      <w:r w:rsidRPr="00E93635">
        <w:rPr>
          <w:sz w:val="22"/>
          <w:szCs w:val="22"/>
          <w:lang w:val="en-US" w:eastAsia="en-US"/>
        </w:rPr>
        <w:t>Baumol, William J.</w:t>
      </w:r>
      <w:r w:rsidR="00EF1CE0" w:rsidRPr="00E93635">
        <w:rPr>
          <w:sz w:val="22"/>
          <w:szCs w:val="22"/>
          <w:lang w:val="en-US" w:eastAsia="en-US"/>
        </w:rPr>
        <w:t xml:space="preserve"> and</w:t>
      </w:r>
      <w:r w:rsidR="002B1938" w:rsidRPr="00E93635">
        <w:rPr>
          <w:sz w:val="22"/>
          <w:szCs w:val="22"/>
          <w:lang w:val="en-US" w:eastAsia="en-US"/>
        </w:rPr>
        <w:t xml:space="preserve"> </w:t>
      </w:r>
      <w:r w:rsidRPr="00E93635">
        <w:rPr>
          <w:sz w:val="22"/>
          <w:szCs w:val="22"/>
          <w:lang w:val="en-US" w:eastAsia="en-US"/>
        </w:rPr>
        <w:t xml:space="preserve">Alan S. </w:t>
      </w:r>
      <w:r w:rsidR="00D9158E">
        <w:rPr>
          <w:sz w:val="22"/>
          <w:szCs w:val="22"/>
          <w:lang w:val="en-US" w:eastAsia="en-US"/>
        </w:rPr>
        <w:t xml:space="preserve">Blinder (2009), </w:t>
      </w:r>
      <w:r w:rsidRPr="00E93635">
        <w:rPr>
          <w:sz w:val="22"/>
          <w:szCs w:val="22"/>
          <w:lang w:val="en-US" w:eastAsia="en-US"/>
        </w:rPr>
        <w:t xml:space="preserve"> </w:t>
      </w:r>
      <w:r w:rsidRPr="00E93635">
        <w:rPr>
          <w:i/>
          <w:sz w:val="22"/>
          <w:szCs w:val="22"/>
          <w:lang w:val="en-US" w:eastAsia="en-US"/>
        </w:rPr>
        <w:t>Economics: Principles and Policy</w:t>
      </w:r>
      <w:r w:rsidR="00936CF9" w:rsidRPr="00E93635">
        <w:rPr>
          <w:sz w:val="22"/>
          <w:szCs w:val="22"/>
          <w:lang w:val="en-US" w:eastAsia="en-US"/>
        </w:rPr>
        <w:t xml:space="preserve">, Eleventh Edition, </w:t>
      </w:r>
    </w:p>
    <w:p w:rsidR="002B1938" w:rsidRPr="00E93635" w:rsidRDefault="00C923BC" w:rsidP="00D760E9">
      <w:pPr>
        <w:rPr>
          <w:sz w:val="22"/>
          <w:szCs w:val="22"/>
          <w:lang w:val="en-US" w:eastAsia="en-US"/>
        </w:rPr>
      </w:pPr>
      <w:r w:rsidRPr="00E93635">
        <w:rPr>
          <w:sz w:val="22"/>
          <w:szCs w:val="22"/>
          <w:lang w:val="en-US" w:eastAsia="en-US"/>
        </w:rPr>
        <w:tab/>
      </w:r>
      <w:r w:rsidR="00F00A55" w:rsidRPr="00E93635">
        <w:rPr>
          <w:sz w:val="22"/>
          <w:szCs w:val="22"/>
          <w:lang w:val="en-US"/>
        </w:rPr>
        <w:t>Mason:</w:t>
      </w:r>
      <w:r w:rsidR="00A743F1" w:rsidRPr="00E93635">
        <w:rPr>
          <w:sz w:val="22"/>
          <w:szCs w:val="22"/>
          <w:lang w:val="en-US"/>
        </w:rPr>
        <w:t> South-Western Cengage Learning</w:t>
      </w:r>
    </w:p>
    <w:p w:rsidR="00786ADE" w:rsidRDefault="0053042F" w:rsidP="00786ADE">
      <w:pPr>
        <w:contextualSpacing/>
        <w:rPr>
          <w:sz w:val="22"/>
          <w:szCs w:val="22"/>
          <w:lang w:val="en-US"/>
        </w:rPr>
      </w:pPr>
      <w:r w:rsidRPr="00E93635">
        <w:rPr>
          <w:sz w:val="22"/>
          <w:szCs w:val="22"/>
          <w:lang w:val="en-US"/>
        </w:rPr>
        <w:t>Colander, David</w:t>
      </w:r>
      <w:r w:rsidR="00D9158E">
        <w:rPr>
          <w:sz w:val="22"/>
          <w:szCs w:val="22"/>
          <w:lang w:val="en-US"/>
        </w:rPr>
        <w:t xml:space="preserve"> (2010),</w:t>
      </w:r>
      <w:r>
        <w:rPr>
          <w:sz w:val="22"/>
          <w:szCs w:val="22"/>
          <w:lang w:val="en-US"/>
        </w:rPr>
        <w:t xml:space="preserve"> </w:t>
      </w:r>
      <w:r w:rsidR="00786ADE">
        <w:rPr>
          <w:sz w:val="22"/>
          <w:szCs w:val="22"/>
          <w:lang w:val="en-US"/>
        </w:rPr>
        <w:t>“Introduction to Symposium on the Financial Crisis and the Teaching of</w:t>
      </w:r>
    </w:p>
    <w:p w:rsidR="0053042F" w:rsidRPr="00786ADE" w:rsidRDefault="00786ADE" w:rsidP="00786ADE">
      <w:pPr>
        <w:ind w:firstLine="1304"/>
        <w:contextualSpacing/>
        <w:rPr>
          <w:sz w:val="22"/>
          <w:szCs w:val="22"/>
          <w:lang w:val="en-US"/>
        </w:rPr>
      </w:pPr>
      <w:r>
        <w:rPr>
          <w:sz w:val="22"/>
          <w:szCs w:val="22"/>
          <w:lang w:val="en-US"/>
        </w:rPr>
        <w:t>Macroec</w:t>
      </w:r>
      <w:r w:rsidR="00ED3DB6">
        <w:rPr>
          <w:sz w:val="22"/>
          <w:szCs w:val="22"/>
          <w:lang w:val="en-US"/>
        </w:rPr>
        <w:t>o</w:t>
      </w:r>
      <w:r>
        <w:rPr>
          <w:sz w:val="22"/>
          <w:szCs w:val="22"/>
          <w:lang w:val="en-US"/>
        </w:rPr>
        <w:t xml:space="preserve">nomics”, </w:t>
      </w:r>
      <w:r>
        <w:rPr>
          <w:i/>
          <w:sz w:val="22"/>
          <w:szCs w:val="22"/>
          <w:lang w:val="en-US"/>
        </w:rPr>
        <w:t>The Journal of Economic Education</w:t>
      </w:r>
      <w:r>
        <w:rPr>
          <w:sz w:val="22"/>
          <w:szCs w:val="22"/>
          <w:lang w:val="en-US"/>
        </w:rPr>
        <w:t>, 41(4), p</w:t>
      </w:r>
      <w:r w:rsidR="00F718B7">
        <w:rPr>
          <w:sz w:val="22"/>
          <w:szCs w:val="22"/>
          <w:lang w:val="en-US"/>
        </w:rPr>
        <w:t>p</w:t>
      </w:r>
      <w:r>
        <w:rPr>
          <w:sz w:val="22"/>
          <w:szCs w:val="22"/>
          <w:lang w:val="en-US"/>
        </w:rPr>
        <w:t>. 383-384</w:t>
      </w:r>
    </w:p>
    <w:p w:rsidR="00C923BC" w:rsidRPr="00E93635" w:rsidRDefault="008B77FC" w:rsidP="00CF6C31">
      <w:pPr>
        <w:contextualSpacing/>
        <w:rPr>
          <w:i/>
          <w:sz w:val="22"/>
          <w:szCs w:val="22"/>
          <w:lang w:val="en-US"/>
        </w:rPr>
      </w:pPr>
      <w:r w:rsidRPr="00E93635">
        <w:rPr>
          <w:sz w:val="22"/>
          <w:szCs w:val="22"/>
          <w:lang w:val="en-US"/>
        </w:rPr>
        <w:t>Colander, David</w:t>
      </w:r>
      <w:r w:rsidR="00D9158E">
        <w:rPr>
          <w:sz w:val="22"/>
          <w:szCs w:val="22"/>
          <w:lang w:val="en-US"/>
        </w:rPr>
        <w:t xml:space="preserve"> (2005),</w:t>
      </w:r>
      <w:r w:rsidR="00AE224D" w:rsidRPr="00E93635">
        <w:rPr>
          <w:sz w:val="22"/>
          <w:szCs w:val="22"/>
          <w:lang w:val="en-US"/>
        </w:rPr>
        <w:t xml:space="preserve"> </w:t>
      </w:r>
      <w:r w:rsidR="00D9158E">
        <w:rPr>
          <w:sz w:val="22"/>
          <w:szCs w:val="22"/>
          <w:lang w:val="en-US"/>
        </w:rPr>
        <w:t>“</w:t>
      </w:r>
      <w:r w:rsidR="00C656DC" w:rsidRPr="00E93635">
        <w:rPr>
          <w:sz w:val="22"/>
          <w:szCs w:val="22"/>
          <w:lang w:val="en-US"/>
        </w:rPr>
        <w:t>What Econom</w:t>
      </w:r>
      <w:r w:rsidR="00AE224D" w:rsidRPr="00E93635">
        <w:rPr>
          <w:sz w:val="22"/>
          <w:szCs w:val="22"/>
          <w:lang w:val="en-US"/>
        </w:rPr>
        <w:t>ist Teach and What Economist Do</w:t>
      </w:r>
      <w:r w:rsidR="00D9158E">
        <w:rPr>
          <w:sz w:val="22"/>
          <w:szCs w:val="22"/>
          <w:lang w:val="en-US"/>
        </w:rPr>
        <w:t>”</w:t>
      </w:r>
      <w:r w:rsidR="00C656DC" w:rsidRPr="00E93635">
        <w:rPr>
          <w:sz w:val="22"/>
          <w:szCs w:val="22"/>
          <w:lang w:val="en-US"/>
        </w:rPr>
        <w:t xml:space="preserve">, </w:t>
      </w:r>
      <w:r w:rsidR="008B77A2" w:rsidRPr="00E93635">
        <w:rPr>
          <w:i/>
          <w:sz w:val="22"/>
          <w:szCs w:val="22"/>
          <w:lang w:val="en-US"/>
        </w:rPr>
        <w:t>Journal of Economic</w:t>
      </w:r>
    </w:p>
    <w:p w:rsidR="00C656DC" w:rsidRPr="00E93635" w:rsidRDefault="008B77A2" w:rsidP="00C923BC">
      <w:pPr>
        <w:ind w:firstLine="1304"/>
        <w:contextualSpacing/>
        <w:rPr>
          <w:color w:val="FF0000"/>
          <w:sz w:val="22"/>
          <w:szCs w:val="22"/>
          <w:lang w:val="en-US"/>
        </w:rPr>
      </w:pPr>
      <w:r w:rsidRPr="00E93635">
        <w:rPr>
          <w:i/>
          <w:sz w:val="22"/>
          <w:szCs w:val="22"/>
          <w:lang w:val="en-US"/>
        </w:rPr>
        <w:t xml:space="preserve"> Education</w:t>
      </w:r>
      <w:r w:rsidRPr="00E93635">
        <w:rPr>
          <w:sz w:val="22"/>
          <w:szCs w:val="22"/>
          <w:lang w:val="en-US"/>
        </w:rPr>
        <w:t xml:space="preserve">, </w:t>
      </w:r>
      <w:r w:rsidR="008B77FC" w:rsidRPr="00E93635">
        <w:rPr>
          <w:sz w:val="22"/>
          <w:szCs w:val="22"/>
          <w:lang w:val="en-US"/>
        </w:rPr>
        <w:t>Summer, 36/3</w:t>
      </w:r>
    </w:p>
    <w:p w:rsidR="00C923BC" w:rsidRPr="00E93635" w:rsidRDefault="008B77A2" w:rsidP="00C656DC">
      <w:pPr>
        <w:contextualSpacing/>
        <w:rPr>
          <w:sz w:val="22"/>
          <w:szCs w:val="22"/>
          <w:lang w:val="en-US"/>
        </w:rPr>
      </w:pPr>
      <w:r w:rsidRPr="00E93635">
        <w:rPr>
          <w:sz w:val="22"/>
          <w:szCs w:val="22"/>
          <w:lang w:val="en-US"/>
        </w:rPr>
        <w:t>Colander</w:t>
      </w:r>
      <w:r w:rsidR="008B77FC" w:rsidRPr="00E93635">
        <w:rPr>
          <w:sz w:val="22"/>
          <w:szCs w:val="22"/>
          <w:lang w:val="en-US"/>
        </w:rPr>
        <w:t>, David</w:t>
      </w:r>
      <w:r w:rsidR="005D3C02" w:rsidRPr="00E93635">
        <w:rPr>
          <w:sz w:val="22"/>
          <w:szCs w:val="22"/>
          <w:lang w:val="en-US"/>
        </w:rPr>
        <w:t xml:space="preserve">, Hans Föllmer, Armin Haas, Michael Goldberg, Katarina Juselius, Alan Kirman, </w:t>
      </w:r>
    </w:p>
    <w:p w:rsidR="00C656DC" w:rsidRPr="00E93635" w:rsidRDefault="00EF1CE0" w:rsidP="00C923BC">
      <w:pPr>
        <w:ind w:left="1304" w:firstLine="1"/>
        <w:contextualSpacing/>
        <w:rPr>
          <w:sz w:val="22"/>
          <w:szCs w:val="22"/>
          <w:lang w:val="en-US"/>
        </w:rPr>
      </w:pPr>
      <w:r w:rsidRPr="00E93635">
        <w:rPr>
          <w:sz w:val="22"/>
          <w:szCs w:val="22"/>
          <w:lang w:val="en-US"/>
        </w:rPr>
        <w:t>Thomas Lux and</w:t>
      </w:r>
      <w:r w:rsidR="00D9158E">
        <w:rPr>
          <w:sz w:val="22"/>
          <w:szCs w:val="22"/>
          <w:lang w:val="en-US"/>
        </w:rPr>
        <w:t xml:space="preserve"> Birgitte Sloth (</w:t>
      </w:r>
      <w:r w:rsidR="00AE224D" w:rsidRPr="00E93635">
        <w:rPr>
          <w:sz w:val="22"/>
          <w:szCs w:val="22"/>
          <w:lang w:val="en-US"/>
        </w:rPr>
        <w:t>2009</w:t>
      </w:r>
      <w:r w:rsidR="00D9158E">
        <w:rPr>
          <w:sz w:val="22"/>
          <w:szCs w:val="22"/>
          <w:lang w:val="en-US"/>
        </w:rPr>
        <w:t>), “</w:t>
      </w:r>
      <w:r w:rsidR="0099461F">
        <w:fldChar w:fldCharType="begin"/>
      </w:r>
      <w:r w:rsidR="0099461F" w:rsidRPr="00CC4979">
        <w:rPr>
          <w:lang w:val="en-US"/>
        </w:rPr>
        <w:instrText>HYPERLINK "http://ideas.repec.org/p/kud/kuiedp/0903.html"</w:instrText>
      </w:r>
      <w:r w:rsidR="0099461F">
        <w:fldChar w:fldCharType="separate"/>
      </w:r>
      <w:r w:rsidR="008B77A2" w:rsidRPr="00E93635">
        <w:rPr>
          <w:rStyle w:val="Hyperlink"/>
          <w:bCs/>
          <w:color w:val="auto"/>
          <w:sz w:val="22"/>
          <w:szCs w:val="22"/>
          <w:u w:val="none"/>
          <w:lang w:val="en-US"/>
        </w:rPr>
        <w:t>The Financial Crisis and the Systemic Failure of Academic Economics</w:t>
      </w:r>
      <w:r w:rsidR="0099461F">
        <w:fldChar w:fldCharType="end"/>
      </w:r>
      <w:r w:rsidR="00D9158E">
        <w:rPr>
          <w:sz w:val="22"/>
          <w:szCs w:val="22"/>
          <w:lang w:val="en-US"/>
        </w:rPr>
        <w:t>”,</w:t>
      </w:r>
      <w:r w:rsidR="00AE224D" w:rsidRPr="00E93635">
        <w:rPr>
          <w:sz w:val="22"/>
          <w:szCs w:val="22"/>
          <w:lang w:val="en-US"/>
        </w:rPr>
        <w:t xml:space="preserve"> </w:t>
      </w:r>
      <w:r w:rsidR="0099461F">
        <w:fldChar w:fldCharType="begin"/>
      </w:r>
      <w:r w:rsidR="0099461F" w:rsidRPr="00CC4979">
        <w:rPr>
          <w:lang w:val="en-US"/>
        </w:rPr>
        <w:instrText>HYPERLINK "http://ideas.repec.org/s/kud/kuiedp.html"</w:instrText>
      </w:r>
      <w:r w:rsidR="0099461F">
        <w:fldChar w:fldCharType="separate"/>
      </w:r>
      <w:r w:rsidR="008B77A2" w:rsidRPr="00E93635">
        <w:rPr>
          <w:rStyle w:val="Hyperlink"/>
          <w:i/>
          <w:color w:val="auto"/>
          <w:sz w:val="22"/>
          <w:szCs w:val="22"/>
          <w:u w:val="none"/>
          <w:lang w:val="en-US"/>
        </w:rPr>
        <w:t>Discussion Papers</w:t>
      </w:r>
      <w:r w:rsidR="0099461F">
        <w:fldChar w:fldCharType="end"/>
      </w:r>
      <w:r w:rsidR="00F718B7" w:rsidRPr="00F718B7">
        <w:rPr>
          <w:lang w:val="en-US"/>
        </w:rPr>
        <w:t>,</w:t>
      </w:r>
      <w:r w:rsidR="008B77A2" w:rsidRPr="00E93635">
        <w:rPr>
          <w:i/>
          <w:sz w:val="22"/>
          <w:szCs w:val="22"/>
          <w:lang w:val="en-US"/>
        </w:rPr>
        <w:t> </w:t>
      </w:r>
      <w:r w:rsidR="008B77A2" w:rsidRPr="00F718B7">
        <w:rPr>
          <w:sz w:val="22"/>
          <w:szCs w:val="22"/>
          <w:lang w:val="en-US"/>
        </w:rPr>
        <w:t>09-03, University of Copenhagen</w:t>
      </w:r>
      <w:r w:rsidR="00D9158E">
        <w:rPr>
          <w:sz w:val="22"/>
          <w:szCs w:val="22"/>
          <w:lang w:val="en-US"/>
        </w:rPr>
        <w:t xml:space="preserve">, </w:t>
      </w:r>
      <w:r w:rsidR="008B77A2" w:rsidRPr="00E93635">
        <w:rPr>
          <w:sz w:val="22"/>
          <w:szCs w:val="22"/>
          <w:lang w:val="en-US"/>
        </w:rPr>
        <w:t>Department of Economics</w:t>
      </w:r>
    </w:p>
    <w:p w:rsidR="00C923BC" w:rsidRPr="00E93635" w:rsidRDefault="00F718B7" w:rsidP="00D760E9">
      <w:pPr>
        <w:rPr>
          <w:sz w:val="22"/>
          <w:szCs w:val="22"/>
          <w:lang w:val="en-US"/>
        </w:rPr>
      </w:pPr>
      <w:r>
        <w:rPr>
          <w:sz w:val="22"/>
          <w:szCs w:val="22"/>
          <w:lang w:val="en-US"/>
        </w:rPr>
        <w:lastRenderedPageBreak/>
        <w:t>Davis, John B (2006), “</w:t>
      </w:r>
      <w:r w:rsidR="00E620B8" w:rsidRPr="00E93635">
        <w:rPr>
          <w:sz w:val="22"/>
          <w:szCs w:val="22"/>
          <w:lang w:val="en-US"/>
        </w:rPr>
        <w:t>The turn in economics: neoclassical do</w:t>
      </w:r>
      <w:r w:rsidR="00AE224D" w:rsidRPr="00E93635">
        <w:rPr>
          <w:sz w:val="22"/>
          <w:szCs w:val="22"/>
          <w:lang w:val="en-US"/>
        </w:rPr>
        <w:t>minance to mainstream pluralism</w:t>
      </w:r>
      <w:r>
        <w:rPr>
          <w:sz w:val="22"/>
          <w:szCs w:val="22"/>
          <w:lang w:val="en-US"/>
        </w:rPr>
        <w:t>”</w:t>
      </w:r>
      <w:r w:rsidR="00E620B8" w:rsidRPr="00E93635">
        <w:rPr>
          <w:sz w:val="22"/>
          <w:szCs w:val="22"/>
          <w:lang w:val="en-US"/>
        </w:rPr>
        <w:t>,</w:t>
      </w:r>
    </w:p>
    <w:p w:rsidR="00E620B8" w:rsidRPr="00E93635" w:rsidRDefault="00E620B8" w:rsidP="00C923BC">
      <w:pPr>
        <w:ind w:firstLine="1304"/>
        <w:rPr>
          <w:sz w:val="22"/>
          <w:szCs w:val="22"/>
          <w:lang w:val="en-US"/>
        </w:rPr>
      </w:pPr>
      <w:r w:rsidRPr="00E93635">
        <w:rPr>
          <w:i/>
          <w:sz w:val="22"/>
          <w:szCs w:val="22"/>
          <w:lang w:val="en-US"/>
        </w:rPr>
        <w:t>Journal of Institutional Economics</w:t>
      </w:r>
      <w:r w:rsidRPr="00E93635">
        <w:rPr>
          <w:sz w:val="22"/>
          <w:szCs w:val="22"/>
          <w:lang w:val="en-US"/>
        </w:rPr>
        <w:t>, 2: 1, p</w:t>
      </w:r>
      <w:r w:rsidR="00C267BE">
        <w:rPr>
          <w:sz w:val="22"/>
          <w:szCs w:val="22"/>
          <w:lang w:val="en-US"/>
        </w:rPr>
        <w:t>p</w:t>
      </w:r>
      <w:r w:rsidRPr="00E93635">
        <w:rPr>
          <w:sz w:val="22"/>
          <w:szCs w:val="22"/>
          <w:lang w:val="en-US"/>
        </w:rPr>
        <w:t>. 1-20</w:t>
      </w:r>
    </w:p>
    <w:p w:rsidR="005A01F9" w:rsidRDefault="005A01F9" w:rsidP="005A01F9">
      <w:pPr>
        <w:rPr>
          <w:sz w:val="22"/>
          <w:szCs w:val="22"/>
          <w:lang w:val="en-GB"/>
        </w:rPr>
      </w:pPr>
      <w:r w:rsidRPr="005A01F9">
        <w:rPr>
          <w:sz w:val="22"/>
          <w:szCs w:val="22"/>
          <w:lang w:val="en-GB"/>
        </w:rPr>
        <w:t>Hall, Peter (1993), “Policy Paradigms, Social Learning, and the State: The Case of Economic Policymaking</w:t>
      </w:r>
    </w:p>
    <w:p w:rsidR="005A01F9" w:rsidRPr="005A01F9" w:rsidRDefault="00A34F94" w:rsidP="005A01F9">
      <w:pPr>
        <w:ind w:firstLine="1304"/>
        <w:rPr>
          <w:sz w:val="22"/>
          <w:szCs w:val="22"/>
          <w:lang w:val="en-GB"/>
        </w:rPr>
      </w:pPr>
      <w:proofErr w:type="gramStart"/>
      <w:r>
        <w:rPr>
          <w:sz w:val="22"/>
          <w:szCs w:val="22"/>
          <w:lang w:val="en-GB"/>
        </w:rPr>
        <w:t>in</w:t>
      </w:r>
      <w:proofErr w:type="gramEnd"/>
      <w:r>
        <w:rPr>
          <w:sz w:val="22"/>
          <w:szCs w:val="22"/>
          <w:lang w:val="en-GB"/>
        </w:rPr>
        <w:t xml:space="preserve"> Britain”, in</w:t>
      </w:r>
      <w:r w:rsidR="005A01F9" w:rsidRPr="005A01F9">
        <w:rPr>
          <w:sz w:val="22"/>
          <w:szCs w:val="22"/>
          <w:lang w:val="en-GB"/>
        </w:rPr>
        <w:t xml:space="preserve"> </w:t>
      </w:r>
      <w:r w:rsidR="005A01F9" w:rsidRPr="005A01F9">
        <w:rPr>
          <w:i/>
          <w:iCs/>
          <w:sz w:val="22"/>
          <w:szCs w:val="22"/>
          <w:lang w:val="en-GB"/>
        </w:rPr>
        <w:t>Comparative Politics</w:t>
      </w:r>
      <w:r w:rsidR="005A01F9" w:rsidRPr="005A01F9">
        <w:rPr>
          <w:sz w:val="22"/>
          <w:szCs w:val="22"/>
          <w:lang w:val="en-GB"/>
        </w:rPr>
        <w:t xml:space="preserve">, 25 (3): </w:t>
      </w:r>
      <w:r w:rsidR="00F718B7">
        <w:rPr>
          <w:sz w:val="22"/>
          <w:szCs w:val="22"/>
          <w:lang w:val="en-GB"/>
        </w:rPr>
        <w:t xml:space="preserve">pp. </w:t>
      </w:r>
      <w:r w:rsidR="005A01F9" w:rsidRPr="005A01F9">
        <w:rPr>
          <w:sz w:val="22"/>
          <w:szCs w:val="22"/>
          <w:lang w:val="en-GB"/>
        </w:rPr>
        <w:t>275-96</w:t>
      </w:r>
    </w:p>
    <w:p w:rsidR="00C923BC" w:rsidRPr="00E93635" w:rsidRDefault="00AE224D" w:rsidP="00C11A67">
      <w:pPr>
        <w:rPr>
          <w:sz w:val="22"/>
          <w:szCs w:val="22"/>
          <w:lang w:val="en-US"/>
        </w:rPr>
      </w:pPr>
      <w:r w:rsidRPr="00E93635">
        <w:rPr>
          <w:sz w:val="22"/>
          <w:szCs w:val="22"/>
          <w:lang w:val="en-US"/>
        </w:rPr>
        <w:t xml:space="preserve">Kuhn, Thomas S. </w:t>
      </w:r>
      <w:r w:rsidR="00F718B7">
        <w:rPr>
          <w:sz w:val="22"/>
          <w:szCs w:val="22"/>
          <w:lang w:val="en-US"/>
        </w:rPr>
        <w:t>(1974),</w:t>
      </w:r>
      <w:r w:rsidR="00A43D67" w:rsidRPr="00E93635">
        <w:rPr>
          <w:sz w:val="22"/>
          <w:szCs w:val="22"/>
          <w:lang w:val="en-US"/>
        </w:rPr>
        <w:t xml:space="preserve"> </w:t>
      </w:r>
      <w:r w:rsidR="00A43D67" w:rsidRPr="00E93635">
        <w:rPr>
          <w:i/>
          <w:sz w:val="22"/>
          <w:szCs w:val="22"/>
          <w:lang w:val="en-US"/>
        </w:rPr>
        <w:t>The Structure of Scientific Revolutions</w:t>
      </w:r>
      <w:r w:rsidR="00A43D67" w:rsidRPr="00E93635">
        <w:rPr>
          <w:sz w:val="22"/>
          <w:szCs w:val="22"/>
          <w:lang w:val="en-US"/>
        </w:rPr>
        <w:t xml:space="preserve">, </w:t>
      </w:r>
      <w:r w:rsidR="00B42ECC" w:rsidRPr="00E93635">
        <w:rPr>
          <w:sz w:val="22"/>
          <w:szCs w:val="22"/>
          <w:lang w:val="en-US"/>
        </w:rPr>
        <w:t>Chicago: University of Chicago</w:t>
      </w:r>
    </w:p>
    <w:p w:rsidR="00F718B7" w:rsidRPr="00F718B7" w:rsidRDefault="00B42ECC" w:rsidP="00F718B7">
      <w:pPr>
        <w:rPr>
          <w:sz w:val="22"/>
          <w:szCs w:val="22"/>
          <w:lang w:val="en-US"/>
        </w:rPr>
      </w:pPr>
      <w:r w:rsidRPr="00E93635">
        <w:rPr>
          <w:sz w:val="22"/>
          <w:szCs w:val="22"/>
          <w:lang w:val="en-US"/>
        </w:rPr>
        <w:t>Press</w:t>
      </w:r>
      <w:r w:rsidR="00F718B7" w:rsidRPr="00F718B7">
        <w:rPr>
          <w:sz w:val="22"/>
          <w:szCs w:val="22"/>
          <w:lang w:val="en-US"/>
        </w:rPr>
        <w:t xml:space="preserve"> Madsen, Poul Thøis (2011), 'How do Five American Political Science Textbooks Deal with the</w:t>
      </w:r>
    </w:p>
    <w:p w:rsidR="00A43D67" w:rsidRPr="00E93635" w:rsidRDefault="00F718B7" w:rsidP="00C923BC">
      <w:pPr>
        <w:ind w:firstLine="1304"/>
        <w:rPr>
          <w:sz w:val="22"/>
          <w:szCs w:val="22"/>
          <w:lang w:val="en-US"/>
        </w:rPr>
      </w:pPr>
      <w:r w:rsidRPr="00F718B7">
        <w:rPr>
          <w:sz w:val="22"/>
          <w:szCs w:val="22"/>
          <w:lang w:val="en-US"/>
        </w:rPr>
        <w:t>Economic Dimension?</w:t>
      </w:r>
      <w:r w:rsidR="00F00A55" w:rsidRPr="00F718B7">
        <w:rPr>
          <w:sz w:val="22"/>
          <w:szCs w:val="22"/>
          <w:lang w:val="en-US"/>
        </w:rPr>
        <w:t>’,</w:t>
      </w:r>
      <w:r w:rsidRPr="00F718B7">
        <w:rPr>
          <w:sz w:val="22"/>
          <w:szCs w:val="22"/>
          <w:lang w:val="en-US"/>
        </w:rPr>
        <w:t xml:space="preserve"> </w:t>
      </w:r>
      <w:r w:rsidRPr="00F718B7">
        <w:rPr>
          <w:i/>
          <w:sz w:val="22"/>
          <w:szCs w:val="22"/>
          <w:lang w:val="en-US"/>
        </w:rPr>
        <w:t>Journal of Political Science Education</w:t>
      </w:r>
      <w:r w:rsidRPr="00F718B7">
        <w:rPr>
          <w:sz w:val="22"/>
          <w:szCs w:val="22"/>
          <w:lang w:val="en-US"/>
        </w:rPr>
        <w:t>, 7: 1, pp. 79-94</w:t>
      </w:r>
    </w:p>
    <w:p w:rsidR="00F00A55" w:rsidRDefault="00CF6C31" w:rsidP="00F00A55">
      <w:pPr>
        <w:rPr>
          <w:sz w:val="22"/>
          <w:szCs w:val="22"/>
          <w:lang w:val="en-US"/>
        </w:rPr>
      </w:pPr>
      <w:r w:rsidRPr="00E93635">
        <w:rPr>
          <w:sz w:val="22"/>
          <w:szCs w:val="22"/>
          <w:lang w:val="en-US"/>
        </w:rPr>
        <w:t>Mankiw</w:t>
      </w:r>
      <w:r w:rsidR="00AE224D" w:rsidRPr="00E93635">
        <w:rPr>
          <w:sz w:val="22"/>
          <w:szCs w:val="22"/>
          <w:lang w:val="en-US"/>
        </w:rPr>
        <w:t xml:space="preserve">, Gregory N. </w:t>
      </w:r>
      <w:r w:rsidR="00F718B7">
        <w:rPr>
          <w:sz w:val="22"/>
          <w:szCs w:val="22"/>
          <w:lang w:val="en-US"/>
        </w:rPr>
        <w:t>(2009),</w:t>
      </w:r>
      <w:r w:rsidR="00A743F1" w:rsidRPr="00E93635">
        <w:rPr>
          <w:sz w:val="22"/>
          <w:szCs w:val="22"/>
          <w:lang w:val="en-US"/>
        </w:rPr>
        <w:t xml:space="preserve"> </w:t>
      </w:r>
      <w:r w:rsidR="00A743F1" w:rsidRPr="00E93635">
        <w:rPr>
          <w:i/>
          <w:sz w:val="22"/>
          <w:szCs w:val="22"/>
          <w:lang w:val="en-US"/>
        </w:rPr>
        <w:t>Principles of Economics</w:t>
      </w:r>
      <w:r w:rsidR="00E65136" w:rsidRPr="00E93635">
        <w:rPr>
          <w:sz w:val="22"/>
          <w:szCs w:val="22"/>
          <w:lang w:val="en-US"/>
        </w:rPr>
        <w:t>, Fifth Edition</w:t>
      </w:r>
      <w:r w:rsidR="00A743F1" w:rsidRPr="00E93635">
        <w:rPr>
          <w:sz w:val="22"/>
          <w:szCs w:val="22"/>
          <w:lang w:val="en-US"/>
        </w:rPr>
        <w:t xml:space="preserve">, </w:t>
      </w:r>
      <w:r w:rsidR="00F00A55">
        <w:rPr>
          <w:sz w:val="22"/>
          <w:szCs w:val="22"/>
          <w:lang w:val="en-US"/>
        </w:rPr>
        <w:t>International Edition (?),</w:t>
      </w:r>
    </w:p>
    <w:p w:rsidR="00CF6C31" w:rsidRPr="00E93635" w:rsidRDefault="00F00A55" w:rsidP="00F00A55">
      <w:pPr>
        <w:ind w:firstLine="1304"/>
        <w:rPr>
          <w:sz w:val="22"/>
          <w:szCs w:val="22"/>
          <w:lang w:val="en-US"/>
        </w:rPr>
      </w:pPr>
      <w:r w:rsidRPr="00E93635">
        <w:rPr>
          <w:sz w:val="22"/>
          <w:szCs w:val="22"/>
          <w:lang w:val="en-US"/>
        </w:rPr>
        <w:t>Mason:</w:t>
      </w:r>
      <w:r w:rsidR="00A743F1" w:rsidRPr="00E93635">
        <w:rPr>
          <w:sz w:val="22"/>
          <w:szCs w:val="22"/>
          <w:lang w:val="en-US"/>
        </w:rPr>
        <w:t> South-Western</w:t>
      </w:r>
      <w:r>
        <w:rPr>
          <w:sz w:val="22"/>
          <w:szCs w:val="22"/>
          <w:lang w:val="en-US"/>
        </w:rPr>
        <w:t xml:space="preserve"> </w:t>
      </w:r>
      <w:r w:rsidR="00A743F1" w:rsidRPr="00E93635">
        <w:rPr>
          <w:sz w:val="22"/>
          <w:szCs w:val="22"/>
          <w:lang w:val="en-US"/>
        </w:rPr>
        <w:t>Cengage Learning</w:t>
      </w:r>
    </w:p>
    <w:p w:rsidR="00C923BC" w:rsidRPr="00E93635" w:rsidRDefault="00CF6C31" w:rsidP="00A743F1">
      <w:pPr>
        <w:tabs>
          <w:tab w:val="center" w:pos="4819"/>
        </w:tabs>
        <w:rPr>
          <w:i/>
          <w:sz w:val="22"/>
          <w:szCs w:val="22"/>
          <w:lang w:val="en-US"/>
        </w:rPr>
      </w:pPr>
      <w:r w:rsidRPr="00E93635">
        <w:rPr>
          <w:sz w:val="22"/>
          <w:szCs w:val="22"/>
          <w:lang w:val="en-US"/>
        </w:rPr>
        <w:t>McConnell</w:t>
      </w:r>
      <w:r w:rsidR="00A743F1" w:rsidRPr="00E93635">
        <w:rPr>
          <w:sz w:val="22"/>
          <w:szCs w:val="22"/>
          <w:lang w:val="en-US"/>
        </w:rPr>
        <w:t>, Cambell R., St</w:t>
      </w:r>
      <w:r w:rsidR="00F718B7">
        <w:rPr>
          <w:sz w:val="22"/>
          <w:szCs w:val="22"/>
          <w:lang w:val="en-US"/>
        </w:rPr>
        <w:t xml:space="preserve">anley L. Brue </w:t>
      </w:r>
      <w:r w:rsidR="00F00A55">
        <w:rPr>
          <w:sz w:val="22"/>
          <w:szCs w:val="22"/>
          <w:lang w:val="en-US"/>
        </w:rPr>
        <w:t>and</w:t>
      </w:r>
      <w:r w:rsidR="00F718B7">
        <w:rPr>
          <w:sz w:val="22"/>
          <w:szCs w:val="22"/>
          <w:lang w:val="en-US"/>
        </w:rPr>
        <w:t xml:space="preserve"> Sean M. Flynn (</w:t>
      </w:r>
      <w:r w:rsidR="00AE224D" w:rsidRPr="00E93635">
        <w:rPr>
          <w:sz w:val="22"/>
          <w:szCs w:val="22"/>
          <w:lang w:val="en-US"/>
        </w:rPr>
        <w:t>2009</w:t>
      </w:r>
      <w:r w:rsidR="00F718B7">
        <w:rPr>
          <w:sz w:val="22"/>
          <w:szCs w:val="22"/>
          <w:lang w:val="en-US"/>
        </w:rPr>
        <w:t>),</w:t>
      </w:r>
      <w:r w:rsidR="00A743F1" w:rsidRPr="00E93635">
        <w:rPr>
          <w:sz w:val="22"/>
          <w:szCs w:val="22"/>
          <w:lang w:val="en-US"/>
        </w:rPr>
        <w:t xml:space="preserve"> </w:t>
      </w:r>
      <w:r w:rsidR="00AB1A1E">
        <w:rPr>
          <w:i/>
          <w:sz w:val="22"/>
          <w:szCs w:val="22"/>
          <w:lang w:val="en-US"/>
        </w:rPr>
        <w:t>Economics: P</w:t>
      </w:r>
      <w:r w:rsidR="00A743F1" w:rsidRPr="00E93635">
        <w:rPr>
          <w:i/>
          <w:sz w:val="22"/>
          <w:szCs w:val="22"/>
          <w:lang w:val="en-US"/>
        </w:rPr>
        <w:t>rinciples,</w:t>
      </w:r>
    </w:p>
    <w:p w:rsidR="00CF6C31" w:rsidRPr="00E93635" w:rsidRDefault="00AB1A1E" w:rsidP="00F718B7">
      <w:pPr>
        <w:ind w:left="1304" w:firstLine="1"/>
        <w:rPr>
          <w:sz w:val="22"/>
          <w:szCs w:val="22"/>
          <w:lang w:val="en-US"/>
        </w:rPr>
      </w:pPr>
      <w:r>
        <w:rPr>
          <w:i/>
          <w:sz w:val="22"/>
          <w:szCs w:val="22"/>
          <w:lang w:val="en-US"/>
        </w:rPr>
        <w:t>P</w:t>
      </w:r>
      <w:r w:rsidR="00A743F1" w:rsidRPr="00E93635">
        <w:rPr>
          <w:i/>
          <w:sz w:val="22"/>
          <w:szCs w:val="22"/>
          <w:lang w:val="en-US"/>
        </w:rPr>
        <w:t>roble</w:t>
      </w:r>
      <w:r>
        <w:rPr>
          <w:i/>
          <w:sz w:val="22"/>
          <w:szCs w:val="22"/>
          <w:lang w:val="en-US"/>
        </w:rPr>
        <w:t>ms and P</w:t>
      </w:r>
      <w:r w:rsidR="00A743F1" w:rsidRPr="00E93635">
        <w:rPr>
          <w:i/>
          <w:sz w:val="22"/>
          <w:szCs w:val="22"/>
          <w:lang w:val="en-US"/>
        </w:rPr>
        <w:t>olicies</w:t>
      </w:r>
      <w:r w:rsidR="00E65136" w:rsidRPr="00E93635">
        <w:rPr>
          <w:sz w:val="22"/>
          <w:szCs w:val="22"/>
          <w:lang w:val="en-US"/>
        </w:rPr>
        <w:t xml:space="preserve">, Eighteenth </w:t>
      </w:r>
      <w:r w:rsidRPr="00E93635">
        <w:rPr>
          <w:sz w:val="22"/>
          <w:szCs w:val="22"/>
          <w:lang w:val="en-US"/>
        </w:rPr>
        <w:t>Edition,</w:t>
      </w:r>
      <w:r w:rsidR="00A743F1" w:rsidRPr="00E93635">
        <w:rPr>
          <w:sz w:val="22"/>
          <w:szCs w:val="22"/>
          <w:lang w:val="en-US"/>
        </w:rPr>
        <w:t xml:space="preserve"> </w:t>
      </w:r>
      <w:r w:rsidR="00F718B7">
        <w:rPr>
          <w:sz w:val="22"/>
          <w:szCs w:val="22"/>
          <w:lang w:val="en-US"/>
        </w:rPr>
        <w:t xml:space="preserve">International Student Edition, </w:t>
      </w:r>
      <w:r w:rsidR="00343D34" w:rsidRPr="00E93635">
        <w:rPr>
          <w:sz w:val="22"/>
          <w:szCs w:val="22"/>
          <w:lang w:val="en-US"/>
        </w:rPr>
        <w:t>Boston: McG</w:t>
      </w:r>
      <w:r w:rsidR="00A743F1" w:rsidRPr="00E93635">
        <w:rPr>
          <w:sz w:val="22"/>
          <w:szCs w:val="22"/>
          <w:lang w:val="en-US"/>
        </w:rPr>
        <w:t>raw -Hill</w:t>
      </w:r>
    </w:p>
    <w:p w:rsidR="00C923BC" w:rsidRPr="00E93635" w:rsidRDefault="00CF6C31" w:rsidP="00C11A67">
      <w:pPr>
        <w:rPr>
          <w:sz w:val="22"/>
          <w:szCs w:val="22"/>
          <w:lang w:val="en-US"/>
        </w:rPr>
      </w:pPr>
      <w:r w:rsidRPr="00F718B7">
        <w:rPr>
          <w:sz w:val="22"/>
          <w:szCs w:val="22"/>
          <w:lang w:val="en-US"/>
        </w:rPr>
        <w:t>Samuelson</w:t>
      </w:r>
      <w:r w:rsidR="00754EC7" w:rsidRPr="00F718B7">
        <w:rPr>
          <w:sz w:val="22"/>
          <w:szCs w:val="22"/>
          <w:lang w:val="en-US"/>
        </w:rPr>
        <w:t xml:space="preserve"> Paul A</w:t>
      </w:r>
      <w:r w:rsidR="00AB1A1E">
        <w:rPr>
          <w:sz w:val="22"/>
          <w:szCs w:val="22"/>
          <w:lang w:val="en-US"/>
        </w:rPr>
        <w:t>. and</w:t>
      </w:r>
      <w:r w:rsidR="00AE224D" w:rsidRPr="00F718B7">
        <w:rPr>
          <w:sz w:val="22"/>
          <w:szCs w:val="22"/>
          <w:lang w:val="en-US"/>
        </w:rPr>
        <w:t xml:space="preserve"> Nordhaus, William D. </w:t>
      </w:r>
      <w:r w:rsidR="00F718B7" w:rsidRPr="00F718B7">
        <w:rPr>
          <w:sz w:val="22"/>
          <w:szCs w:val="22"/>
          <w:lang w:val="en-US"/>
        </w:rPr>
        <w:t>(2010),</w:t>
      </w:r>
      <w:r w:rsidR="00754EC7" w:rsidRPr="00F718B7">
        <w:rPr>
          <w:sz w:val="22"/>
          <w:szCs w:val="22"/>
          <w:lang w:val="en-US"/>
        </w:rPr>
        <w:t xml:space="preserve"> </w:t>
      </w:r>
      <w:r w:rsidR="00754EC7" w:rsidRPr="00E93635">
        <w:rPr>
          <w:i/>
          <w:sz w:val="22"/>
          <w:szCs w:val="22"/>
          <w:lang w:val="en-US"/>
        </w:rPr>
        <w:t>Economics</w:t>
      </w:r>
      <w:r w:rsidR="00754EC7" w:rsidRPr="00E93635">
        <w:rPr>
          <w:sz w:val="22"/>
          <w:szCs w:val="22"/>
          <w:lang w:val="en-US"/>
        </w:rPr>
        <w:t xml:space="preserve">, </w:t>
      </w:r>
      <w:r w:rsidR="00E65136" w:rsidRPr="00E93635">
        <w:rPr>
          <w:sz w:val="22"/>
          <w:szCs w:val="22"/>
          <w:lang w:val="en-US"/>
        </w:rPr>
        <w:t>Nineteenth Edition</w:t>
      </w:r>
      <w:r w:rsidR="00754EC7" w:rsidRPr="00E93635">
        <w:rPr>
          <w:sz w:val="22"/>
          <w:szCs w:val="22"/>
          <w:lang w:val="en-US"/>
        </w:rPr>
        <w:t>,</w:t>
      </w:r>
    </w:p>
    <w:p w:rsidR="00CF6C31" w:rsidRPr="00E93635" w:rsidRDefault="00AB1A1E" w:rsidP="00C923BC">
      <w:pPr>
        <w:ind w:firstLine="1304"/>
        <w:rPr>
          <w:sz w:val="22"/>
          <w:szCs w:val="22"/>
          <w:lang w:val="en-US"/>
        </w:rPr>
      </w:pPr>
      <w:r w:rsidRPr="00E93635">
        <w:rPr>
          <w:sz w:val="22"/>
          <w:szCs w:val="22"/>
          <w:lang w:val="en-US"/>
        </w:rPr>
        <w:t>Boston: McGraw</w:t>
      </w:r>
      <w:r w:rsidR="00754EC7" w:rsidRPr="00E93635">
        <w:rPr>
          <w:sz w:val="22"/>
          <w:szCs w:val="22"/>
          <w:lang w:val="en-US"/>
        </w:rPr>
        <w:t xml:space="preserve"> Hill</w:t>
      </w:r>
    </w:p>
    <w:p w:rsidR="00C923BC" w:rsidRPr="00E93635" w:rsidRDefault="001339CB" w:rsidP="00C923BC">
      <w:pPr>
        <w:rPr>
          <w:sz w:val="22"/>
          <w:szCs w:val="22"/>
          <w:lang w:val="en-US"/>
        </w:rPr>
      </w:pPr>
      <w:r w:rsidRPr="00E93635">
        <w:rPr>
          <w:sz w:val="22"/>
          <w:szCs w:val="22"/>
          <w:lang w:val="en-US"/>
        </w:rPr>
        <w:t xml:space="preserve">Schiller, </w:t>
      </w:r>
      <w:r w:rsidR="008B77FC" w:rsidRPr="00E93635">
        <w:rPr>
          <w:sz w:val="22"/>
          <w:szCs w:val="22"/>
          <w:lang w:val="en-US"/>
        </w:rPr>
        <w:t>Bradley</w:t>
      </w:r>
      <w:r w:rsidR="00AE224D" w:rsidRPr="00E93635">
        <w:rPr>
          <w:sz w:val="22"/>
          <w:szCs w:val="22"/>
          <w:lang w:val="en-US"/>
        </w:rPr>
        <w:t xml:space="preserve"> R. </w:t>
      </w:r>
      <w:r w:rsidR="00F718B7">
        <w:rPr>
          <w:sz w:val="22"/>
          <w:szCs w:val="22"/>
          <w:lang w:val="en-US"/>
        </w:rPr>
        <w:t>(</w:t>
      </w:r>
      <w:r w:rsidRPr="00E93635">
        <w:rPr>
          <w:sz w:val="22"/>
          <w:szCs w:val="22"/>
          <w:lang w:val="en-US"/>
        </w:rPr>
        <w:t>2008</w:t>
      </w:r>
      <w:r w:rsidR="00F718B7">
        <w:rPr>
          <w:sz w:val="22"/>
          <w:szCs w:val="22"/>
          <w:lang w:val="en-US"/>
        </w:rPr>
        <w:t>),</w:t>
      </w:r>
      <w:r w:rsidRPr="00E93635">
        <w:rPr>
          <w:sz w:val="22"/>
          <w:szCs w:val="22"/>
          <w:lang w:val="en-US"/>
        </w:rPr>
        <w:t xml:space="preserve"> </w:t>
      </w:r>
      <w:r w:rsidRPr="00E93635">
        <w:rPr>
          <w:i/>
          <w:sz w:val="22"/>
          <w:szCs w:val="22"/>
          <w:lang w:val="en-US"/>
        </w:rPr>
        <w:t>The Economy Today</w:t>
      </w:r>
      <w:r w:rsidR="00F718B7">
        <w:rPr>
          <w:sz w:val="22"/>
          <w:szCs w:val="22"/>
          <w:lang w:val="en-US"/>
        </w:rPr>
        <w:t xml:space="preserve">, Eleventh Edition, International Edition, </w:t>
      </w:r>
      <w:r w:rsidRPr="00E93635">
        <w:rPr>
          <w:sz w:val="22"/>
          <w:szCs w:val="22"/>
          <w:lang w:val="en-US"/>
        </w:rPr>
        <w:t>Boston:</w:t>
      </w:r>
    </w:p>
    <w:p w:rsidR="001339CB" w:rsidRPr="00E93635" w:rsidRDefault="001339CB" w:rsidP="00C923BC">
      <w:pPr>
        <w:ind w:firstLine="1304"/>
        <w:rPr>
          <w:sz w:val="22"/>
          <w:szCs w:val="22"/>
          <w:lang w:val="en-US"/>
        </w:rPr>
      </w:pPr>
      <w:r w:rsidRPr="00E93635">
        <w:rPr>
          <w:sz w:val="22"/>
          <w:szCs w:val="22"/>
          <w:lang w:val="en-US"/>
        </w:rPr>
        <w:t>McGraw-Hill/Irwin</w:t>
      </w:r>
    </w:p>
    <w:p w:rsidR="00C923BC" w:rsidRPr="00E93635" w:rsidRDefault="00496C8F" w:rsidP="00C923BC">
      <w:pPr>
        <w:tabs>
          <w:tab w:val="left" w:pos="2542"/>
        </w:tabs>
        <w:rPr>
          <w:color w:val="000000"/>
          <w:sz w:val="22"/>
          <w:szCs w:val="22"/>
          <w:lang w:val="en-GB"/>
        </w:rPr>
      </w:pPr>
      <w:r w:rsidRPr="00E93635">
        <w:rPr>
          <w:color w:val="000000"/>
          <w:sz w:val="22"/>
          <w:szCs w:val="22"/>
          <w:lang w:val="en-GB"/>
        </w:rPr>
        <w:t>Stig</w:t>
      </w:r>
      <w:r w:rsidR="00AE224D" w:rsidRPr="00E93635">
        <w:rPr>
          <w:color w:val="000000"/>
          <w:sz w:val="22"/>
          <w:szCs w:val="22"/>
          <w:lang w:val="en-GB"/>
        </w:rPr>
        <w:t xml:space="preserve">litz, Joseph E. </w:t>
      </w:r>
      <w:r w:rsidR="00F718B7">
        <w:rPr>
          <w:color w:val="000000"/>
          <w:sz w:val="22"/>
          <w:szCs w:val="22"/>
          <w:lang w:val="en-GB"/>
        </w:rPr>
        <w:t>(1</w:t>
      </w:r>
      <w:r w:rsidR="00E704BC" w:rsidRPr="00E93635">
        <w:rPr>
          <w:color w:val="000000"/>
          <w:sz w:val="22"/>
          <w:szCs w:val="22"/>
          <w:lang w:val="en-GB"/>
        </w:rPr>
        <w:t>998</w:t>
      </w:r>
      <w:r w:rsidR="00F718B7">
        <w:rPr>
          <w:color w:val="000000"/>
          <w:sz w:val="22"/>
          <w:szCs w:val="22"/>
          <w:lang w:val="en-GB"/>
        </w:rPr>
        <w:t>),</w:t>
      </w:r>
      <w:r w:rsidR="00E704BC" w:rsidRPr="00E93635">
        <w:rPr>
          <w:color w:val="000000"/>
          <w:sz w:val="22"/>
          <w:szCs w:val="22"/>
          <w:lang w:val="en-GB"/>
        </w:rPr>
        <w:t xml:space="preserve"> </w:t>
      </w:r>
      <w:r w:rsidR="00F718B7">
        <w:rPr>
          <w:color w:val="000000"/>
          <w:sz w:val="22"/>
          <w:szCs w:val="22"/>
          <w:lang w:val="en-GB"/>
        </w:rPr>
        <w:t>“</w:t>
      </w:r>
      <w:r w:rsidR="00E704BC" w:rsidRPr="00E93635">
        <w:rPr>
          <w:color w:val="000000"/>
          <w:sz w:val="22"/>
          <w:szCs w:val="22"/>
          <w:lang w:val="en-GB"/>
        </w:rPr>
        <w:t>On the Market for Principles of Economics Textbooks: Innovation and</w:t>
      </w:r>
    </w:p>
    <w:p w:rsidR="00E704BC" w:rsidRDefault="00C923BC" w:rsidP="00C923BC">
      <w:pPr>
        <w:tabs>
          <w:tab w:val="left" w:pos="1276"/>
        </w:tabs>
        <w:ind w:left="1276"/>
        <w:rPr>
          <w:color w:val="000000"/>
          <w:sz w:val="22"/>
          <w:szCs w:val="22"/>
          <w:lang w:val="en-GB"/>
        </w:rPr>
      </w:pPr>
      <w:r w:rsidRPr="00E93635">
        <w:rPr>
          <w:color w:val="000000"/>
          <w:sz w:val="22"/>
          <w:szCs w:val="22"/>
          <w:lang w:val="en-GB"/>
        </w:rPr>
        <w:tab/>
      </w:r>
      <w:r w:rsidR="00AE224D" w:rsidRPr="00E93635">
        <w:rPr>
          <w:color w:val="000000"/>
          <w:sz w:val="22"/>
          <w:szCs w:val="22"/>
          <w:lang w:val="en-GB"/>
        </w:rPr>
        <w:t>Product Differentiation</w:t>
      </w:r>
      <w:r w:rsidR="00F718B7">
        <w:rPr>
          <w:color w:val="000000"/>
          <w:sz w:val="22"/>
          <w:szCs w:val="22"/>
          <w:lang w:val="en-GB"/>
        </w:rPr>
        <w:t>”</w:t>
      </w:r>
      <w:r w:rsidR="00E704BC" w:rsidRPr="00E93635">
        <w:rPr>
          <w:color w:val="000000"/>
          <w:sz w:val="22"/>
          <w:szCs w:val="22"/>
          <w:lang w:val="en-GB"/>
        </w:rPr>
        <w:t xml:space="preserve">, </w:t>
      </w:r>
      <w:r w:rsidR="00E704BC" w:rsidRPr="00E93635">
        <w:rPr>
          <w:i/>
          <w:color w:val="000000"/>
          <w:sz w:val="22"/>
          <w:szCs w:val="22"/>
          <w:lang w:val="en-GB"/>
        </w:rPr>
        <w:t>The Journal of Economic Education</w:t>
      </w:r>
      <w:r w:rsidR="00E704BC" w:rsidRPr="00E93635">
        <w:rPr>
          <w:color w:val="000000"/>
          <w:sz w:val="22"/>
          <w:szCs w:val="22"/>
          <w:lang w:val="en-GB"/>
        </w:rPr>
        <w:t>, Vol. 19, No. 2, Spring, pp. 171-177</w:t>
      </w:r>
    </w:p>
    <w:p w:rsidR="004C0B41" w:rsidRDefault="004C0B41" w:rsidP="004C0B41">
      <w:pPr>
        <w:tabs>
          <w:tab w:val="left" w:pos="1276"/>
        </w:tabs>
        <w:rPr>
          <w:bCs/>
          <w:i/>
          <w:color w:val="000000"/>
          <w:sz w:val="22"/>
          <w:szCs w:val="22"/>
          <w:lang w:val="en-US"/>
        </w:rPr>
      </w:pPr>
      <w:r>
        <w:rPr>
          <w:color w:val="000000"/>
          <w:sz w:val="22"/>
          <w:szCs w:val="22"/>
          <w:lang w:val="en-GB"/>
        </w:rPr>
        <w:t xml:space="preserve">Trichet, Jean-Claude (2010), </w:t>
      </w:r>
      <w:r w:rsidRPr="004C0B41">
        <w:rPr>
          <w:bCs/>
          <w:i/>
          <w:color w:val="000000"/>
          <w:sz w:val="22"/>
          <w:szCs w:val="22"/>
          <w:lang w:val="en-US"/>
        </w:rPr>
        <w:t>Reflections on the nature of monetary policy non-standard measures and</w:t>
      </w:r>
    </w:p>
    <w:p w:rsidR="004C0B41" w:rsidRPr="004C0B41" w:rsidRDefault="004C0B41" w:rsidP="004C0B41">
      <w:pPr>
        <w:tabs>
          <w:tab w:val="left" w:pos="1276"/>
        </w:tabs>
        <w:ind w:left="1276"/>
        <w:rPr>
          <w:bCs/>
          <w:color w:val="000000"/>
          <w:sz w:val="22"/>
          <w:szCs w:val="22"/>
          <w:lang w:val="en-US"/>
        </w:rPr>
      </w:pPr>
      <w:r>
        <w:rPr>
          <w:bCs/>
          <w:i/>
          <w:color w:val="000000"/>
          <w:sz w:val="22"/>
          <w:szCs w:val="22"/>
          <w:lang w:val="en-US"/>
        </w:rPr>
        <w:tab/>
      </w:r>
      <w:r w:rsidRPr="004C0B41">
        <w:rPr>
          <w:bCs/>
          <w:i/>
          <w:color w:val="000000"/>
          <w:sz w:val="22"/>
          <w:szCs w:val="22"/>
          <w:lang w:val="en-US"/>
        </w:rPr>
        <w:t xml:space="preserve"> finance theory</w:t>
      </w:r>
      <w:r>
        <w:rPr>
          <w:bCs/>
          <w:color w:val="000000"/>
          <w:sz w:val="22"/>
          <w:szCs w:val="22"/>
          <w:lang w:val="en-US"/>
        </w:rPr>
        <w:t xml:space="preserve">, </w:t>
      </w:r>
      <w:r w:rsidRPr="004C0B41">
        <w:rPr>
          <w:bCs/>
          <w:color w:val="000000"/>
          <w:sz w:val="22"/>
          <w:szCs w:val="22"/>
          <w:lang w:val="en-US"/>
        </w:rPr>
        <w:t>Speech by Jean-Claude Trichet, President of the ECB, Opening address at the ECB Central Banking Conference Frankfurt, 18 November 2010</w:t>
      </w:r>
    </w:p>
    <w:p w:rsidR="004C0B41" w:rsidRPr="004C0B41" w:rsidRDefault="004C0B41" w:rsidP="004C0B41">
      <w:pPr>
        <w:tabs>
          <w:tab w:val="left" w:pos="1276"/>
        </w:tabs>
        <w:rPr>
          <w:color w:val="000000"/>
          <w:sz w:val="22"/>
          <w:szCs w:val="22"/>
          <w:lang w:val="en-US"/>
        </w:rPr>
      </w:pPr>
    </w:p>
    <w:p w:rsidR="00E704BC" w:rsidRPr="00E93635" w:rsidRDefault="00E704BC" w:rsidP="00C11A67">
      <w:pPr>
        <w:rPr>
          <w:color w:val="000000"/>
          <w:sz w:val="22"/>
          <w:szCs w:val="22"/>
          <w:lang w:val="en-GB"/>
        </w:rPr>
      </w:pPr>
    </w:p>
    <w:p w:rsidR="00074914" w:rsidRPr="00E93635" w:rsidRDefault="00074914" w:rsidP="00C11A67">
      <w:pPr>
        <w:rPr>
          <w:b/>
          <w:color w:val="000000"/>
          <w:sz w:val="22"/>
          <w:szCs w:val="22"/>
          <w:lang w:val="en-US"/>
        </w:rPr>
      </w:pPr>
    </w:p>
    <w:p w:rsidR="00A4027B" w:rsidRPr="00E93635" w:rsidRDefault="00EF1CE0" w:rsidP="00A4027B">
      <w:pPr>
        <w:rPr>
          <w:b/>
          <w:sz w:val="22"/>
          <w:szCs w:val="22"/>
          <w:lang w:val="en-US"/>
        </w:rPr>
      </w:pPr>
      <w:r w:rsidRPr="00E93635">
        <w:rPr>
          <w:b/>
          <w:color w:val="000000"/>
          <w:sz w:val="22"/>
          <w:szCs w:val="22"/>
          <w:lang w:val="en-US"/>
        </w:rPr>
        <w:t>Appendi</w:t>
      </w:r>
      <w:r w:rsidR="00470BB9" w:rsidRPr="00E93635">
        <w:rPr>
          <w:b/>
          <w:color w:val="000000"/>
          <w:sz w:val="22"/>
          <w:szCs w:val="22"/>
          <w:lang w:val="en-US"/>
        </w:rPr>
        <w:t>x</w:t>
      </w:r>
      <w:r w:rsidR="00DC2F99" w:rsidRPr="00E93635">
        <w:rPr>
          <w:b/>
          <w:color w:val="000000"/>
          <w:sz w:val="22"/>
          <w:szCs w:val="22"/>
          <w:lang w:val="en-US"/>
        </w:rPr>
        <w:t xml:space="preserve"> </w:t>
      </w:r>
      <w:proofErr w:type="gramStart"/>
      <w:r w:rsidR="00DC2F99" w:rsidRPr="00E93635">
        <w:rPr>
          <w:b/>
          <w:color w:val="000000"/>
          <w:sz w:val="22"/>
          <w:szCs w:val="22"/>
          <w:lang w:val="en-US"/>
        </w:rPr>
        <w:t xml:space="preserve">A: </w:t>
      </w:r>
      <w:r w:rsidRPr="00E93635">
        <w:rPr>
          <w:b/>
          <w:sz w:val="22"/>
          <w:szCs w:val="22"/>
          <w:lang w:val="en-US"/>
        </w:rPr>
        <w:t>The</w:t>
      </w:r>
      <w:proofErr w:type="gramEnd"/>
      <w:r w:rsidRPr="00E93635">
        <w:rPr>
          <w:b/>
          <w:sz w:val="22"/>
          <w:szCs w:val="22"/>
          <w:lang w:val="en-US"/>
        </w:rPr>
        <w:t xml:space="preserve"> seven most sold principles textbooks </w:t>
      </w:r>
      <w:r w:rsidR="005D3C02" w:rsidRPr="00E93635">
        <w:rPr>
          <w:b/>
          <w:sz w:val="22"/>
          <w:szCs w:val="22"/>
          <w:lang w:val="en-US"/>
        </w:rPr>
        <w:t>21.4,</w:t>
      </w:r>
      <w:r w:rsidR="00A4027B" w:rsidRPr="00E93635">
        <w:rPr>
          <w:b/>
          <w:sz w:val="22"/>
          <w:szCs w:val="22"/>
          <w:lang w:val="en-US"/>
        </w:rPr>
        <w:t xml:space="preserve"> 2010</w:t>
      </w:r>
      <w:r w:rsidRPr="00E93635">
        <w:rPr>
          <w:b/>
          <w:sz w:val="22"/>
          <w:szCs w:val="22"/>
          <w:lang w:val="en-US"/>
        </w:rPr>
        <w:t xml:space="preserve"> being published in 2010</w:t>
      </w:r>
    </w:p>
    <w:p w:rsidR="00A4027B" w:rsidRPr="00E93635" w:rsidRDefault="00A4027B" w:rsidP="00A4027B">
      <w:pPr>
        <w:rPr>
          <w:sz w:val="22"/>
          <w:szCs w:val="22"/>
          <w:lang w:val="en-US"/>
        </w:rPr>
      </w:pPr>
    </w:p>
    <w:p w:rsidR="00C923BC" w:rsidRPr="00E93635" w:rsidRDefault="008B77FC" w:rsidP="00A4027B">
      <w:pPr>
        <w:pStyle w:val="ListParagraph"/>
        <w:numPr>
          <w:ilvl w:val="0"/>
          <w:numId w:val="13"/>
        </w:numPr>
        <w:rPr>
          <w:rFonts w:ascii="Times New Roman" w:hAnsi="Times New Roman"/>
        </w:rPr>
      </w:pPr>
      <w:r w:rsidRPr="00E93635">
        <w:rPr>
          <w:rFonts w:ascii="Times New Roman" w:hAnsi="Times New Roman"/>
          <w:color w:val="000000"/>
        </w:rPr>
        <w:t>Miller, Roger</w:t>
      </w:r>
      <w:r w:rsidR="00A4027B" w:rsidRPr="00E93635">
        <w:rPr>
          <w:rFonts w:ascii="Times New Roman" w:hAnsi="Times New Roman"/>
          <w:color w:val="000000"/>
        </w:rPr>
        <w:t xml:space="preserve"> L.</w:t>
      </w:r>
      <w:r w:rsidR="00AE224D" w:rsidRPr="00E93635">
        <w:rPr>
          <w:rFonts w:ascii="Times New Roman" w:hAnsi="Times New Roman"/>
          <w:color w:val="000000"/>
        </w:rPr>
        <w:t xml:space="preserve"> </w:t>
      </w:r>
      <w:r w:rsidR="00F718B7">
        <w:rPr>
          <w:rFonts w:ascii="Times New Roman" w:hAnsi="Times New Roman"/>
          <w:color w:val="000000"/>
        </w:rPr>
        <w:t>(</w:t>
      </w:r>
      <w:r w:rsidR="00364D78" w:rsidRPr="00E93635">
        <w:rPr>
          <w:rFonts w:ascii="Times New Roman" w:hAnsi="Times New Roman"/>
          <w:color w:val="000000"/>
        </w:rPr>
        <w:t>2011</w:t>
      </w:r>
      <w:r w:rsidR="00F718B7">
        <w:rPr>
          <w:rFonts w:ascii="Times New Roman" w:hAnsi="Times New Roman"/>
          <w:color w:val="000000"/>
        </w:rPr>
        <w:t>),</w:t>
      </w:r>
      <w:r w:rsidR="00A4027B" w:rsidRPr="00E93635">
        <w:rPr>
          <w:rFonts w:ascii="Times New Roman" w:hAnsi="Times New Roman"/>
          <w:color w:val="000000"/>
        </w:rPr>
        <w:t xml:space="preserve"> </w:t>
      </w:r>
      <w:r w:rsidR="00A4027B" w:rsidRPr="00E93635">
        <w:rPr>
          <w:rFonts w:ascii="Times New Roman" w:hAnsi="Times New Roman"/>
          <w:i/>
          <w:color w:val="000000"/>
        </w:rPr>
        <w:t>Economics Today</w:t>
      </w:r>
      <w:r w:rsidR="00364D78" w:rsidRPr="00E93635">
        <w:rPr>
          <w:rFonts w:ascii="Times New Roman" w:hAnsi="Times New Roman"/>
          <w:i/>
          <w:color w:val="000000"/>
        </w:rPr>
        <w:t>. Updated edition</w:t>
      </w:r>
      <w:r w:rsidR="00F718B7">
        <w:rPr>
          <w:rFonts w:ascii="Times New Roman" w:hAnsi="Times New Roman"/>
          <w:color w:val="000000"/>
        </w:rPr>
        <w:t xml:space="preserve">, </w:t>
      </w:r>
      <w:r w:rsidR="00E65136" w:rsidRPr="00E93635">
        <w:rPr>
          <w:rFonts w:ascii="Times New Roman" w:hAnsi="Times New Roman"/>
          <w:color w:val="000000"/>
        </w:rPr>
        <w:t>Fifteenth E</w:t>
      </w:r>
      <w:r w:rsidR="00F718B7">
        <w:rPr>
          <w:rFonts w:ascii="Times New Roman" w:hAnsi="Times New Roman"/>
          <w:color w:val="000000"/>
        </w:rPr>
        <w:t xml:space="preserve">dition, </w:t>
      </w:r>
      <w:r w:rsidR="000033D1" w:rsidRPr="00E93635">
        <w:rPr>
          <w:rFonts w:ascii="Times New Roman" w:hAnsi="Times New Roman"/>
          <w:color w:val="000000"/>
        </w:rPr>
        <w:t>International E</w:t>
      </w:r>
      <w:r w:rsidR="00F718B7">
        <w:rPr>
          <w:rFonts w:ascii="Times New Roman" w:hAnsi="Times New Roman"/>
          <w:color w:val="000000"/>
        </w:rPr>
        <w:t xml:space="preserve">dition, </w:t>
      </w:r>
      <w:r w:rsidR="00A4027B" w:rsidRPr="00E93635">
        <w:rPr>
          <w:rFonts w:ascii="Times New Roman" w:hAnsi="Times New Roman"/>
          <w:color w:val="000000"/>
        </w:rPr>
        <w:t>Boston: Addison-Wesley</w:t>
      </w:r>
      <w:r w:rsidR="00EF1CE0" w:rsidRPr="00E93635">
        <w:rPr>
          <w:rFonts w:ascii="Times New Roman" w:hAnsi="Times New Roman"/>
          <w:color w:val="000000"/>
        </w:rPr>
        <w:t>. Published</w:t>
      </w:r>
      <w:r w:rsidR="005D3C02" w:rsidRPr="00E93635">
        <w:rPr>
          <w:rFonts w:ascii="Times New Roman" w:hAnsi="Times New Roman"/>
          <w:color w:val="000000"/>
        </w:rPr>
        <w:t xml:space="preserve"> </w:t>
      </w:r>
      <w:r w:rsidR="00EF1CE0" w:rsidRPr="00E93635">
        <w:rPr>
          <w:rFonts w:ascii="Times New Roman" w:hAnsi="Times New Roman"/>
          <w:color w:val="000000"/>
        </w:rPr>
        <w:t>May</w:t>
      </w:r>
      <w:r w:rsidR="001339CB" w:rsidRPr="00E93635">
        <w:rPr>
          <w:rFonts w:ascii="Times New Roman" w:hAnsi="Times New Roman"/>
          <w:color w:val="000000"/>
        </w:rPr>
        <w:t xml:space="preserve"> 2010</w:t>
      </w:r>
    </w:p>
    <w:p w:rsidR="001339CB" w:rsidRPr="00E93635" w:rsidRDefault="008B77FC" w:rsidP="00A4027B">
      <w:pPr>
        <w:pStyle w:val="ListParagraph"/>
        <w:numPr>
          <w:ilvl w:val="0"/>
          <w:numId w:val="13"/>
        </w:numPr>
        <w:rPr>
          <w:rFonts w:ascii="Times New Roman" w:hAnsi="Times New Roman"/>
        </w:rPr>
      </w:pPr>
      <w:r w:rsidRPr="00F718B7">
        <w:rPr>
          <w:rFonts w:ascii="Times New Roman" w:hAnsi="Times New Roman"/>
        </w:rPr>
        <w:t xml:space="preserve">Hubbard, R. Glenn </w:t>
      </w:r>
      <w:r w:rsidR="00AB1A1E">
        <w:rPr>
          <w:rFonts w:ascii="Times New Roman" w:hAnsi="Times New Roman"/>
        </w:rPr>
        <w:t>and</w:t>
      </w:r>
      <w:r w:rsidRPr="00F718B7">
        <w:rPr>
          <w:rFonts w:ascii="Times New Roman" w:hAnsi="Times New Roman"/>
        </w:rPr>
        <w:t xml:space="preserve"> Anthony</w:t>
      </w:r>
      <w:r w:rsidR="00F718B7" w:rsidRPr="00F718B7">
        <w:rPr>
          <w:rFonts w:ascii="Times New Roman" w:hAnsi="Times New Roman"/>
        </w:rPr>
        <w:t xml:space="preserve"> P. O’Brien (</w:t>
      </w:r>
      <w:r w:rsidR="00364D78" w:rsidRPr="00E93635">
        <w:rPr>
          <w:rFonts w:ascii="Times New Roman" w:hAnsi="Times New Roman"/>
        </w:rPr>
        <w:t>2010</w:t>
      </w:r>
      <w:r w:rsidR="00F718B7">
        <w:rPr>
          <w:rFonts w:ascii="Times New Roman" w:hAnsi="Times New Roman"/>
        </w:rPr>
        <w:t>),</w:t>
      </w:r>
      <w:r w:rsidR="00A4027B" w:rsidRPr="00E93635">
        <w:rPr>
          <w:rFonts w:ascii="Times New Roman" w:hAnsi="Times New Roman"/>
        </w:rPr>
        <w:t xml:space="preserve"> </w:t>
      </w:r>
      <w:r w:rsidR="00E65136" w:rsidRPr="00E93635">
        <w:rPr>
          <w:rFonts w:ascii="Times New Roman" w:hAnsi="Times New Roman"/>
          <w:i/>
        </w:rPr>
        <w:t>E</w:t>
      </w:r>
      <w:r w:rsidR="00A4027B" w:rsidRPr="00E93635">
        <w:rPr>
          <w:rFonts w:ascii="Times New Roman" w:hAnsi="Times New Roman"/>
          <w:i/>
        </w:rPr>
        <w:t>conomics</w:t>
      </w:r>
      <w:r w:rsidR="00F718B7">
        <w:rPr>
          <w:rFonts w:ascii="Times New Roman" w:hAnsi="Times New Roman"/>
        </w:rPr>
        <w:t>,</w:t>
      </w:r>
      <w:r w:rsidR="00E65136" w:rsidRPr="00E93635">
        <w:rPr>
          <w:rFonts w:ascii="Times New Roman" w:hAnsi="Times New Roman"/>
        </w:rPr>
        <w:t xml:space="preserve"> Third </w:t>
      </w:r>
      <w:r w:rsidR="00F718B7">
        <w:rPr>
          <w:rFonts w:ascii="Times New Roman" w:hAnsi="Times New Roman"/>
        </w:rPr>
        <w:t xml:space="preserve">Edition, </w:t>
      </w:r>
      <w:r w:rsidR="000033D1" w:rsidRPr="00E93635">
        <w:rPr>
          <w:rFonts w:ascii="Times New Roman" w:hAnsi="Times New Roman"/>
        </w:rPr>
        <w:t>Global E</w:t>
      </w:r>
      <w:r w:rsidR="00F718B7">
        <w:rPr>
          <w:rFonts w:ascii="Times New Roman" w:hAnsi="Times New Roman"/>
        </w:rPr>
        <w:t xml:space="preserve">dition, </w:t>
      </w:r>
      <w:r w:rsidR="00B37493" w:rsidRPr="00E93635">
        <w:rPr>
          <w:rFonts w:ascii="Times New Roman" w:hAnsi="Times New Roman"/>
        </w:rPr>
        <w:t xml:space="preserve">Upper Saddle River: </w:t>
      </w:r>
      <w:r w:rsidR="001339CB" w:rsidRPr="00E93635">
        <w:rPr>
          <w:rFonts w:ascii="Times New Roman" w:hAnsi="Times New Roman"/>
        </w:rPr>
        <w:t xml:space="preserve">Prentice Hall Pearson. </w:t>
      </w:r>
      <w:r w:rsidR="00EF1CE0" w:rsidRPr="00E93635">
        <w:rPr>
          <w:rFonts w:ascii="Times New Roman" w:hAnsi="Times New Roman"/>
        </w:rPr>
        <w:t>Published</w:t>
      </w:r>
      <w:r w:rsidR="005D3C02" w:rsidRPr="00E93635">
        <w:rPr>
          <w:rFonts w:ascii="Times New Roman" w:hAnsi="Times New Roman"/>
          <w:color w:val="000000"/>
        </w:rPr>
        <w:t xml:space="preserve"> </w:t>
      </w:r>
      <w:r w:rsidR="00EF1CE0" w:rsidRPr="00E93635">
        <w:rPr>
          <w:rFonts w:ascii="Times New Roman" w:hAnsi="Times New Roman"/>
          <w:color w:val="000000"/>
        </w:rPr>
        <w:t>J</w:t>
      </w:r>
      <w:r w:rsidR="004F7263" w:rsidRPr="00E93635">
        <w:rPr>
          <w:rFonts w:ascii="Times New Roman" w:hAnsi="Times New Roman"/>
          <w:color w:val="000000"/>
        </w:rPr>
        <w:t>anuar</w:t>
      </w:r>
      <w:r w:rsidR="00EF1CE0" w:rsidRPr="00E93635">
        <w:rPr>
          <w:rFonts w:ascii="Times New Roman" w:hAnsi="Times New Roman"/>
          <w:color w:val="000000"/>
        </w:rPr>
        <w:t>y</w:t>
      </w:r>
      <w:r w:rsidR="004F7263" w:rsidRPr="00E93635">
        <w:rPr>
          <w:rFonts w:ascii="Times New Roman" w:hAnsi="Times New Roman"/>
          <w:color w:val="000000"/>
        </w:rPr>
        <w:t xml:space="preserve"> 2010</w:t>
      </w:r>
    </w:p>
    <w:p w:rsidR="00A4027B" w:rsidRPr="00E93635" w:rsidRDefault="008B77FC" w:rsidP="00AE224D">
      <w:pPr>
        <w:pStyle w:val="ListParagraph"/>
        <w:numPr>
          <w:ilvl w:val="0"/>
          <w:numId w:val="13"/>
        </w:numPr>
        <w:rPr>
          <w:rFonts w:ascii="Times New Roman" w:hAnsi="Times New Roman"/>
        </w:rPr>
      </w:pPr>
      <w:r w:rsidRPr="00E93635">
        <w:rPr>
          <w:rFonts w:ascii="Times New Roman" w:hAnsi="Times New Roman"/>
        </w:rPr>
        <w:t>Parkin</w:t>
      </w:r>
      <w:r w:rsidR="004773C0" w:rsidRPr="00E93635">
        <w:rPr>
          <w:rFonts w:ascii="Times New Roman" w:hAnsi="Times New Roman"/>
        </w:rPr>
        <w:t>,</w:t>
      </w:r>
      <w:r w:rsidRPr="00E93635">
        <w:rPr>
          <w:rFonts w:ascii="Times New Roman" w:hAnsi="Times New Roman"/>
        </w:rPr>
        <w:t xml:space="preserve"> Michael</w:t>
      </w:r>
      <w:r w:rsidR="00F718B7">
        <w:rPr>
          <w:rFonts w:ascii="Times New Roman" w:hAnsi="Times New Roman"/>
        </w:rPr>
        <w:t xml:space="preserve"> (2010),</w:t>
      </w:r>
      <w:r w:rsidR="00A4027B" w:rsidRPr="00E93635">
        <w:rPr>
          <w:rFonts w:ascii="Times New Roman" w:hAnsi="Times New Roman"/>
        </w:rPr>
        <w:t xml:space="preserve"> </w:t>
      </w:r>
      <w:r w:rsidR="00A4027B" w:rsidRPr="00E93635">
        <w:rPr>
          <w:rFonts w:ascii="Times New Roman" w:hAnsi="Times New Roman"/>
          <w:i/>
        </w:rPr>
        <w:t>Economics</w:t>
      </w:r>
      <w:r w:rsidR="00E65136" w:rsidRPr="00E93635">
        <w:rPr>
          <w:rFonts w:ascii="Times New Roman" w:hAnsi="Times New Roman"/>
        </w:rPr>
        <w:t xml:space="preserve">, Ninth </w:t>
      </w:r>
      <w:r w:rsidR="00F718B7">
        <w:rPr>
          <w:rFonts w:ascii="Times New Roman" w:hAnsi="Times New Roman"/>
        </w:rPr>
        <w:t>Edition,</w:t>
      </w:r>
      <w:r w:rsidR="000033D1" w:rsidRPr="00E93635">
        <w:rPr>
          <w:rFonts w:ascii="Times New Roman" w:hAnsi="Times New Roman"/>
        </w:rPr>
        <w:t xml:space="preserve"> Global E</w:t>
      </w:r>
      <w:r w:rsidR="00F718B7">
        <w:rPr>
          <w:rFonts w:ascii="Times New Roman" w:hAnsi="Times New Roman"/>
        </w:rPr>
        <w:t xml:space="preserve">dition, </w:t>
      </w:r>
      <w:r w:rsidR="00A4027B" w:rsidRPr="00E93635">
        <w:rPr>
          <w:rFonts w:ascii="Times New Roman" w:hAnsi="Times New Roman"/>
        </w:rPr>
        <w:t>Boston: Pearson</w:t>
      </w:r>
      <w:r w:rsidR="004F7263" w:rsidRPr="00E93635">
        <w:rPr>
          <w:rFonts w:ascii="Times New Roman" w:hAnsi="Times New Roman"/>
        </w:rPr>
        <w:t xml:space="preserve">. </w:t>
      </w:r>
      <w:r w:rsidR="00EF1CE0" w:rsidRPr="00E93635">
        <w:rPr>
          <w:rFonts w:ascii="Times New Roman" w:hAnsi="Times New Roman"/>
        </w:rPr>
        <w:t>Published October</w:t>
      </w:r>
      <w:r w:rsidR="004F7263" w:rsidRPr="00E93635">
        <w:rPr>
          <w:rFonts w:ascii="Times New Roman" w:hAnsi="Times New Roman"/>
          <w:color w:val="000000"/>
        </w:rPr>
        <w:t xml:space="preserve"> 2009</w:t>
      </w:r>
    </w:p>
    <w:p w:rsidR="00CB724D" w:rsidRPr="00E93635" w:rsidRDefault="008B77FC" w:rsidP="00CB724D">
      <w:pPr>
        <w:pStyle w:val="ListParagraph"/>
        <w:numPr>
          <w:ilvl w:val="0"/>
          <w:numId w:val="13"/>
        </w:numPr>
        <w:rPr>
          <w:rFonts w:ascii="Times New Roman" w:hAnsi="Times New Roman"/>
        </w:rPr>
      </w:pPr>
      <w:r w:rsidRPr="00E93635">
        <w:rPr>
          <w:rFonts w:ascii="Times New Roman" w:hAnsi="Times New Roman"/>
        </w:rPr>
        <w:t>Schiller, Bradley</w:t>
      </w:r>
      <w:r w:rsidR="00AE224D" w:rsidRPr="00E93635">
        <w:rPr>
          <w:rFonts w:ascii="Times New Roman" w:hAnsi="Times New Roman"/>
        </w:rPr>
        <w:t xml:space="preserve"> R. </w:t>
      </w:r>
      <w:r w:rsidR="00F718B7">
        <w:rPr>
          <w:rFonts w:ascii="Times New Roman" w:hAnsi="Times New Roman"/>
        </w:rPr>
        <w:t>(2010),</w:t>
      </w:r>
      <w:r w:rsidR="00CB724D" w:rsidRPr="00E93635">
        <w:rPr>
          <w:rFonts w:ascii="Times New Roman" w:hAnsi="Times New Roman"/>
        </w:rPr>
        <w:t xml:space="preserve"> </w:t>
      </w:r>
      <w:r w:rsidR="00E65136" w:rsidRPr="00E93635">
        <w:rPr>
          <w:rFonts w:ascii="Times New Roman" w:hAnsi="Times New Roman"/>
          <w:i/>
        </w:rPr>
        <w:t xml:space="preserve">The Economy </w:t>
      </w:r>
      <w:r w:rsidR="00CB724D" w:rsidRPr="00E93635">
        <w:rPr>
          <w:rFonts w:ascii="Times New Roman" w:hAnsi="Times New Roman"/>
          <w:i/>
        </w:rPr>
        <w:t>Today</w:t>
      </w:r>
      <w:r w:rsidR="00E65136" w:rsidRPr="00E93635">
        <w:rPr>
          <w:rFonts w:ascii="Times New Roman" w:hAnsi="Times New Roman"/>
        </w:rPr>
        <w:t>, Twelfth E</w:t>
      </w:r>
      <w:r w:rsidR="00F718B7">
        <w:rPr>
          <w:rFonts w:ascii="Times New Roman" w:hAnsi="Times New Roman"/>
        </w:rPr>
        <w:t xml:space="preserve">dition, </w:t>
      </w:r>
      <w:r w:rsidR="000033D1" w:rsidRPr="00E93635">
        <w:rPr>
          <w:rFonts w:ascii="Times New Roman" w:hAnsi="Times New Roman"/>
        </w:rPr>
        <w:t>International E</w:t>
      </w:r>
      <w:r w:rsidR="00F718B7">
        <w:rPr>
          <w:rFonts w:ascii="Times New Roman" w:hAnsi="Times New Roman"/>
        </w:rPr>
        <w:t xml:space="preserve">dition, </w:t>
      </w:r>
      <w:r w:rsidR="00CB724D" w:rsidRPr="00E93635">
        <w:rPr>
          <w:rFonts w:ascii="Times New Roman" w:hAnsi="Times New Roman"/>
        </w:rPr>
        <w:t>Boston: McGraw-Hill/Irwin</w:t>
      </w:r>
      <w:r w:rsidR="004F7263" w:rsidRPr="00E93635">
        <w:rPr>
          <w:rFonts w:ascii="Times New Roman" w:hAnsi="Times New Roman"/>
        </w:rPr>
        <w:t xml:space="preserve">. </w:t>
      </w:r>
      <w:r w:rsidR="00EF1CE0" w:rsidRPr="00E93635">
        <w:rPr>
          <w:rFonts w:ascii="Times New Roman" w:hAnsi="Times New Roman"/>
        </w:rPr>
        <w:t>Published S</w:t>
      </w:r>
      <w:r w:rsidR="004F7263" w:rsidRPr="00E93635">
        <w:rPr>
          <w:rFonts w:ascii="Times New Roman" w:hAnsi="Times New Roman"/>
          <w:color w:val="000000"/>
        </w:rPr>
        <w:t>eptember 2010</w:t>
      </w:r>
    </w:p>
    <w:p w:rsidR="00CB724D" w:rsidRPr="00E93635" w:rsidRDefault="00CB724D" w:rsidP="00CB724D">
      <w:pPr>
        <w:numPr>
          <w:ilvl w:val="0"/>
          <w:numId w:val="13"/>
        </w:numPr>
        <w:spacing w:after="200" w:line="276" w:lineRule="auto"/>
        <w:rPr>
          <w:sz w:val="22"/>
          <w:szCs w:val="22"/>
          <w:lang w:val="en-US"/>
        </w:rPr>
      </w:pPr>
      <w:r w:rsidRPr="00F718B7">
        <w:rPr>
          <w:sz w:val="22"/>
          <w:szCs w:val="22"/>
          <w:lang w:val="en-US"/>
        </w:rPr>
        <w:t>Bad</w:t>
      </w:r>
      <w:r w:rsidR="00F718B7" w:rsidRPr="00F718B7">
        <w:rPr>
          <w:sz w:val="22"/>
          <w:szCs w:val="22"/>
          <w:lang w:val="en-US"/>
        </w:rPr>
        <w:t xml:space="preserve">e, Robin </w:t>
      </w:r>
      <w:r w:rsidR="00AB1A1E">
        <w:rPr>
          <w:sz w:val="22"/>
          <w:szCs w:val="22"/>
          <w:lang w:val="en-US"/>
        </w:rPr>
        <w:t>and</w:t>
      </w:r>
      <w:r w:rsidR="00F718B7" w:rsidRPr="00F718B7">
        <w:rPr>
          <w:sz w:val="22"/>
          <w:szCs w:val="22"/>
          <w:lang w:val="en-US"/>
        </w:rPr>
        <w:t xml:space="preserve"> Michael Parkin (</w:t>
      </w:r>
      <w:r w:rsidR="00C656DC" w:rsidRPr="00E93635">
        <w:rPr>
          <w:sz w:val="22"/>
          <w:szCs w:val="22"/>
          <w:lang w:val="en-US"/>
        </w:rPr>
        <w:t>2010</w:t>
      </w:r>
      <w:r w:rsidR="00F718B7">
        <w:rPr>
          <w:sz w:val="22"/>
          <w:szCs w:val="22"/>
          <w:lang w:val="en-US"/>
        </w:rPr>
        <w:t>),</w:t>
      </w:r>
      <w:r w:rsidRPr="00E93635">
        <w:rPr>
          <w:sz w:val="22"/>
          <w:szCs w:val="22"/>
          <w:lang w:val="en-US"/>
        </w:rPr>
        <w:t xml:space="preserve"> </w:t>
      </w:r>
      <w:r w:rsidRPr="00E93635">
        <w:rPr>
          <w:i/>
          <w:sz w:val="22"/>
          <w:szCs w:val="22"/>
          <w:lang w:val="en-US"/>
        </w:rPr>
        <w:t>Foundations of economics</w:t>
      </w:r>
      <w:r w:rsidR="00F718B7">
        <w:rPr>
          <w:sz w:val="22"/>
          <w:szCs w:val="22"/>
          <w:lang w:val="en-US"/>
        </w:rPr>
        <w:t>,</w:t>
      </w:r>
      <w:r w:rsidRPr="00E93635">
        <w:rPr>
          <w:sz w:val="22"/>
          <w:szCs w:val="22"/>
          <w:lang w:val="en-US"/>
        </w:rPr>
        <w:t xml:space="preserve"> </w:t>
      </w:r>
      <w:r w:rsidR="00F718B7">
        <w:rPr>
          <w:sz w:val="22"/>
          <w:szCs w:val="22"/>
          <w:lang w:val="en-US"/>
        </w:rPr>
        <w:t>Xth Edition, International edition, Boston</w:t>
      </w:r>
      <w:r w:rsidRPr="00E93635">
        <w:rPr>
          <w:sz w:val="22"/>
          <w:szCs w:val="22"/>
          <w:lang w:val="en-US"/>
        </w:rPr>
        <w:t>: Addison-Wesley</w:t>
      </w:r>
      <w:r w:rsidR="004F7263" w:rsidRPr="00E93635">
        <w:rPr>
          <w:sz w:val="22"/>
          <w:szCs w:val="22"/>
          <w:lang w:val="en-US"/>
        </w:rPr>
        <w:t xml:space="preserve">. </w:t>
      </w:r>
      <w:r w:rsidR="00EF1CE0" w:rsidRPr="00E93635">
        <w:rPr>
          <w:sz w:val="22"/>
          <w:szCs w:val="22"/>
          <w:lang w:val="en-US"/>
        </w:rPr>
        <w:t>Published S</w:t>
      </w:r>
      <w:r w:rsidR="005D3C02" w:rsidRPr="00E93635">
        <w:rPr>
          <w:color w:val="000000"/>
          <w:sz w:val="22"/>
          <w:szCs w:val="22"/>
          <w:lang w:val="en-US"/>
        </w:rPr>
        <w:t xml:space="preserve">eptember </w:t>
      </w:r>
      <w:r w:rsidR="004F7263" w:rsidRPr="00E93635">
        <w:rPr>
          <w:color w:val="000000"/>
          <w:sz w:val="22"/>
          <w:szCs w:val="22"/>
          <w:lang w:val="en-US"/>
        </w:rPr>
        <w:t>2010</w:t>
      </w:r>
      <w:r w:rsidRPr="00E93635">
        <w:rPr>
          <w:sz w:val="22"/>
          <w:szCs w:val="22"/>
          <w:lang w:val="en-US"/>
        </w:rPr>
        <w:t xml:space="preserve"> </w:t>
      </w:r>
    </w:p>
    <w:p w:rsidR="00A4027B" w:rsidRPr="00E93635" w:rsidRDefault="008B77FC" w:rsidP="00A4027B">
      <w:pPr>
        <w:pStyle w:val="ListParagraph"/>
        <w:numPr>
          <w:ilvl w:val="0"/>
          <w:numId w:val="13"/>
        </w:numPr>
        <w:rPr>
          <w:rFonts w:ascii="Times New Roman" w:hAnsi="Times New Roman"/>
        </w:rPr>
      </w:pPr>
      <w:r w:rsidRPr="00E93635">
        <w:rPr>
          <w:rFonts w:ascii="Times New Roman" w:hAnsi="Times New Roman"/>
          <w:color w:val="000000"/>
        </w:rPr>
        <w:t>Colander, David</w:t>
      </w:r>
      <w:r w:rsidR="00F718B7">
        <w:rPr>
          <w:rFonts w:ascii="Times New Roman" w:hAnsi="Times New Roman"/>
          <w:color w:val="000000"/>
        </w:rPr>
        <w:t xml:space="preserve"> (2010),</w:t>
      </w:r>
      <w:r w:rsidR="00A4027B" w:rsidRPr="00E93635">
        <w:rPr>
          <w:rFonts w:ascii="Times New Roman" w:hAnsi="Times New Roman"/>
          <w:color w:val="000000"/>
        </w:rPr>
        <w:t xml:space="preserve"> </w:t>
      </w:r>
      <w:r w:rsidR="00A4027B" w:rsidRPr="00E93635">
        <w:rPr>
          <w:rFonts w:ascii="Times New Roman" w:hAnsi="Times New Roman"/>
          <w:i/>
          <w:color w:val="000000"/>
        </w:rPr>
        <w:t>Economics</w:t>
      </w:r>
      <w:r w:rsidR="00A4027B" w:rsidRPr="00E93635">
        <w:rPr>
          <w:rFonts w:ascii="Times New Roman" w:hAnsi="Times New Roman"/>
          <w:color w:val="000000"/>
        </w:rPr>
        <w:t>,</w:t>
      </w:r>
      <w:r w:rsidR="00E65136" w:rsidRPr="00E93635">
        <w:rPr>
          <w:rFonts w:ascii="Times New Roman" w:hAnsi="Times New Roman"/>
          <w:color w:val="000000"/>
        </w:rPr>
        <w:t xml:space="preserve"> Eighth </w:t>
      </w:r>
      <w:r w:rsidR="00F718B7">
        <w:rPr>
          <w:rFonts w:ascii="Times New Roman" w:hAnsi="Times New Roman"/>
          <w:color w:val="000000"/>
        </w:rPr>
        <w:t>Edition,</w:t>
      </w:r>
      <w:r w:rsidR="00A4027B" w:rsidRPr="00E93635">
        <w:rPr>
          <w:rFonts w:ascii="Times New Roman" w:hAnsi="Times New Roman"/>
          <w:color w:val="000000"/>
        </w:rPr>
        <w:t xml:space="preserve"> Boston: McGraw-Hill/Irwin</w:t>
      </w:r>
      <w:r w:rsidR="00F718B7">
        <w:rPr>
          <w:rFonts w:ascii="Times New Roman" w:hAnsi="Times New Roman"/>
          <w:color w:val="000000"/>
        </w:rPr>
        <w:t xml:space="preserve">, </w:t>
      </w:r>
      <w:r w:rsidR="00CE6D3E" w:rsidRPr="00E93635">
        <w:rPr>
          <w:rFonts w:ascii="Times New Roman" w:hAnsi="Times New Roman"/>
          <w:color w:val="000000"/>
        </w:rPr>
        <w:t>International Student Edition</w:t>
      </w:r>
      <w:r w:rsidR="00F718B7">
        <w:rPr>
          <w:rFonts w:ascii="Times New Roman" w:hAnsi="Times New Roman"/>
          <w:color w:val="000000"/>
        </w:rPr>
        <w:t xml:space="preserve">, </w:t>
      </w:r>
      <w:r w:rsidR="00EF1CE0" w:rsidRPr="00E93635">
        <w:rPr>
          <w:rFonts w:ascii="Times New Roman" w:hAnsi="Times New Roman"/>
          <w:color w:val="000000"/>
        </w:rPr>
        <w:t>Published S</w:t>
      </w:r>
      <w:r w:rsidR="005D3C02" w:rsidRPr="00E93635">
        <w:rPr>
          <w:rFonts w:ascii="Times New Roman" w:hAnsi="Times New Roman"/>
          <w:color w:val="000000"/>
        </w:rPr>
        <w:t>eptember 2009</w:t>
      </w:r>
    </w:p>
    <w:p w:rsidR="00364D78" w:rsidRPr="00E93635" w:rsidRDefault="008B77FC" w:rsidP="00A4027B">
      <w:pPr>
        <w:pStyle w:val="ListParagraph"/>
        <w:numPr>
          <w:ilvl w:val="0"/>
          <w:numId w:val="13"/>
        </w:numPr>
        <w:rPr>
          <w:rFonts w:ascii="Times New Roman" w:hAnsi="Times New Roman"/>
        </w:rPr>
      </w:pPr>
      <w:r w:rsidRPr="00E93635">
        <w:rPr>
          <w:rFonts w:ascii="Times New Roman" w:hAnsi="Times New Roman"/>
        </w:rPr>
        <w:t xml:space="preserve">O’Sullivan, Arthur, Steven </w:t>
      </w:r>
      <w:r w:rsidR="00470BB9" w:rsidRPr="00E93635">
        <w:rPr>
          <w:rFonts w:ascii="Times New Roman" w:hAnsi="Times New Roman"/>
        </w:rPr>
        <w:t>Sheffrin and</w:t>
      </w:r>
      <w:r w:rsidRPr="00E93635">
        <w:rPr>
          <w:rFonts w:ascii="Times New Roman" w:hAnsi="Times New Roman"/>
        </w:rPr>
        <w:t xml:space="preserve"> Stephen</w:t>
      </w:r>
      <w:r w:rsidR="00F718B7">
        <w:rPr>
          <w:rFonts w:ascii="Times New Roman" w:hAnsi="Times New Roman"/>
        </w:rPr>
        <w:t xml:space="preserve"> Perez (</w:t>
      </w:r>
      <w:r w:rsidR="00AE224D" w:rsidRPr="00E93635">
        <w:rPr>
          <w:rFonts w:ascii="Times New Roman" w:hAnsi="Times New Roman"/>
        </w:rPr>
        <w:t>2010</w:t>
      </w:r>
      <w:r w:rsidR="00F718B7">
        <w:rPr>
          <w:rFonts w:ascii="Times New Roman" w:hAnsi="Times New Roman"/>
        </w:rPr>
        <w:t>),</w:t>
      </w:r>
      <w:r w:rsidR="00AE224D" w:rsidRPr="00E93635">
        <w:rPr>
          <w:rFonts w:ascii="Times New Roman" w:hAnsi="Times New Roman"/>
        </w:rPr>
        <w:t xml:space="preserve"> </w:t>
      </w:r>
      <w:r w:rsidR="00A4027B" w:rsidRPr="00E93635">
        <w:rPr>
          <w:rFonts w:ascii="Times New Roman" w:hAnsi="Times New Roman"/>
        </w:rPr>
        <w:t xml:space="preserve"> </w:t>
      </w:r>
      <w:r w:rsidR="00A4027B" w:rsidRPr="00E93635">
        <w:rPr>
          <w:rFonts w:ascii="Times New Roman" w:hAnsi="Times New Roman"/>
          <w:i/>
        </w:rPr>
        <w:t>Economics. Principles, Applications, and Tools</w:t>
      </w:r>
      <w:r w:rsidR="00A4027B" w:rsidRPr="00E93635">
        <w:rPr>
          <w:rFonts w:ascii="Times New Roman" w:hAnsi="Times New Roman"/>
        </w:rPr>
        <w:t>,</w:t>
      </w:r>
      <w:r w:rsidR="00E65136" w:rsidRPr="00E93635">
        <w:rPr>
          <w:rFonts w:ascii="Times New Roman" w:hAnsi="Times New Roman"/>
        </w:rPr>
        <w:t xml:space="preserve"> Sixth E</w:t>
      </w:r>
      <w:r w:rsidR="00F718B7">
        <w:rPr>
          <w:rFonts w:ascii="Times New Roman" w:hAnsi="Times New Roman"/>
        </w:rPr>
        <w:t xml:space="preserve">dition, </w:t>
      </w:r>
      <w:r w:rsidR="00B37493" w:rsidRPr="00E93635">
        <w:rPr>
          <w:rFonts w:ascii="Times New Roman" w:hAnsi="Times New Roman"/>
        </w:rPr>
        <w:t xml:space="preserve">International edition, Upper Saddle River: </w:t>
      </w:r>
      <w:r w:rsidR="005D3C02" w:rsidRPr="00E93635">
        <w:rPr>
          <w:rFonts w:ascii="Times New Roman" w:hAnsi="Times New Roman"/>
        </w:rPr>
        <w:t xml:space="preserve">Pearson. </w:t>
      </w:r>
      <w:r w:rsidR="00EF1CE0" w:rsidRPr="00E93635">
        <w:rPr>
          <w:rFonts w:ascii="Times New Roman" w:hAnsi="Times New Roman"/>
        </w:rPr>
        <w:t>Published May</w:t>
      </w:r>
      <w:r w:rsidR="005D3C02" w:rsidRPr="00E93635">
        <w:rPr>
          <w:rFonts w:ascii="Times New Roman" w:hAnsi="Times New Roman"/>
        </w:rPr>
        <w:t xml:space="preserve"> 2010.</w:t>
      </w:r>
    </w:p>
    <w:p w:rsidR="00A4027B" w:rsidRPr="00E93635" w:rsidRDefault="00A4027B" w:rsidP="00A4027B">
      <w:pPr>
        <w:rPr>
          <w:sz w:val="22"/>
          <w:szCs w:val="22"/>
          <w:lang w:val="en-US"/>
        </w:rPr>
      </w:pPr>
    </w:p>
    <w:p w:rsidR="002B1938" w:rsidRPr="00E93635" w:rsidRDefault="00470BB9" w:rsidP="002B1938">
      <w:pPr>
        <w:rPr>
          <w:sz w:val="22"/>
          <w:szCs w:val="22"/>
          <w:lang w:val="en-US"/>
        </w:rPr>
      </w:pPr>
      <w:r w:rsidRPr="00E93635">
        <w:rPr>
          <w:b/>
          <w:sz w:val="22"/>
          <w:szCs w:val="22"/>
          <w:lang w:val="en-US"/>
        </w:rPr>
        <w:lastRenderedPageBreak/>
        <w:t>Appendix</w:t>
      </w:r>
      <w:r w:rsidR="002B1938" w:rsidRPr="00E93635">
        <w:rPr>
          <w:b/>
          <w:sz w:val="22"/>
          <w:szCs w:val="22"/>
          <w:lang w:val="en-US"/>
        </w:rPr>
        <w:t xml:space="preserve"> B: </w:t>
      </w:r>
      <w:r w:rsidR="002B1938" w:rsidRPr="00E93635">
        <w:rPr>
          <w:sz w:val="22"/>
          <w:szCs w:val="22"/>
          <w:lang w:val="en-US"/>
        </w:rPr>
        <w:t>Principles of Economics Books in Market Share Order, April 21, 2010</w:t>
      </w:r>
      <w:r w:rsidR="00B37493" w:rsidRPr="00E93635">
        <w:rPr>
          <w:rStyle w:val="FootnoteReference"/>
          <w:sz w:val="22"/>
          <w:szCs w:val="22"/>
          <w:lang w:val="en-US"/>
        </w:rPr>
        <w:footnoteReference w:id="25"/>
      </w:r>
    </w:p>
    <w:p w:rsidR="002B1938" w:rsidRPr="00E93635" w:rsidRDefault="002B1938" w:rsidP="002B1938">
      <w:pPr>
        <w:ind w:left="360"/>
        <w:rPr>
          <w:sz w:val="22"/>
          <w:szCs w:val="22"/>
          <w:lang w:val="en-US"/>
        </w:rPr>
      </w:pPr>
    </w:p>
    <w:p w:rsidR="002B1938" w:rsidRPr="00E93635" w:rsidRDefault="002B1938" w:rsidP="002B1938">
      <w:pPr>
        <w:numPr>
          <w:ilvl w:val="0"/>
          <w:numId w:val="10"/>
        </w:numPr>
        <w:rPr>
          <w:sz w:val="22"/>
          <w:szCs w:val="22"/>
          <w:lang w:val="en-US"/>
        </w:rPr>
      </w:pPr>
      <w:r w:rsidRPr="00E93635">
        <w:rPr>
          <w:sz w:val="22"/>
          <w:szCs w:val="22"/>
          <w:lang w:val="en-US"/>
        </w:rPr>
        <w:t>McConnell/Brue (MHP)</w:t>
      </w:r>
    </w:p>
    <w:p w:rsidR="002B1938" w:rsidRPr="00E93635" w:rsidRDefault="002B1938" w:rsidP="002B1938">
      <w:pPr>
        <w:numPr>
          <w:ilvl w:val="0"/>
          <w:numId w:val="10"/>
        </w:numPr>
        <w:rPr>
          <w:sz w:val="22"/>
          <w:szCs w:val="22"/>
          <w:lang w:val="en-US"/>
        </w:rPr>
      </w:pPr>
      <w:r w:rsidRPr="00E93635">
        <w:rPr>
          <w:sz w:val="22"/>
          <w:szCs w:val="22"/>
          <w:lang w:val="en-US"/>
        </w:rPr>
        <w:t xml:space="preserve">Mankiw (Cengage) </w:t>
      </w:r>
    </w:p>
    <w:p w:rsidR="002B1938" w:rsidRPr="00E93635" w:rsidRDefault="002B1938" w:rsidP="002B1938">
      <w:pPr>
        <w:numPr>
          <w:ilvl w:val="0"/>
          <w:numId w:val="10"/>
        </w:numPr>
        <w:rPr>
          <w:sz w:val="22"/>
          <w:szCs w:val="22"/>
        </w:rPr>
      </w:pPr>
      <w:r w:rsidRPr="00E93635">
        <w:rPr>
          <w:sz w:val="22"/>
          <w:szCs w:val="22"/>
          <w:lang w:val="en-US"/>
        </w:rPr>
        <w:t>Mi</w:t>
      </w:r>
      <w:r w:rsidRPr="00E93635">
        <w:rPr>
          <w:sz w:val="22"/>
          <w:szCs w:val="22"/>
        </w:rPr>
        <w:t>ller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proofErr w:type="spellStart"/>
      <w:r w:rsidRPr="00E93635">
        <w:rPr>
          <w:sz w:val="22"/>
          <w:szCs w:val="22"/>
        </w:rPr>
        <w:t>Hubbard</w:t>
      </w:r>
      <w:proofErr w:type="spellEnd"/>
      <w:r w:rsidRPr="00E93635">
        <w:rPr>
          <w:sz w:val="22"/>
          <w:szCs w:val="22"/>
        </w:rPr>
        <w:t xml:space="preserve">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r w:rsidRPr="00E93635">
        <w:rPr>
          <w:sz w:val="22"/>
          <w:szCs w:val="22"/>
        </w:rPr>
        <w:t>Case/Fair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r w:rsidRPr="00E93635">
        <w:rPr>
          <w:sz w:val="22"/>
          <w:szCs w:val="22"/>
        </w:rPr>
        <w:t>Parkin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r w:rsidRPr="00E93635">
        <w:rPr>
          <w:sz w:val="22"/>
          <w:szCs w:val="22"/>
        </w:rPr>
        <w:t>Schiller (MHP)</w:t>
      </w:r>
    </w:p>
    <w:p w:rsidR="002B1938" w:rsidRPr="00E93635" w:rsidRDefault="002B1938" w:rsidP="002B1938">
      <w:pPr>
        <w:numPr>
          <w:ilvl w:val="0"/>
          <w:numId w:val="10"/>
        </w:numPr>
        <w:rPr>
          <w:sz w:val="22"/>
          <w:szCs w:val="22"/>
        </w:rPr>
      </w:pPr>
      <w:r w:rsidRPr="00E93635">
        <w:rPr>
          <w:sz w:val="22"/>
          <w:szCs w:val="22"/>
        </w:rPr>
        <w:t>Arnold (Cengage)</w:t>
      </w:r>
    </w:p>
    <w:p w:rsidR="002B1938" w:rsidRPr="00E93635" w:rsidRDefault="002B1938" w:rsidP="002B1938">
      <w:pPr>
        <w:numPr>
          <w:ilvl w:val="0"/>
          <w:numId w:val="10"/>
        </w:numPr>
        <w:rPr>
          <w:sz w:val="22"/>
          <w:szCs w:val="22"/>
        </w:rPr>
      </w:pPr>
      <w:r w:rsidRPr="00E93635">
        <w:rPr>
          <w:sz w:val="22"/>
          <w:szCs w:val="22"/>
        </w:rPr>
        <w:t>Krugman (Worth)</w:t>
      </w:r>
    </w:p>
    <w:p w:rsidR="002B1938" w:rsidRPr="00E93635" w:rsidRDefault="002B1938" w:rsidP="002B1938">
      <w:pPr>
        <w:numPr>
          <w:ilvl w:val="0"/>
          <w:numId w:val="10"/>
        </w:numPr>
        <w:rPr>
          <w:sz w:val="22"/>
          <w:szCs w:val="22"/>
        </w:rPr>
      </w:pPr>
      <w:r w:rsidRPr="00E93635">
        <w:rPr>
          <w:sz w:val="22"/>
          <w:szCs w:val="22"/>
        </w:rPr>
        <w:t>Bade/Parkin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proofErr w:type="spellStart"/>
      <w:r w:rsidRPr="00E93635">
        <w:rPr>
          <w:sz w:val="22"/>
          <w:szCs w:val="22"/>
        </w:rPr>
        <w:t>McEachern</w:t>
      </w:r>
      <w:proofErr w:type="spellEnd"/>
      <w:r w:rsidRPr="00E93635">
        <w:rPr>
          <w:sz w:val="22"/>
          <w:szCs w:val="22"/>
        </w:rPr>
        <w:t xml:space="preserve"> (Cengage)</w:t>
      </w:r>
    </w:p>
    <w:p w:rsidR="002B1938" w:rsidRPr="00E93635" w:rsidRDefault="002B1938" w:rsidP="002B1938">
      <w:pPr>
        <w:numPr>
          <w:ilvl w:val="0"/>
          <w:numId w:val="10"/>
        </w:numPr>
        <w:rPr>
          <w:sz w:val="22"/>
          <w:szCs w:val="22"/>
        </w:rPr>
      </w:pPr>
      <w:r w:rsidRPr="00E93635">
        <w:rPr>
          <w:sz w:val="22"/>
          <w:szCs w:val="22"/>
        </w:rPr>
        <w:t>Colander (MHP)</w:t>
      </w:r>
    </w:p>
    <w:p w:rsidR="002B1938" w:rsidRPr="00E93635" w:rsidRDefault="002B1938" w:rsidP="002B1938">
      <w:pPr>
        <w:numPr>
          <w:ilvl w:val="0"/>
          <w:numId w:val="10"/>
        </w:numPr>
        <w:rPr>
          <w:sz w:val="22"/>
          <w:szCs w:val="22"/>
        </w:rPr>
      </w:pPr>
      <w:proofErr w:type="spellStart"/>
      <w:r w:rsidRPr="00E93635">
        <w:rPr>
          <w:sz w:val="22"/>
          <w:szCs w:val="22"/>
        </w:rPr>
        <w:t>Frank/Bernanke</w:t>
      </w:r>
      <w:proofErr w:type="spellEnd"/>
      <w:r w:rsidRPr="00E93635">
        <w:rPr>
          <w:sz w:val="22"/>
          <w:szCs w:val="22"/>
        </w:rPr>
        <w:t xml:space="preserve"> (MHP)</w:t>
      </w:r>
    </w:p>
    <w:p w:rsidR="002B1938" w:rsidRPr="00E93635" w:rsidRDefault="002B1938" w:rsidP="002B1938">
      <w:pPr>
        <w:numPr>
          <w:ilvl w:val="0"/>
          <w:numId w:val="10"/>
        </w:numPr>
        <w:rPr>
          <w:sz w:val="22"/>
          <w:szCs w:val="22"/>
        </w:rPr>
      </w:pPr>
      <w:proofErr w:type="spellStart"/>
      <w:r w:rsidRPr="00E93635">
        <w:rPr>
          <w:sz w:val="22"/>
          <w:szCs w:val="22"/>
        </w:rPr>
        <w:t>Gwartney/Stroup</w:t>
      </w:r>
      <w:proofErr w:type="spellEnd"/>
      <w:r w:rsidRPr="00E93635">
        <w:rPr>
          <w:sz w:val="22"/>
          <w:szCs w:val="22"/>
        </w:rPr>
        <w:t xml:space="preserve"> (Cengage)</w:t>
      </w:r>
    </w:p>
    <w:p w:rsidR="002B1938" w:rsidRPr="00E93635" w:rsidRDefault="002B1938" w:rsidP="002B1938">
      <w:pPr>
        <w:numPr>
          <w:ilvl w:val="0"/>
          <w:numId w:val="10"/>
        </w:numPr>
        <w:rPr>
          <w:sz w:val="22"/>
          <w:szCs w:val="22"/>
        </w:rPr>
      </w:pPr>
      <w:r w:rsidRPr="00E93635">
        <w:rPr>
          <w:sz w:val="22"/>
          <w:szCs w:val="22"/>
        </w:rPr>
        <w:t>Baumol/Blinder (Cengage)</w:t>
      </w:r>
    </w:p>
    <w:p w:rsidR="002B1938" w:rsidRPr="00E93635" w:rsidRDefault="002B1938" w:rsidP="002B1938">
      <w:pPr>
        <w:numPr>
          <w:ilvl w:val="0"/>
          <w:numId w:val="10"/>
        </w:numPr>
        <w:rPr>
          <w:sz w:val="22"/>
          <w:szCs w:val="22"/>
        </w:rPr>
      </w:pPr>
      <w:proofErr w:type="spellStart"/>
      <w:r w:rsidRPr="00E93635">
        <w:rPr>
          <w:sz w:val="22"/>
          <w:szCs w:val="22"/>
        </w:rPr>
        <w:t>Boyes/Melvin</w:t>
      </w:r>
      <w:proofErr w:type="spellEnd"/>
      <w:r w:rsidRPr="00E93635">
        <w:rPr>
          <w:sz w:val="22"/>
          <w:szCs w:val="22"/>
        </w:rPr>
        <w:t xml:space="preserve"> (Cengage)</w:t>
      </w:r>
    </w:p>
    <w:p w:rsidR="002B1938" w:rsidRPr="00E93635" w:rsidRDefault="002B1938" w:rsidP="002B1938">
      <w:pPr>
        <w:numPr>
          <w:ilvl w:val="0"/>
          <w:numId w:val="10"/>
        </w:numPr>
        <w:rPr>
          <w:sz w:val="22"/>
          <w:szCs w:val="22"/>
        </w:rPr>
      </w:pPr>
      <w:proofErr w:type="spellStart"/>
      <w:r w:rsidRPr="00E93635">
        <w:rPr>
          <w:sz w:val="22"/>
          <w:szCs w:val="22"/>
        </w:rPr>
        <w:t>O'Sullivan/Sheffrin</w:t>
      </w:r>
      <w:proofErr w:type="spellEnd"/>
      <w:r w:rsidRPr="00E93635">
        <w:rPr>
          <w:sz w:val="22"/>
          <w:szCs w:val="22"/>
        </w:rPr>
        <w:t xml:space="preserve">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proofErr w:type="spellStart"/>
      <w:r w:rsidRPr="00E93635">
        <w:rPr>
          <w:sz w:val="22"/>
          <w:szCs w:val="22"/>
        </w:rPr>
        <w:t>Tucker</w:t>
      </w:r>
      <w:proofErr w:type="spellEnd"/>
      <w:r w:rsidRPr="00E93635">
        <w:rPr>
          <w:sz w:val="22"/>
          <w:szCs w:val="22"/>
        </w:rPr>
        <w:t xml:space="preserve"> (Cengage) </w:t>
      </w:r>
    </w:p>
    <w:p w:rsidR="002B1938" w:rsidRPr="00E93635" w:rsidRDefault="002B1938" w:rsidP="002B1938">
      <w:pPr>
        <w:numPr>
          <w:ilvl w:val="0"/>
          <w:numId w:val="10"/>
        </w:numPr>
        <w:rPr>
          <w:sz w:val="22"/>
          <w:szCs w:val="22"/>
        </w:rPr>
      </w:pPr>
      <w:proofErr w:type="spellStart"/>
      <w:r w:rsidRPr="00E93635">
        <w:rPr>
          <w:sz w:val="22"/>
          <w:szCs w:val="22"/>
        </w:rPr>
        <w:t>Slavin</w:t>
      </w:r>
      <w:proofErr w:type="spellEnd"/>
      <w:r w:rsidRPr="00E93635">
        <w:rPr>
          <w:sz w:val="22"/>
          <w:szCs w:val="22"/>
        </w:rPr>
        <w:t xml:space="preserve"> (MHP)</w:t>
      </w:r>
    </w:p>
    <w:p w:rsidR="002B1938" w:rsidRPr="00E93635" w:rsidRDefault="002B1938" w:rsidP="002B1938">
      <w:pPr>
        <w:numPr>
          <w:ilvl w:val="0"/>
          <w:numId w:val="10"/>
        </w:numPr>
        <w:rPr>
          <w:sz w:val="22"/>
          <w:szCs w:val="22"/>
        </w:rPr>
      </w:pPr>
      <w:r w:rsidRPr="00E93635">
        <w:rPr>
          <w:sz w:val="22"/>
          <w:szCs w:val="22"/>
        </w:rPr>
        <w:t>Hall/Lieberman (Cengage)</w:t>
      </w:r>
    </w:p>
    <w:p w:rsidR="002B1938" w:rsidRPr="00E93635" w:rsidRDefault="002B1938" w:rsidP="002B1938">
      <w:pPr>
        <w:numPr>
          <w:ilvl w:val="0"/>
          <w:numId w:val="10"/>
        </w:numPr>
        <w:rPr>
          <w:sz w:val="22"/>
          <w:szCs w:val="22"/>
        </w:rPr>
      </w:pPr>
      <w:r w:rsidRPr="00E93635">
        <w:rPr>
          <w:sz w:val="22"/>
          <w:szCs w:val="22"/>
        </w:rPr>
        <w:t xml:space="preserve">Taylor, John (Cengage) </w:t>
      </w:r>
    </w:p>
    <w:p w:rsidR="002B1938" w:rsidRPr="00E93635" w:rsidRDefault="002B1938" w:rsidP="002B1938">
      <w:pPr>
        <w:numPr>
          <w:ilvl w:val="0"/>
          <w:numId w:val="10"/>
        </w:numPr>
        <w:rPr>
          <w:sz w:val="22"/>
          <w:szCs w:val="22"/>
        </w:rPr>
      </w:pPr>
      <w:proofErr w:type="spellStart"/>
      <w:r w:rsidRPr="00E93635">
        <w:rPr>
          <w:sz w:val="22"/>
          <w:szCs w:val="22"/>
        </w:rPr>
        <w:t>Sexton</w:t>
      </w:r>
      <w:proofErr w:type="spellEnd"/>
      <w:r w:rsidRPr="00E93635">
        <w:rPr>
          <w:sz w:val="22"/>
          <w:szCs w:val="22"/>
        </w:rPr>
        <w:t xml:space="preserve"> (</w:t>
      </w:r>
      <w:proofErr w:type="spellStart"/>
      <w:r w:rsidRPr="00E93635">
        <w:rPr>
          <w:sz w:val="22"/>
          <w:szCs w:val="22"/>
        </w:rPr>
        <w:t>Pearson</w:t>
      </w:r>
      <w:proofErr w:type="spellEnd"/>
      <w:r w:rsidRPr="00E93635">
        <w:rPr>
          <w:sz w:val="22"/>
          <w:szCs w:val="22"/>
        </w:rPr>
        <w:t>)</w:t>
      </w:r>
    </w:p>
    <w:p w:rsidR="002B1938" w:rsidRPr="00E93635" w:rsidRDefault="002B1938" w:rsidP="002B1938">
      <w:pPr>
        <w:numPr>
          <w:ilvl w:val="0"/>
          <w:numId w:val="10"/>
        </w:numPr>
        <w:rPr>
          <w:sz w:val="22"/>
          <w:szCs w:val="22"/>
        </w:rPr>
      </w:pPr>
      <w:proofErr w:type="spellStart"/>
      <w:r w:rsidRPr="00E93635">
        <w:rPr>
          <w:sz w:val="22"/>
          <w:szCs w:val="22"/>
        </w:rPr>
        <w:t>Ayers/Collinge</w:t>
      </w:r>
      <w:proofErr w:type="spellEnd"/>
      <w:r w:rsidRPr="00E93635">
        <w:rPr>
          <w:sz w:val="22"/>
          <w:szCs w:val="22"/>
        </w:rPr>
        <w:t xml:space="preserve"> (</w:t>
      </w:r>
      <w:proofErr w:type="spellStart"/>
      <w:r w:rsidRPr="00E93635">
        <w:rPr>
          <w:sz w:val="22"/>
          <w:szCs w:val="22"/>
        </w:rPr>
        <w:t>Pearson</w:t>
      </w:r>
      <w:proofErr w:type="spellEnd"/>
      <w:r w:rsidRPr="00E93635">
        <w:rPr>
          <w:sz w:val="22"/>
          <w:szCs w:val="22"/>
        </w:rPr>
        <w:t>)</w:t>
      </w:r>
    </w:p>
    <w:p w:rsidR="002B1938" w:rsidRPr="00153470" w:rsidRDefault="002B1938" w:rsidP="002B1938">
      <w:pPr>
        <w:numPr>
          <w:ilvl w:val="0"/>
          <w:numId w:val="10"/>
        </w:numPr>
        <w:rPr>
          <w:rFonts w:cs="Arial"/>
          <w:sz w:val="22"/>
          <w:szCs w:val="22"/>
        </w:rPr>
      </w:pPr>
      <w:r w:rsidRPr="00E93635">
        <w:rPr>
          <w:sz w:val="22"/>
          <w:szCs w:val="22"/>
        </w:rPr>
        <w:t>Samuelson/Nordhaus (M</w:t>
      </w:r>
      <w:r w:rsidRPr="00153470">
        <w:rPr>
          <w:rFonts w:cs="Arial"/>
          <w:sz w:val="22"/>
          <w:szCs w:val="22"/>
        </w:rPr>
        <w:t>HP)</w:t>
      </w:r>
    </w:p>
    <w:p w:rsidR="002B1938" w:rsidRPr="00153470" w:rsidRDefault="002B1938" w:rsidP="002B1938">
      <w:pPr>
        <w:numPr>
          <w:ilvl w:val="0"/>
          <w:numId w:val="10"/>
        </w:numPr>
        <w:rPr>
          <w:rFonts w:cs="Arial"/>
          <w:sz w:val="22"/>
          <w:szCs w:val="22"/>
        </w:rPr>
      </w:pPr>
      <w:proofErr w:type="spellStart"/>
      <w:r w:rsidRPr="00153470">
        <w:rPr>
          <w:rFonts w:cs="Arial"/>
          <w:sz w:val="22"/>
          <w:szCs w:val="22"/>
        </w:rPr>
        <w:t>Gottheil</w:t>
      </w:r>
      <w:proofErr w:type="spellEnd"/>
      <w:r w:rsidRPr="00153470">
        <w:rPr>
          <w:rFonts w:cs="Arial"/>
          <w:sz w:val="22"/>
          <w:szCs w:val="22"/>
        </w:rPr>
        <w:t xml:space="preserve"> (Cengage)</w:t>
      </w:r>
    </w:p>
    <w:p w:rsidR="002B1938" w:rsidRPr="00153470" w:rsidRDefault="002B1938" w:rsidP="002B1938">
      <w:pPr>
        <w:numPr>
          <w:ilvl w:val="0"/>
          <w:numId w:val="10"/>
        </w:numPr>
        <w:rPr>
          <w:rFonts w:cs="Arial"/>
          <w:sz w:val="22"/>
          <w:szCs w:val="22"/>
        </w:rPr>
      </w:pPr>
      <w:proofErr w:type="spellStart"/>
      <w:r w:rsidRPr="00153470">
        <w:rPr>
          <w:rFonts w:cs="Arial"/>
          <w:sz w:val="22"/>
          <w:szCs w:val="22"/>
        </w:rPr>
        <w:t>Stiglitz/Walsh</w:t>
      </w:r>
      <w:proofErr w:type="spellEnd"/>
      <w:r w:rsidRPr="00153470">
        <w:rPr>
          <w:rFonts w:cs="Arial"/>
          <w:sz w:val="22"/>
          <w:szCs w:val="22"/>
        </w:rPr>
        <w:t xml:space="preserve"> (Norton)</w:t>
      </w:r>
    </w:p>
    <w:p w:rsidR="002B1938" w:rsidRPr="00153470" w:rsidRDefault="002B1938" w:rsidP="002B1938">
      <w:pPr>
        <w:numPr>
          <w:ilvl w:val="0"/>
          <w:numId w:val="10"/>
        </w:numPr>
        <w:rPr>
          <w:rFonts w:cs="Arial"/>
          <w:sz w:val="22"/>
          <w:szCs w:val="22"/>
        </w:rPr>
      </w:pPr>
      <w:r w:rsidRPr="00153470">
        <w:rPr>
          <w:rFonts w:cs="Arial"/>
          <w:sz w:val="22"/>
          <w:szCs w:val="22"/>
        </w:rPr>
        <w:t>Stone (Worth)</w:t>
      </w:r>
    </w:p>
    <w:p w:rsidR="002B1938" w:rsidRPr="00153470" w:rsidRDefault="002B1938" w:rsidP="002B1938">
      <w:pPr>
        <w:rPr>
          <w:sz w:val="22"/>
          <w:szCs w:val="22"/>
        </w:rPr>
      </w:pPr>
    </w:p>
    <w:p w:rsidR="002B1938" w:rsidRPr="00153470" w:rsidRDefault="002B1938" w:rsidP="002B1938">
      <w:pPr>
        <w:rPr>
          <w:sz w:val="22"/>
          <w:szCs w:val="22"/>
        </w:rPr>
      </w:pPr>
    </w:p>
    <w:p w:rsidR="002B1938" w:rsidRPr="00153470" w:rsidRDefault="002B1938" w:rsidP="002B1938">
      <w:pPr>
        <w:rPr>
          <w:sz w:val="22"/>
          <w:szCs w:val="22"/>
          <w:lang w:val="en-US"/>
        </w:rPr>
      </w:pPr>
      <w:r w:rsidRPr="00153470">
        <w:rPr>
          <w:b/>
          <w:sz w:val="22"/>
          <w:szCs w:val="22"/>
          <w:lang w:val="en-US"/>
        </w:rPr>
        <w:t>Notes:</w:t>
      </w:r>
      <w:r w:rsidRPr="00153470">
        <w:rPr>
          <w:sz w:val="22"/>
          <w:szCs w:val="22"/>
          <w:lang w:val="en-US"/>
        </w:rPr>
        <w:t xml:space="preserve"> MHP = McGraw/Hill Publishing.  This list may not be fully exhaustive; some principles of economics textbooks may sell so few copies that nobody bothers keeping track of them.  This data is from MIR (Monument Information Resources) which was recently acquired by </w:t>
      </w:r>
      <w:proofErr w:type="spellStart"/>
      <w:r w:rsidRPr="00153470">
        <w:rPr>
          <w:sz w:val="22"/>
          <w:szCs w:val="22"/>
          <w:lang w:val="en-US"/>
        </w:rPr>
        <w:t>Bowker</w:t>
      </w:r>
      <w:proofErr w:type="spellEnd"/>
      <w:r w:rsidRPr="00153470">
        <w:rPr>
          <w:sz w:val="22"/>
          <w:szCs w:val="22"/>
          <w:lang w:val="en-US"/>
        </w:rPr>
        <w:t xml:space="preserve"> (</w:t>
      </w:r>
      <w:r w:rsidR="0099461F">
        <w:fldChar w:fldCharType="begin"/>
      </w:r>
      <w:r w:rsidR="0099461F" w:rsidRPr="00CC4979">
        <w:rPr>
          <w:lang w:val="en-US"/>
        </w:rPr>
        <w:instrText>HYPERLINK "http://www.bowker.com"</w:instrText>
      </w:r>
      <w:r w:rsidR="0099461F">
        <w:fldChar w:fldCharType="separate"/>
      </w:r>
      <w:r w:rsidRPr="00153470">
        <w:rPr>
          <w:rStyle w:val="Hyperlink"/>
          <w:sz w:val="22"/>
          <w:szCs w:val="22"/>
          <w:lang w:val="en-US"/>
        </w:rPr>
        <w:t>www.bowker.com</w:t>
      </w:r>
      <w:r w:rsidR="0099461F">
        <w:fldChar w:fldCharType="end"/>
      </w:r>
      <w:r w:rsidRPr="00153470">
        <w:rPr>
          <w:sz w:val="22"/>
          <w:szCs w:val="22"/>
          <w:lang w:val="en-US"/>
        </w:rPr>
        <w:t xml:space="preserve">).  </w:t>
      </w:r>
      <w:proofErr w:type="spellStart"/>
      <w:r w:rsidRPr="00153470">
        <w:rPr>
          <w:sz w:val="22"/>
          <w:szCs w:val="22"/>
          <w:lang w:val="en-US"/>
        </w:rPr>
        <w:t>Bowker</w:t>
      </w:r>
      <w:proofErr w:type="spellEnd"/>
      <w:r w:rsidRPr="00153470">
        <w:rPr>
          <w:sz w:val="22"/>
          <w:szCs w:val="22"/>
          <w:lang w:val="en-US"/>
        </w:rPr>
        <w:t xml:space="preserve"> collects and publishes information on book sales as well as bibliographic information on book contents and is the company that handles ISBN numbers in the United States.  After acquiring MIR, </w:t>
      </w:r>
      <w:proofErr w:type="spellStart"/>
      <w:r w:rsidRPr="00153470">
        <w:rPr>
          <w:sz w:val="22"/>
          <w:szCs w:val="22"/>
          <w:lang w:val="en-US"/>
        </w:rPr>
        <w:t>Bowker</w:t>
      </w:r>
      <w:proofErr w:type="spellEnd"/>
      <w:r w:rsidRPr="00153470">
        <w:rPr>
          <w:sz w:val="22"/>
          <w:szCs w:val="22"/>
          <w:lang w:val="en-US"/>
        </w:rPr>
        <w:t xml:space="preserve"> rebranded MIR as </w:t>
      </w:r>
      <w:proofErr w:type="spellStart"/>
      <w:r w:rsidRPr="00153470">
        <w:rPr>
          <w:sz w:val="22"/>
          <w:szCs w:val="22"/>
          <w:lang w:val="en-US"/>
        </w:rPr>
        <w:t>PubTrack</w:t>
      </w:r>
      <w:proofErr w:type="spellEnd"/>
      <w:r w:rsidRPr="00153470">
        <w:rPr>
          <w:sz w:val="22"/>
          <w:szCs w:val="22"/>
          <w:lang w:val="en-US"/>
        </w:rPr>
        <w:t xml:space="preserve"> (http://www.pubtrackonline.com/product-education.asp).</w:t>
      </w:r>
    </w:p>
    <w:p w:rsidR="002B1938" w:rsidRPr="00153470" w:rsidRDefault="002B1938" w:rsidP="002B1938">
      <w:pPr>
        <w:rPr>
          <w:sz w:val="22"/>
          <w:szCs w:val="22"/>
          <w:lang w:val="en-US"/>
        </w:rPr>
      </w:pPr>
    </w:p>
    <w:p w:rsidR="00F00A55" w:rsidRPr="006956BA" w:rsidRDefault="00F00A55">
      <w:pPr>
        <w:rPr>
          <w:lang w:val="en-US"/>
        </w:rPr>
      </w:pPr>
      <w:r>
        <w:rPr>
          <w:sz w:val="22"/>
          <w:szCs w:val="22"/>
          <w:lang w:val="en-US"/>
        </w:rPr>
        <w:br w:type="column"/>
      </w:r>
    </w:p>
    <w:p w:rsidR="00F00A55" w:rsidRPr="006956BA" w:rsidRDefault="00F00A55">
      <w:pPr>
        <w:rPr>
          <w:lang w:val="en-US"/>
        </w:rPr>
      </w:pPr>
    </w:p>
    <w:p w:rsidR="00F00A55" w:rsidRPr="00F00A55" w:rsidRDefault="00F00A55">
      <w:pPr>
        <w:rPr>
          <w:b/>
          <w:lang w:val="en-US"/>
        </w:rPr>
      </w:pPr>
      <w:r w:rsidRPr="00F00A55">
        <w:rPr>
          <w:b/>
          <w:lang w:val="en-US"/>
        </w:rPr>
        <w:t>Appendix C</w:t>
      </w:r>
      <w:r>
        <w:rPr>
          <w:b/>
          <w:lang w:val="en-US"/>
        </w:rPr>
        <w:t>: Table of c</w:t>
      </w:r>
      <w:r w:rsidRPr="00F00A55">
        <w:rPr>
          <w:b/>
          <w:lang w:val="en-US"/>
        </w:rPr>
        <w:t>oncepts used to explain the financial crisis</w:t>
      </w:r>
    </w:p>
    <w:p w:rsidR="00F00A55" w:rsidRPr="00F00A55" w:rsidRDefault="00F00A55">
      <w:pP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3"/>
        <w:gridCol w:w="1073"/>
        <w:gridCol w:w="977"/>
        <w:gridCol w:w="977"/>
        <w:gridCol w:w="1061"/>
        <w:gridCol w:w="1119"/>
        <w:gridCol w:w="964"/>
        <w:gridCol w:w="1016"/>
        <w:gridCol w:w="994"/>
      </w:tblGrid>
      <w:tr w:rsidR="00F00A55" w:rsidRPr="00F00A55" w:rsidTr="00F00A55">
        <w:tc>
          <w:tcPr>
            <w:tcW w:w="1701" w:type="dxa"/>
          </w:tcPr>
          <w:p w:rsidR="00F00A55" w:rsidRPr="00F00A55" w:rsidRDefault="00F00A55" w:rsidP="00F00A55">
            <w:pPr>
              <w:rPr>
                <w:b/>
                <w:sz w:val="20"/>
                <w:lang w:val="en-US"/>
              </w:rPr>
            </w:pPr>
          </w:p>
        </w:tc>
        <w:tc>
          <w:tcPr>
            <w:tcW w:w="1100" w:type="dxa"/>
          </w:tcPr>
          <w:p w:rsidR="00F00A55" w:rsidRPr="00F00A55" w:rsidRDefault="00F00A55" w:rsidP="00F00A55">
            <w:pPr>
              <w:rPr>
                <w:sz w:val="20"/>
              </w:rPr>
            </w:pPr>
            <w:r w:rsidRPr="00F00A55">
              <w:rPr>
                <w:sz w:val="20"/>
              </w:rPr>
              <w:t>Colander</w:t>
            </w:r>
          </w:p>
          <w:p w:rsidR="00F00A55" w:rsidRPr="00F00A55" w:rsidRDefault="00F00A55" w:rsidP="00F00A55">
            <w:pPr>
              <w:rPr>
                <w:sz w:val="20"/>
              </w:rPr>
            </w:pPr>
            <w:r w:rsidRPr="00F00A55">
              <w:rPr>
                <w:sz w:val="20"/>
              </w:rPr>
              <w:t>(Sep. 2009)</w:t>
            </w:r>
          </w:p>
        </w:tc>
        <w:tc>
          <w:tcPr>
            <w:tcW w:w="1029" w:type="dxa"/>
          </w:tcPr>
          <w:p w:rsidR="00F00A55" w:rsidRPr="00F00A55" w:rsidRDefault="00F00A55" w:rsidP="00F00A55">
            <w:pPr>
              <w:rPr>
                <w:sz w:val="20"/>
              </w:rPr>
            </w:pPr>
            <w:r w:rsidRPr="00F00A55">
              <w:rPr>
                <w:sz w:val="20"/>
              </w:rPr>
              <w:t>Parkin</w:t>
            </w:r>
            <w:proofErr w:type="gramStart"/>
            <w:r w:rsidRPr="00F00A55">
              <w:rPr>
                <w:sz w:val="20"/>
              </w:rPr>
              <w:t xml:space="preserve"> (</w:t>
            </w:r>
            <w:proofErr w:type="spellStart"/>
            <w:r w:rsidRPr="00F00A55">
              <w:rPr>
                <w:sz w:val="20"/>
              </w:rPr>
              <w:t>Oct</w:t>
            </w:r>
            <w:proofErr w:type="spellEnd"/>
            <w:r w:rsidRPr="00F00A55">
              <w:rPr>
                <w:sz w:val="20"/>
              </w:rPr>
              <w:t>.</w:t>
            </w:r>
            <w:proofErr w:type="gramEnd"/>
            <w:r w:rsidRPr="00F00A55">
              <w:rPr>
                <w:sz w:val="20"/>
              </w:rPr>
              <w:t xml:space="preserve"> 2009)</w:t>
            </w:r>
          </w:p>
        </w:tc>
        <w:tc>
          <w:tcPr>
            <w:tcW w:w="1029" w:type="dxa"/>
          </w:tcPr>
          <w:p w:rsidR="00F00A55" w:rsidRPr="00F00A55" w:rsidRDefault="00F00A55" w:rsidP="00F00A55">
            <w:pPr>
              <w:rPr>
                <w:sz w:val="20"/>
              </w:rPr>
            </w:pPr>
            <w:r w:rsidRPr="00F00A55">
              <w:rPr>
                <w:sz w:val="20"/>
              </w:rPr>
              <w:t xml:space="preserve">Bade </w:t>
            </w:r>
            <w:r w:rsidR="00AB1A1E">
              <w:rPr>
                <w:sz w:val="20"/>
              </w:rPr>
              <w:t>and</w:t>
            </w:r>
            <w:r w:rsidRPr="00F00A55">
              <w:rPr>
                <w:sz w:val="20"/>
              </w:rPr>
              <w:t xml:space="preserve"> Parkin (Jan.)</w:t>
            </w:r>
          </w:p>
        </w:tc>
        <w:tc>
          <w:tcPr>
            <w:tcW w:w="1093" w:type="dxa"/>
          </w:tcPr>
          <w:p w:rsidR="00F00A55" w:rsidRPr="00F00A55" w:rsidRDefault="00F00A55" w:rsidP="00F00A55">
            <w:pPr>
              <w:rPr>
                <w:sz w:val="20"/>
              </w:rPr>
            </w:pPr>
            <w:proofErr w:type="spellStart"/>
            <w:r w:rsidRPr="00F00A55">
              <w:rPr>
                <w:sz w:val="20"/>
              </w:rPr>
              <w:t>Hubbard</w:t>
            </w:r>
            <w:proofErr w:type="spellEnd"/>
          </w:p>
          <w:p w:rsidR="00F00A55" w:rsidRPr="00F00A55" w:rsidRDefault="00F00A55" w:rsidP="00F00A55">
            <w:pPr>
              <w:rPr>
                <w:sz w:val="20"/>
              </w:rPr>
            </w:pPr>
            <w:r w:rsidRPr="00F00A55">
              <w:rPr>
                <w:sz w:val="20"/>
              </w:rPr>
              <w:t>(Jan.)</w:t>
            </w:r>
          </w:p>
        </w:tc>
        <w:tc>
          <w:tcPr>
            <w:tcW w:w="1124" w:type="dxa"/>
          </w:tcPr>
          <w:p w:rsidR="00F00A55" w:rsidRPr="00F00A55" w:rsidRDefault="00F00A55" w:rsidP="00F00A55">
            <w:pPr>
              <w:rPr>
                <w:sz w:val="20"/>
              </w:rPr>
            </w:pPr>
            <w:proofErr w:type="spellStart"/>
            <w:r w:rsidRPr="00F00A55">
              <w:rPr>
                <w:sz w:val="20"/>
              </w:rPr>
              <w:t>O’Sullivan</w:t>
            </w:r>
            <w:proofErr w:type="spellEnd"/>
          </w:p>
          <w:p w:rsidR="00F00A55" w:rsidRPr="00F00A55" w:rsidRDefault="00F00A55" w:rsidP="00F00A55">
            <w:pPr>
              <w:rPr>
                <w:sz w:val="20"/>
              </w:rPr>
            </w:pPr>
            <w:r w:rsidRPr="00F00A55">
              <w:rPr>
                <w:sz w:val="20"/>
              </w:rPr>
              <w:t>(May)</w:t>
            </w:r>
          </w:p>
        </w:tc>
        <w:tc>
          <w:tcPr>
            <w:tcW w:w="1018" w:type="dxa"/>
          </w:tcPr>
          <w:p w:rsidR="00F00A55" w:rsidRPr="00F00A55" w:rsidRDefault="00F00A55" w:rsidP="00F00A55">
            <w:pPr>
              <w:rPr>
                <w:sz w:val="20"/>
              </w:rPr>
            </w:pPr>
            <w:r w:rsidRPr="00F00A55">
              <w:rPr>
                <w:sz w:val="20"/>
              </w:rPr>
              <w:t xml:space="preserve">Miller </w:t>
            </w:r>
          </w:p>
          <w:p w:rsidR="00F00A55" w:rsidRPr="00F00A55" w:rsidRDefault="00F00A55" w:rsidP="00F00A55">
            <w:pPr>
              <w:rPr>
                <w:sz w:val="20"/>
              </w:rPr>
            </w:pPr>
            <w:r w:rsidRPr="00F00A55">
              <w:rPr>
                <w:sz w:val="20"/>
              </w:rPr>
              <w:t>(May)</w:t>
            </w:r>
          </w:p>
        </w:tc>
        <w:tc>
          <w:tcPr>
            <w:tcW w:w="1054" w:type="dxa"/>
          </w:tcPr>
          <w:p w:rsidR="00F00A55" w:rsidRPr="00F00A55" w:rsidRDefault="00F00A55" w:rsidP="00F00A55">
            <w:pPr>
              <w:rPr>
                <w:sz w:val="20"/>
              </w:rPr>
            </w:pPr>
            <w:r w:rsidRPr="00F00A55">
              <w:rPr>
                <w:sz w:val="20"/>
              </w:rPr>
              <w:t>Schiller (Sept.)</w:t>
            </w:r>
          </w:p>
        </w:tc>
        <w:tc>
          <w:tcPr>
            <w:tcW w:w="1040" w:type="dxa"/>
          </w:tcPr>
          <w:p w:rsidR="00F00A55" w:rsidRPr="00F00A55" w:rsidRDefault="00F00A55" w:rsidP="00F00A55">
            <w:pPr>
              <w:rPr>
                <w:sz w:val="20"/>
              </w:rPr>
            </w:pPr>
            <w:proofErr w:type="gramStart"/>
            <w:r w:rsidRPr="00F00A55">
              <w:rPr>
                <w:sz w:val="20"/>
              </w:rPr>
              <w:t>Arnold  (</w:t>
            </w:r>
            <w:proofErr w:type="spellStart"/>
            <w:r w:rsidRPr="00F00A55">
              <w:rPr>
                <w:sz w:val="20"/>
              </w:rPr>
              <w:t>Oct</w:t>
            </w:r>
            <w:proofErr w:type="spellEnd"/>
            <w:proofErr w:type="gramEnd"/>
            <w:r w:rsidRPr="00F00A55">
              <w:rPr>
                <w:sz w:val="20"/>
              </w:rPr>
              <w:t>. )</w:t>
            </w:r>
          </w:p>
        </w:tc>
      </w:tr>
      <w:tr w:rsidR="00F00A55" w:rsidRPr="00F00A55" w:rsidTr="00F00A55">
        <w:tc>
          <w:tcPr>
            <w:tcW w:w="1701" w:type="dxa"/>
          </w:tcPr>
          <w:p w:rsidR="00F00A55" w:rsidRPr="00F00A55" w:rsidRDefault="00F00A55" w:rsidP="00F00A55">
            <w:pPr>
              <w:rPr>
                <w:sz w:val="20"/>
              </w:rPr>
            </w:pPr>
            <w:proofErr w:type="spellStart"/>
            <w:r>
              <w:rPr>
                <w:sz w:val="20"/>
              </w:rPr>
              <w:t>Adverse</w:t>
            </w:r>
            <w:proofErr w:type="spellEnd"/>
            <w:r>
              <w:rPr>
                <w:sz w:val="20"/>
              </w:rPr>
              <w:t xml:space="preserve"> </w:t>
            </w:r>
            <w:proofErr w:type="spellStart"/>
            <w:r>
              <w:rPr>
                <w:sz w:val="20"/>
              </w:rPr>
              <w:t>selection</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Pr>
                <w:sz w:val="20"/>
              </w:rPr>
              <w:t>Asymmetric</w:t>
            </w:r>
            <w:proofErr w:type="spellEnd"/>
            <w:r>
              <w:rPr>
                <w:sz w:val="20"/>
              </w:rPr>
              <w:t xml:space="preserve"> information</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Pr>
                <w:sz w:val="20"/>
              </w:rPr>
              <w:t>Bail</w:t>
            </w:r>
            <w:proofErr w:type="spellEnd"/>
            <w:r>
              <w:rPr>
                <w:sz w:val="20"/>
              </w:rPr>
              <w:t xml:space="preserve"> </w:t>
            </w:r>
            <w:proofErr w:type="spellStart"/>
            <w:r>
              <w:rPr>
                <w:sz w:val="20"/>
              </w:rPr>
              <w:t>outs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r>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sidRPr="00F00A55">
              <w:rPr>
                <w:sz w:val="20"/>
              </w:rPr>
              <w:t>Bank failures</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r w:rsidRPr="00F00A55">
              <w:rPr>
                <w:sz w:val="20"/>
              </w:rPr>
              <w:t>X</w:t>
            </w: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Bank run</w:t>
            </w:r>
          </w:p>
        </w:tc>
        <w:tc>
          <w:tcPr>
            <w:tcW w:w="1100" w:type="dxa"/>
          </w:tcPr>
          <w:p w:rsidR="00F00A55" w:rsidRPr="00F00A55" w:rsidRDefault="00F00A55" w:rsidP="00F00A55">
            <w:pPr>
              <w:rPr>
                <w:sz w:val="20"/>
              </w:rPr>
            </w:pPr>
            <w:r>
              <w:rPr>
                <w:sz w:val="20"/>
              </w:rPr>
              <w:t>X</w:t>
            </w:r>
          </w:p>
        </w:tc>
        <w:tc>
          <w:tcPr>
            <w:tcW w:w="1029" w:type="dxa"/>
          </w:tcPr>
          <w:p w:rsidR="00F00A55" w:rsidRPr="00F00A55" w:rsidRDefault="00F00A55" w:rsidP="00F00A55">
            <w:pPr>
              <w:rPr>
                <w:sz w:val="20"/>
              </w:rPr>
            </w:pPr>
            <w:r>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w:t>
            </w:r>
            <w:proofErr w:type="spellStart"/>
            <w:r>
              <w:rPr>
                <w:sz w:val="20"/>
              </w:rPr>
              <w:t>Housing</w:t>
            </w:r>
            <w:proofErr w:type="spellEnd"/>
            <w:r>
              <w:rPr>
                <w:sz w:val="20"/>
              </w:rPr>
              <w:t xml:space="preserve">) </w:t>
            </w:r>
            <w:proofErr w:type="spellStart"/>
            <w:r>
              <w:rPr>
                <w:sz w:val="20"/>
              </w:rPr>
              <w:t>bubble</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sidRPr="00F00A55">
              <w:rPr>
                <w:sz w:val="20"/>
              </w:rPr>
              <w:t xml:space="preserve">Buy </w:t>
            </w:r>
            <w:proofErr w:type="spellStart"/>
            <w:r w:rsidRPr="00F00A55">
              <w:rPr>
                <w:sz w:val="20"/>
              </w:rPr>
              <w:t>american</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 xml:space="preserve">Credit </w:t>
            </w:r>
            <w:proofErr w:type="spellStart"/>
            <w:r>
              <w:rPr>
                <w:sz w:val="20"/>
              </w:rPr>
              <w:t>crisis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r w:rsidRPr="00F00A55">
              <w:rPr>
                <w:sz w:val="20"/>
              </w:rPr>
              <w:t>X</w:t>
            </w: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 xml:space="preserve">Deposit </w:t>
            </w:r>
            <w:proofErr w:type="spellStart"/>
            <w:r>
              <w:rPr>
                <w:sz w:val="20"/>
              </w:rPr>
              <w:t>insurance</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sidRPr="00F00A55">
              <w:rPr>
                <w:sz w:val="20"/>
              </w:rPr>
              <w:t>Derivatives</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 xml:space="preserve">Financial </w:t>
            </w:r>
            <w:proofErr w:type="spellStart"/>
            <w:r>
              <w:rPr>
                <w:sz w:val="20"/>
              </w:rPr>
              <w:t>crisis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r>
              <w:rPr>
                <w:sz w:val="20"/>
              </w:rPr>
              <w:t>X</w:t>
            </w: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Fiscal</w:t>
            </w:r>
            <w:proofErr w:type="spellEnd"/>
            <w:r w:rsidRPr="00F00A55">
              <w:rPr>
                <w:sz w:val="20"/>
              </w:rPr>
              <w:t xml:space="preserve"> stimulus (</w:t>
            </w:r>
            <w:proofErr w:type="spellStart"/>
            <w:r w:rsidRPr="00F00A55">
              <w:rPr>
                <w:sz w:val="20"/>
              </w:rPr>
              <w:t>package</w:t>
            </w:r>
            <w:proofErr w:type="spellEnd"/>
            <w:r w:rsidRPr="00F00A55">
              <w:rPr>
                <w:sz w:val="20"/>
              </w:rPr>
              <w:t>)</w:t>
            </w:r>
            <w:r w:rsidRPr="00F00A55">
              <w:rPr>
                <w:rStyle w:val="FootnoteReference"/>
                <w:sz w:val="20"/>
              </w:rPr>
              <w:footnoteReference w:id="26"/>
            </w:r>
          </w:p>
        </w:tc>
        <w:tc>
          <w:tcPr>
            <w:tcW w:w="1100" w:type="dxa"/>
          </w:tcPr>
          <w:p w:rsidR="00F00A55" w:rsidRPr="00F00A55" w:rsidRDefault="00F00A55" w:rsidP="00F00A55">
            <w:pPr>
              <w:rPr>
                <w:sz w:val="20"/>
              </w:rPr>
            </w:pPr>
            <w:r>
              <w:rPr>
                <w:sz w:val="20"/>
              </w:rPr>
              <w:t>X</w:t>
            </w:r>
          </w:p>
        </w:tc>
        <w:tc>
          <w:tcPr>
            <w:tcW w:w="1029" w:type="dxa"/>
          </w:tcPr>
          <w:p w:rsidR="00F00A55" w:rsidRPr="00F00A55" w:rsidRDefault="00F00A55" w:rsidP="00F00A55">
            <w:pPr>
              <w:rPr>
                <w:sz w:val="20"/>
              </w:rPr>
            </w:pPr>
            <w:r>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A34F94">
            <w:pPr>
              <w:rPr>
                <w:sz w:val="20"/>
              </w:rPr>
            </w:pPr>
            <w:proofErr w:type="spellStart"/>
            <w:r w:rsidRPr="00F00A55">
              <w:rPr>
                <w:sz w:val="20"/>
              </w:rPr>
              <w:t>Glass</w:t>
            </w:r>
            <w:r w:rsidR="00A34F94">
              <w:rPr>
                <w:sz w:val="20"/>
              </w:rPr>
              <w:t>-</w:t>
            </w:r>
            <w:r w:rsidRPr="00F00A55">
              <w:rPr>
                <w:sz w:val="20"/>
              </w:rPr>
              <w:t>Steagall</w:t>
            </w:r>
            <w:proofErr w:type="spellEnd"/>
            <w:r w:rsidRPr="00F00A55">
              <w:rPr>
                <w:sz w:val="20"/>
              </w:rPr>
              <w:t xml:space="preserve"> </w:t>
            </w:r>
            <w:proofErr w:type="spellStart"/>
            <w:r w:rsidRPr="00F00A55">
              <w:rPr>
                <w:sz w:val="20"/>
              </w:rPr>
              <w:t>Act</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sidRPr="00F00A55">
              <w:rPr>
                <w:sz w:val="20"/>
              </w:rPr>
              <w:t>Great recession</w:t>
            </w:r>
          </w:p>
        </w:tc>
        <w:tc>
          <w:tcPr>
            <w:tcW w:w="1100"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Pr>
                <w:sz w:val="20"/>
              </w:rPr>
              <w:t>X</w:t>
            </w: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Pr>
                <w:sz w:val="20"/>
              </w:rPr>
              <w:t>Investment</w:t>
            </w:r>
            <w:proofErr w:type="spellEnd"/>
            <w:r>
              <w:rPr>
                <w:sz w:val="20"/>
              </w:rPr>
              <w:t xml:space="preserve"> bank(s)</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Pr>
                <w:sz w:val="20"/>
              </w:rPr>
              <w:t>Leverage</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r w:rsidRPr="00F00A55">
              <w:rPr>
                <w:sz w:val="20"/>
              </w:rPr>
              <w:t>X</w:t>
            </w: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 xml:space="preserve">Moral </w:t>
            </w:r>
            <w:proofErr w:type="spellStart"/>
            <w:r>
              <w:rPr>
                <w:sz w:val="20"/>
              </w:rPr>
              <w:t>Hazard</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Mortgage</w:t>
            </w:r>
            <w:proofErr w:type="spellEnd"/>
            <w:r w:rsidRPr="00F00A55">
              <w:rPr>
                <w:sz w:val="20"/>
              </w:rPr>
              <w:t xml:space="preserve"> </w:t>
            </w:r>
            <w:proofErr w:type="spellStart"/>
            <w:r w:rsidRPr="00F00A55">
              <w:rPr>
                <w:sz w:val="20"/>
              </w:rPr>
              <w:t>backed</w:t>
            </w:r>
            <w:proofErr w:type="spellEnd"/>
            <w:r w:rsidRPr="00F00A55">
              <w:rPr>
                <w:sz w:val="20"/>
              </w:rPr>
              <w:t xml:space="preserve"> </w:t>
            </w:r>
            <w:proofErr w:type="spellStart"/>
            <w:r w:rsidRPr="00F00A55">
              <w:rPr>
                <w:sz w:val="20"/>
              </w:rPr>
              <w:t>securities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Mortgage</w:t>
            </w:r>
            <w:proofErr w:type="spellEnd"/>
            <w:r w:rsidRPr="00F00A55">
              <w:rPr>
                <w:sz w:val="20"/>
              </w:rPr>
              <w:t xml:space="preserve"> default</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Mortgage</w:t>
            </w:r>
            <w:proofErr w:type="spellEnd"/>
            <w:r w:rsidRPr="00F00A55">
              <w:rPr>
                <w:sz w:val="20"/>
              </w:rPr>
              <w:t xml:space="preserve"> (</w:t>
            </w:r>
            <w:proofErr w:type="spellStart"/>
            <w:r w:rsidRPr="00F00A55">
              <w:rPr>
                <w:sz w:val="20"/>
              </w:rPr>
              <w:t>loans</w:t>
            </w:r>
            <w:proofErr w:type="spellEnd"/>
            <w:r w:rsidRPr="00F00A55">
              <w:rPr>
                <w:sz w:val="20"/>
              </w:rPr>
              <w:t>)</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sidRPr="00F00A55">
              <w:rPr>
                <w:sz w:val="20"/>
              </w:rPr>
              <w:t xml:space="preserve">(Financial/bank) </w:t>
            </w:r>
            <w:proofErr w:type="spellStart"/>
            <w:r w:rsidRPr="00F00A55">
              <w:rPr>
                <w:sz w:val="20"/>
              </w:rPr>
              <w:t>Panic</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r w:rsidRPr="00F00A55">
              <w:rPr>
                <w:sz w:val="20"/>
              </w:rPr>
              <w:t>X</w:t>
            </w: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Quantitative</w:t>
            </w:r>
            <w:proofErr w:type="spellEnd"/>
            <w:r w:rsidRPr="00F00A55">
              <w:rPr>
                <w:sz w:val="20"/>
              </w:rPr>
              <w:t xml:space="preserve"> </w:t>
            </w:r>
            <w:proofErr w:type="spellStart"/>
            <w:r w:rsidRPr="00F00A55">
              <w:rPr>
                <w:sz w:val="20"/>
              </w:rPr>
              <w:t>easing</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Securitization</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Pr>
                <w:sz w:val="20"/>
              </w:rPr>
              <w:t>Subprime</w:t>
            </w:r>
            <w:proofErr w:type="spellEnd"/>
            <w:r>
              <w:rPr>
                <w:sz w:val="20"/>
              </w:rPr>
              <w:t xml:space="preserve"> </w:t>
            </w:r>
            <w:proofErr w:type="spellStart"/>
            <w:r>
              <w:rPr>
                <w:sz w:val="20"/>
              </w:rPr>
              <w:t>mortgages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Subprime</w:t>
            </w:r>
            <w:proofErr w:type="spellEnd"/>
            <w:r w:rsidRPr="00F00A55">
              <w:rPr>
                <w:sz w:val="20"/>
              </w:rPr>
              <w:t xml:space="preserve"> </w:t>
            </w:r>
            <w:proofErr w:type="spellStart"/>
            <w:r w:rsidRPr="00F00A55">
              <w:rPr>
                <w:sz w:val="20"/>
              </w:rPr>
              <w:t>credit</w:t>
            </w:r>
            <w:proofErr w:type="spellEnd"/>
            <w:r w:rsidRPr="00F00A55">
              <w:rPr>
                <w:sz w:val="20"/>
              </w:rPr>
              <w:t xml:space="preserve"> </w:t>
            </w:r>
            <w:proofErr w:type="spellStart"/>
            <w:r w:rsidRPr="00F00A55">
              <w:rPr>
                <w:sz w:val="20"/>
              </w:rPr>
              <w:t>crisis</w:t>
            </w:r>
            <w:proofErr w:type="spellEnd"/>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r>
              <w:rPr>
                <w:sz w:val="20"/>
              </w:rPr>
              <w:t>Troubled Asset Relief Program</w:t>
            </w:r>
          </w:p>
        </w:tc>
        <w:tc>
          <w:tcPr>
            <w:tcW w:w="1100"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r w:rsidRPr="00F00A55">
              <w:rPr>
                <w:sz w:val="20"/>
              </w:rPr>
              <w:t>X</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Pr>
                <w:sz w:val="20"/>
              </w:rPr>
              <w:t>X</w:t>
            </w:r>
          </w:p>
        </w:tc>
        <w:tc>
          <w:tcPr>
            <w:tcW w:w="1124" w:type="dxa"/>
          </w:tcPr>
          <w:p w:rsidR="00F00A55" w:rsidRPr="00F00A55" w:rsidRDefault="00F00A55" w:rsidP="00F00A55">
            <w:pPr>
              <w:rPr>
                <w:sz w:val="20"/>
              </w:rPr>
            </w:pPr>
          </w:p>
        </w:tc>
        <w:tc>
          <w:tcPr>
            <w:tcW w:w="1018" w:type="dxa"/>
          </w:tcPr>
          <w:p w:rsidR="00F00A55" w:rsidRPr="00F00A55" w:rsidRDefault="00F00A55" w:rsidP="00F00A55">
            <w:pPr>
              <w:rPr>
                <w:sz w:val="20"/>
              </w:rPr>
            </w:pPr>
          </w:p>
        </w:tc>
        <w:tc>
          <w:tcPr>
            <w:tcW w:w="1054" w:type="dxa"/>
          </w:tcPr>
          <w:p w:rsidR="00F00A55" w:rsidRPr="00F00A55" w:rsidRDefault="00F00A55" w:rsidP="00F00A55">
            <w:pPr>
              <w:rPr>
                <w:sz w:val="20"/>
              </w:rPr>
            </w:pPr>
            <w:r w:rsidRPr="00F00A55">
              <w:rPr>
                <w:sz w:val="20"/>
              </w:rPr>
              <w:t>X</w:t>
            </w:r>
          </w:p>
        </w:tc>
        <w:tc>
          <w:tcPr>
            <w:tcW w:w="1040" w:type="dxa"/>
          </w:tcPr>
          <w:p w:rsidR="00F00A55" w:rsidRPr="00F00A55" w:rsidRDefault="00F00A55" w:rsidP="00F00A55">
            <w:pPr>
              <w:rPr>
                <w:sz w:val="20"/>
              </w:rPr>
            </w:pPr>
          </w:p>
        </w:tc>
      </w:tr>
      <w:tr w:rsidR="00F00A55" w:rsidRPr="00F00A55" w:rsidTr="00F00A55">
        <w:tc>
          <w:tcPr>
            <w:tcW w:w="1701" w:type="dxa"/>
          </w:tcPr>
          <w:p w:rsidR="00F00A55" w:rsidRPr="00F00A55" w:rsidRDefault="00F00A55" w:rsidP="00F00A55">
            <w:pPr>
              <w:rPr>
                <w:sz w:val="20"/>
              </w:rPr>
            </w:pPr>
            <w:proofErr w:type="spellStart"/>
            <w:r w:rsidRPr="00F00A55">
              <w:rPr>
                <w:sz w:val="20"/>
              </w:rPr>
              <w:t>Number</w:t>
            </w:r>
            <w:proofErr w:type="spellEnd"/>
            <w:r w:rsidRPr="00F00A55">
              <w:rPr>
                <w:sz w:val="20"/>
              </w:rPr>
              <w:t xml:space="preserve"> of </w:t>
            </w:r>
            <w:proofErr w:type="spellStart"/>
            <w:r w:rsidRPr="00F00A55">
              <w:rPr>
                <w:sz w:val="20"/>
              </w:rPr>
              <w:t>concepts</w:t>
            </w:r>
            <w:proofErr w:type="spellEnd"/>
          </w:p>
        </w:tc>
        <w:tc>
          <w:tcPr>
            <w:tcW w:w="1100" w:type="dxa"/>
          </w:tcPr>
          <w:p w:rsidR="00F00A55" w:rsidRPr="00F00A55" w:rsidRDefault="00F00A55" w:rsidP="00F00A55">
            <w:pPr>
              <w:rPr>
                <w:sz w:val="20"/>
              </w:rPr>
            </w:pPr>
            <w:r w:rsidRPr="00F00A55">
              <w:rPr>
                <w:sz w:val="20"/>
              </w:rPr>
              <w:t>26</w:t>
            </w:r>
          </w:p>
        </w:tc>
        <w:tc>
          <w:tcPr>
            <w:tcW w:w="1029" w:type="dxa"/>
          </w:tcPr>
          <w:p w:rsidR="00F00A55" w:rsidRPr="00F00A55" w:rsidRDefault="00F00A55" w:rsidP="00F00A55">
            <w:pPr>
              <w:rPr>
                <w:sz w:val="20"/>
              </w:rPr>
            </w:pPr>
            <w:r w:rsidRPr="00F00A55">
              <w:rPr>
                <w:sz w:val="20"/>
              </w:rPr>
              <w:t>11</w:t>
            </w:r>
          </w:p>
        </w:tc>
        <w:tc>
          <w:tcPr>
            <w:tcW w:w="1029" w:type="dxa"/>
          </w:tcPr>
          <w:p w:rsidR="00F00A55" w:rsidRPr="00F00A55" w:rsidRDefault="00F00A55" w:rsidP="00F00A55">
            <w:pPr>
              <w:rPr>
                <w:sz w:val="20"/>
              </w:rPr>
            </w:pPr>
          </w:p>
        </w:tc>
        <w:tc>
          <w:tcPr>
            <w:tcW w:w="1093" w:type="dxa"/>
          </w:tcPr>
          <w:p w:rsidR="00F00A55" w:rsidRPr="00F00A55" w:rsidRDefault="00F00A55" w:rsidP="00F00A55">
            <w:pPr>
              <w:rPr>
                <w:sz w:val="20"/>
              </w:rPr>
            </w:pPr>
            <w:r w:rsidRPr="00F00A55">
              <w:rPr>
                <w:sz w:val="20"/>
              </w:rPr>
              <w:t>15</w:t>
            </w:r>
          </w:p>
        </w:tc>
        <w:tc>
          <w:tcPr>
            <w:tcW w:w="1124" w:type="dxa"/>
          </w:tcPr>
          <w:p w:rsidR="00F00A55" w:rsidRPr="00F00A55" w:rsidRDefault="00F00A55" w:rsidP="00F00A55">
            <w:pPr>
              <w:rPr>
                <w:sz w:val="20"/>
              </w:rPr>
            </w:pPr>
            <w:r w:rsidRPr="00F00A55">
              <w:rPr>
                <w:sz w:val="20"/>
              </w:rPr>
              <w:t>4</w:t>
            </w:r>
          </w:p>
        </w:tc>
        <w:tc>
          <w:tcPr>
            <w:tcW w:w="1018" w:type="dxa"/>
          </w:tcPr>
          <w:p w:rsidR="00F00A55" w:rsidRPr="00F00A55" w:rsidRDefault="00F00A55" w:rsidP="00F00A55">
            <w:pPr>
              <w:rPr>
                <w:sz w:val="20"/>
              </w:rPr>
            </w:pPr>
            <w:r w:rsidRPr="00F00A55">
              <w:rPr>
                <w:sz w:val="20"/>
              </w:rPr>
              <w:t>9</w:t>
            </w:r>
          </w:p>
        </w:tc>
        <w:tc>
          <w:tcPr>
            <w:tcW w:w="1054" w:type="dxa"/>
          </w:tcPr>
          <w:p w:rsidR="00F00A55" w:rsidRPr="00F00A55" w:rsidRDefault="00F00A55" w:rsidP="00F00A55">
            <w:pPr>
              <w:rPr>
                <w:sz w:val="20"/>
              </w:rPr>
            </w:pPr>
            <w:r w:rsidRPr="00F00A55">
              <w:rPr>
                <w:sz w:val="20"/>
              </w:rPr>
              <w:t>7</w:t>
            </w:r>
          </w:p>
        </w:tc>
        <w:tc>
          <w:tcPr>
            <w:tcW w:w="1040" w:type="dxa"/>
          </w:tcPr>
          <w:p w:rsidR="00F00A55" w:rsidRPr="00F00A55" w:rsidRDefault="00F00A55" w:rsidP="00F00A55">
            <w:pPr>
              <w:rPr>
                <w:sz w:val="20"/>
              </w:rPr>
            </w:pPr>
          </w:p>
        </w:tc>
      </w:tr>
    </w:tbl>
    <w:p w:rsidR="00F00A55" w:rsidRPr="00F00A55" w:rsidRDefault="00F00A55" w:rsidP="00F00A55">
      <w:pPr>
        <w:rPr>
          <w:b/>
          <w:sz w:val="20"/>
        </w:rPr>
      </w:pPr>
    </w:p>
    <w:p w:rsidR="00F00A55" w:rsidRPr="00F00A55" w:rsidRDefault="00F00A55" w:rsidP="00F00A55">
      <w:pPr>
        <w:rPr>
          <w:sz w:val="20"/>
          <w:lang w:val="en-US"/>
        </w:rPr>
      </w:pPr>
      <w:r w:rsidRPr="00F00A55">
        <w:rPr>
          <w:sz w:val="20"/>
          <w:lang w:val="en-US"/>
        </w:rPr>
        <w:t xml:space="preserve">Note: The concepts mentioned are also used as entries. </w:t>
      </w:r>
      <w:r w:rsidR="00A34F94">
        <w:rPr>
          <w:sz w:val="20"/>
          <w:lang w:val="en-US"/>
        </w:rPr>
        <w:t xml:space="preserve">We </w:t>
      </w:r>
      <w:r w:rsidRPr="00F00A55">
        <w:rPr>
          <w:sz w:val="20"/>
          <w:lang w:val="en-US"/>
        </w:rPr>
        <w:t xml:space="preserve">have chosen to disregard central institutions such Lehman brothers, Freddie Mae/Mac, Merrill Lynch, Northern Rock, </w:t>
      </w:r>
      <w:proofErr w:type="gramStart"/>
      <w:r w:rsidRPr="00F00A55">
        <w:rPr>
          <w:sz w:val="20"/>
          <w:lang w:val="en-US"/>
        </w:rPr>
        <w:t>Bear</w:t>
      </w:r>
      <w:proofErr w:type="gramEnd"/>
      <w:r w:rsidRPr="00F00A55">
        <w:rPr>
          <w:sz w:val="20"/>
          <w:lang w:val="en-US"/>
        </w:rPr>
        <w:t xml:space="preserve"> Sterns. </w:t>
      </w:r>
      <w:r w:rsidR="00A34F94">
        <w:rPr>
          <w:sz w:val="20"/>
          <w:lang w:val="en-US"/>
        </w:rPr>
        <w:t>We have also ignored two entries</w:t>
      </w:r>
      <w:r w:rsidRPr="00F00A55">
        <w:rPr>
          <w:sz w:val="20"/>
          <w:lang w:val="en-US"/>
        </w:rPr>
        <w:t xml:space="preserve"> in Colander: </w:t>
      </w:r>
      <w:r w:rsidR="00A34F94">
        <w:rPr>
          <w:sz w:val="20"/>
          <w:lang w:val="en-US"/>
        </w:rPr>
        <w:t>‘</w:t>
      </w:r>
      <w:r w:rsidRPr="00F00A55">
        <w:rPr>
          <w:sz w:val="20"/>
          <w:lang w:val="en-US"/>
        </w:rPr>
        <w:t>credit default swaps</w:t>
      </w:r>
      <w:r w:rsidR="00A34F94">
        <w:rPr>
          <w:sz w:val="20"/>
          <w:lang w:val="en-US"/>
        </w:rPr>
        <w:t>’</w:t>
      </w:r>
      <w:r w:rsidRPr="00F00A55">
        <w:rPr>
          <w:sz w:val="20"/>
          <w:lang w:val="en-US"/>
        </w:rPr>
        <w:t xml:space="preserve"> and </w:t>
      </w:r>
      <w:r w:rsidR="00A34F94">
        <w:rPr>
          <w:sz w:val="20"/>
          <w:lang w:val="en-US"/>
        </w:rPr>
        <w:t>‘</w:t>
      </w:r>
      <w:r w:rsidRPr="00F00A55">
        <w:rPr>
          <w:sz w:val="20"/>
          <w:lang w:val="en-US"/>
        </w:rPr>
        <w:t>too big to fail</w:t>
      </w:r>
      <w:r w:rsidR="00A34F94">
        <w:rPr>
          <w:sz w:val="20"/>
          <w:lang w:val="en-US"/>
        </w:rPr>
        <w:t>’</w:t>
      </w:r>
      <w:r w:rsidRPr="00F00A55">
        <w:rPr>
          <w:sz w:val="20"/>
          <w:lang w:val="en-US"/>
        </w:rPr>
        <w:t xml:space="preserve"> because they are of more general nature.</w:t>
      </w:r>
    </w:p>
    <w:p w:rsidR="002B1938" w:rsidRPr="00F00A55" w:rsidRDefault="002B1938" w:rsidP="00F00A55">
      <w:pPr>
        <w:rPr>
          <w:sz w:val="20"/>
          <w:szCs w:val="22"/>
          <w:lang w:val="en-US"/>
        </w:rPr>
      </w:pPr>
    </w:p>
    <w:sectPr w:rsidR="002B1938" w:rsidRPr="00F00A55" w:rsidSect="009865D1">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55" w:rsidRDefault="00F00A55" w:rsidP="00B65808">
      <w:r>
        <w:separator/>
      </w:r>
    </w:p>
  </w:endnote>
  <w:endnote w:type="continuationSeparator" w:id="1">
    <w:p w:rsidR="00F00A55" w:rsidRDefault="00F00A55" w:rsidP="00B65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55" w:rsidRDefault="00F00A55" w:rsidP="00B65808">
      <w:r>
        <w:separator/>
      </w:r>
    </w:p>
  </w:footnote>
  <w:footnote w:type="continuationSeparator" w:id="1">
    <w:p w:rsidR="00F00A55" w:rsidRDefault="00F00A55" w:rsidP="00B65808">
      <w:r>
        <w:continuationSeparator/>
      </w:r>
    </w:p>
  </w:footnote>
  <w:footnote w:id="2">
    <w:p w:rsidR="00F00A55" w:rsidRPr="008F37BC" w:rsidRDefault="00F00A55">
      <w:pPr>
        <w:pStyle w:val="FootnoteText"/>
        <w:rPr>
          <w:lang w:val="en-US"/>
        </w:rPr>
      </w:pPr>
      <w:r>
        <w:rPr>
          <w:rStyle w:val="FootnoteReference"/>
        </w:rPr>
        <w:footnoteRef/>
      </w:r>
      <w:r w:rsidRPr="008F37BC">
        <w:rPr>
          <w:lang w:val="en-US"/>
        </w:rPr>
        <w:t xml:space="preserve"> </w:t>
      </w:r>
      <w:r>
        <w:rPr>
          <w:lang w:val="en-US"/>
        </w:rPr>
        <w:t xml:space="preserve">I would like to thank an anonymous </w:t>
      </w:r>
      <w:r w:rsidR="00CC4979">
        <w:rPr>
          <w:lang w:val="en-US"/>
        </w:rPr>
        <w:t xml:space="preserve">author </w:t>
      </w:r>
      <w:proofErr w:type="gramStart"/>
      <w:r w:rsidR="00CC4979">
        <w:rPr>
          <w:lang w:val="en-US"/>
        </w:rPr>
        <w:t>of a US-principles</w:t>
      </w:r>
      <w:proofErr w:type="gramEnd"/>
      <w:r>
        <w:rPr>
          <w:lang w:val="en-US"/>
        </w:rPr>
        <w:t xml:space="preserve"> for valuable inputs.</w:t>
      </w:r>
    </w:p>
  </w:footnote>
  <w:footnote w:id="3">
    <w:p w:rsidR="00F00A55" w:rsidRPr="00EE558A" w:rsidRDefault="00F00A55">
      <w:pPr>
        <w:pStyle w:val="FootnoteText"/>
        <w:rPr>
          <w:lang w:val="en-US"/>
        </w:rPr>
      </w:pPr>
      <w:r>
        <w:rPr>
          <w:rStyle w:val="FootnoteReference"/>
        </w:rPr>
        <w:footnoteRef/>
      </w:r>
      <w:r w:rsidRPr="00EE558A">
        <w:rPr>
          <w:lang w:val="en-US"/>
        </w:rPr>
        <w:t xml:space="preserve"> By </w:t>
      </w:r>
      <w:r>
        <w:rPr>
          <w:lang w:val="en-US"/>
        </w:rPr>
        <w:t xml:space="preserve">the term </w:t>
      </w:r>
      <w:r w:rsidRPr="00EE558A">
        <w:rPr>
          <w:lang w:val="en-US"/>
        </w:rPr>
        <w:t>’financial crisis’ we refer</w:t>
      </w:r>
      <w:r>
        <w:rPr>
          <w:lang w:val="en-US"/>
        </w:rPr>
        <w:t xml:space="preserve"> to</w:t>
      </w:r>
      <w:r w:rsidRPr="00EE558A">
        <w:rPr>
          <w:lang w:val="en-US"/>
        </w:rPr>
        <w:t xml:space="preserve"> what triggered the crisis as well as the resulting effects (’the great recession’</w:t>
      </w:r>
      <w:r>
        <w:rPr>
          <w:lang w:val="en-US"/>
        </w:rPr>
        <w:t>)</w:t>
      </w:r>
      <w:r w:rsidRPr="00EE558A">
        <w:rPr>
          <w:lang w:val="en-US"/>
        </w:rPr>
        <w:t>.</w:t>
      </w:r>
    </w:p>
  </w:footnote>
  <w:footnote w:id="4">
    <w:p w:rsidR="00F00A55" w:rsidRPr="006F631F" w:rsidRDefault="00F00A55">
      <w:pPr>
        <w:pStyle w:val="FootnoteText"/>
        <w:rPr>
          <w:lang w:val="en-US"/>
        </w:rPr>
      </w:pPr>
      <w:r>
        <w:rPr>
          <w:rStyle w:val="FootnoteReference"/>
        </w:rPr>
        <w:footnoteRef/>
      </w:r>
      <w:r w:rsidRPr="006F631F">
        <w:rPr>
          <w:lang w:val="en-US"/>
        </w:rPr>
        <w:t xml:space="preserve"> </w:t>
      </w:r>
      <w:r>
        <w:rPr>
          <w:lang w:val="en-US"/>
        </w:rPr>
        <w:t>Based on mainstream economic theory one would expect a</w:t>
      </w:r>
      <w:r w:rsidRPr="00E93635">
        <w:rPr>
          <w:lang w:val="en-US"/>
        </w:rPr>
        <w:t xml:space="preserve"> very lax monetary and fiscal policy to undermine the supposed demand stimulating effects via a significant rise in inflation </w:t>
      </w:r>
      <w:r>
        <w:rPr>
          <w:lang w:val="en-US"/>
        </w:rPr>
        <w:t xml:space="preserve">and the rate of interest – sooner or later. </w:t>
      </w:r>
    </w:p>
  </w:footnote>
  <w:footnote w:id="5">
    <w:p w:rsidR="00F00A55" w:rsidRPr="00C42D11" w:rsidRDefault="00F00A55">
      <w:pPr>
        <w:pStyle w:val="FootnoteText"/>
        <w:rPr>
          <w:lang w:val="en-US"/>
        </w:rPr>
      </w:pPr>
      <w:r>
        <w:rPr>
          <w:rStyle w:val="FootnoteReference"/>
        </w:rPr>
        <w:footnoteRef/>
      </w:r>
      <w:r w:rsidRPr="00C42D11">
        <w:rPr>
          <w:lang w:val="en-US"/>
        </w:rPr>
        <w:t xml:space="preserve"> </w:t>
      </w:r>
      <w:r>
        <w:rPr>
          <w:lang w:val="en-US"/>
        </w:rPr>
        <w:t>This was the h</w:t>
      </w:r>
      <w:r w:rsidRPr="00C42D11">
        <w:rPr>
          <w:lang w:val="en-US"/>
        </w:rPr>
        <w:t xml:space="preserve">eadline and main story in the </w:t>
      </w:r>
      <w:r>
        <w:rPr>
          <w:lang w:val="en-US"/>
        </w:rPr>
        <w:t>Economist, 2009, July, 18th, p. 11-12.</w:t>
      </w:r>
    </w:p>
  </w:footnote>
  <w:footnote w:id="6">
    <w:p w:rsidR="00F00A55" w:rsidRPr="004C0B41" w:rsidRDefault="00F00A55">
      <w:pPr>
        <w:pStyle w:val="FootnoteText"/>
        <w:rPr>
          <w:lang w:val="en-US"/>
        </w:rPr>
      </w:pPr>
      <w:r>
        <w:rPr>
          <w:rStyle w:val="FootnoteReference"/>
        </w:rPr>
        <w:footnoteRef/>
      </w:r>
      <w:r w:rsidRPr="008F37BC">
        <w:rPr>
          <w:lang w:val="en-US"/>
        </w:rPr>
        <w:t xml:space="preserve"> </w:t>
      </w:r>
      <w:r>
        <w:rPr>
          <w:lang w:val="en-US"/>
        </w:rPr>
        <w:t>This sense of urgency is very apparent in Trichet (2010): “</w:t>
      </w:r>
      <w:r w:rsidRPr="004C0B41">
        <w:rPr>
          <w:lang w:val="en-US"/>
        </w:rPr>
        <w:t>we felt abandoned by conventional tools</w:t>
      </w:r>
      <w:r>
        <w:rPr>
          <w:lang w:val="en-US"/>
        </w:rPr>
        <w:t>…</w:t>
      </w:r>
      <w:r w:rsidRPr="004C0B41">
        <w:rPr>
          <w:lang w:val="en-US"/>
        </w:rPr>
        <w:t xml:space="preserve"> we need to develop complementary tools to improve the robustness of o</w:t>
      </w:r>
      <w:r>
        <w:rPr>
          <w:lang w:val="en-US"/>
        </w:rPr>
        <w:t>ur overall framework”.</w:t>
      </w:r>
    </w:p>
  </w:footnote>
  <w:footnote w:id="7">
    <w:p w:rsidR="00F00A55" w:rsidRPr="00647D96" w:rsidRDefault="00F00A55">
      <w:pPr>
        <w:pStyle w:val="FootnoteText"/>
        <w:rPr>
          <w:lang w:val="en-US"/>
        </w:rPr>
      </w:pPr>
      <w:r>
        <w:rPr>
          <w:rStyle w:val="FootnoteReference"/>
        </w:rPr>
        <w:footnoteRef/>
      </w:r>
      <w:r w:rsidRPr="00647D96">
        <w:rPr>
          <w:lang w:val="en-US"/>
        </w:rPr>
        <w:t xml:space="preserve"> </w:t>
      </w:r>
      <w:proofErr w:type="gramStart"/>
      <w:r w:rsidRPr="00647D96">
        <w:rPr>
          <w:lang w:val="en-US"/>
        </w:rPr>
        <w:t xml:space="preserve">According to a search on </w:t>
      </w:r>
      <w:proofErr w:type="spellStart"/>
      <w:r w:rsidRPr="00647D96">
        <w:rPr>
          <w:lang w:val="en-US"/>
        </w:rPr>
        <w:t>econlitt</w:t>
      </w:r>
      <w:proofErr w:type="spellEnd"/>
      <w:r w:rsidRPr="00647D96">
        <w:rPr>
          <w:lang w:val="en-US"/>
        </w:rPr>
        <w:t xml:space="preserve"> (database covering economic journals) on the concept of ’financial crisis’</w:t>
      </w:r>
      <w:r>
        <w:rPr>
          <w:lang w:val="en-US"/>
        </w:rPr>
        <w:t xml:space="preserve"> in the relevant period of 1.9.2008 to 1.1.2011</w:t>
      </w:r>
      <w:r w:rsidRPr="00647D96">
        <w:rPr>
          <w:lang w:val="en-US"/>
        </w:rPr>
        <w:t>.</w:t>
      </w:r>
      <w:proofErr w:type="gramEnd"/>
      <w:r>
        <w:rPr>
          <w:lang w:val="en-US"/>
        </w:rPr>
        <w:t xml:space="preserve"> To substantiate</w:t>
      </w:r>
      <w:r w:rsidRPr="00647D96">
        <w:rPr>
          <w:lang w:val="en-US"/>
        </w:rPr>
        <w:t xml:space="preserve"> this point </w:t>
      </w:r>
      <w:r>
        <w:rPr>
          <w:lang w:val="en-US"/>
        </w:rPr>
        <w:t>the search has been repeated but narrowed down to books only. This led to the identification of eight books (search date</w:t>
      </w:r>
      <w:r w:rsidRPr="00647D96">
        <w:rPr>
          <w:lang w:val="en-US"/>
        </w:rPr>
        <w:t xml:space="preserve"> 7.1.2011) of which several have been written by heterodox economists even though they constitute a </w:t>
      </w:r>
      <w:r>
        <w:rPr>
          <w:lang w:val="en-US"/>
        </w:rPr>
        <w:t>tiny minority of all economists</w:t>
      </w:r>
      <w:r w:rsidRPr="00647D96">
        <w:rPr>
          <w:lang w:val="en-US"/>
        </w:rPr>
        <w:t>.</w:t>
      </w:r>
    </w:p>
  </w:footnote>
  <w:footnote w:id="8">
    <w:p w:rsidR="00F00A55" w:rsidRPr="00647D96" w:rsidRDefault="00F00A55" w:rsidP="00A4493B">
      <w:pPr>
        <w:pStyle w:val="FootnoteText"/>
        <w:rPr>
          <w:lang w:val="en-US"/>
        </w:rPr>
      </w:pPr>
      <w:r>
        <w:rPr>
          <w:rStyle w:val="FootnoteReference"/>
        </w:rPr>
        <w:footnoteRef/>
      </w:r>
      <w:r w:rsidRPr="00647D96">
        <w:rPr>
          <w:lang w:val="en-US"/>
        </w:rPr>
        <w:t xml:space="preserve"> </w:t>
      </w:r>
      <w:proofErr w:type="gramStart"/>
      <w:r w:rsidRPr="00647D96">
        <w:rPr>
          <w:lang w:val="en-US"/>
        </w:rPr>
        <w:t xml:space="preserve">According to the </w:t>
      </w:r>
      <w:r>
        <w:rPr>
          <w:lang w:val="en-US"/>
        </w:rPr>
        <w:t xml:space="preserve">general </w:t>
      </w:r>
      <w:r w:rsidRPr="00647D96">
        <w:rPr>
          <w:lang w:val="en-US"/>
        </w:rPr>
        <w:t>search mentioned in note 3.</w:t>
      </w:r>
      <w:proofErr w:type="gramEnd"/>
    </w:p>
  </w:footnote>
  <w:footnote w:id="9">
    <w:p w:rsidR="00F00A55" w:rsidRPr="008C52FE" w:rsidRDefault="00F00A55" w:rsidP="00B60B8D">
      <w:pPr>
        <w:pStyle w:val="FootnoteText"/>
        <w:rPr>
          <w:lang w:val="en-US"/>
        </w:rPr>
      </w:pPr>
      <w:r>
        <w:rPr>
          <w:rStyle w:val="FootnoteReference"/>
        </w:rPr>
        <w:footnoteRef/>
      </w:r>
      <w:r w:rsidRPr="00647D96">
        <w:rPr>
          <w:lang w:val="en-US"/>
        </w:rPr>
        <w:t xml:space="preserve"> Once ’everybody’ </w:t>
      </w:r>
      <w:r>
        <w:rPr>
          <w:lang w:val="en-US"/>
        </w:rPr>
        <w:t>k</w:t>
      </w:r>
      <w:r w:rsidRPr="00647D96">
        <w:rPr>
          <w:lang w:val="en-US"/>
        </w:rPr>
        <w:t xml:space="preserve">new </w:t>
      </w:r>
      <w:r>
        <w:rPr>
          <w:lang w:val="en-US"/>
        </w:rPr>
        <w:t xml:space="preserve">the now late </w:t>
      </w:r>
      <w:r w:rsidRPr="00647D96">
        <w:rPr>
          <w:lang w:val="en-US"/>
        </w:rPr>
        <w:t xml:space="preserve">Paul A. Samuelson. </w:t>
      </w:r>
      <w:r w:rsidRPr="00C42D11">
        <w:rPr>
          <w:lang w:val="en-US"/>
        </w:rPr>
        <w:t xml:space="preserve">He was one of the leading researchers of his time while at the same time being responsible for </w:t>
      </w:r>
      <w:r w:rsidRPr="00C42D11">
        <w:rPr>
          <w:i/>
          <w:lang w:val="en-US"/>
        </w:rPr>
        <w:t xml:space="preserve">the </w:t>
      </w:r>
      <w:r w:rsidRPr="00C42D11">
        <w:rPr>
          <w:lang w:val="en-US"/>
        </w:rPr>
        <w:t>textbook of all times first produced in 19</w:t>
      </w:r>
      <w:r>
        <w:rPr>
          <w:lang w:val="en-US"/>
        </w:rPr>
        <w:t xml:space="preserve">48 and later imitated by all other textbooks. </w:t>
      </w:r>
      <w:r w:rsidRPr="008C52FE">
        <w:rPr>
          <w:lang w:val="en-US"/>
        </w:rPr>
        <w:t>He revised the textbook until 1985</w:t>
      </w:r>
      <w:r>
        <w:rPr>
          <w:lang w:val="en-US"/>
        </w:rPr>
        <w:t>. The book</w:t>
      </w:r>
      <w:r w:rsidRPr="008C52FE">
        <w:rPr>
          <w:lang w:val="en-US"/>
        </w:rPr>
        <w:t xml:space="preserve"> is still on the market </w:t>
      </w:r>
      <w:r>
        <w:rPr>
          <w:lang w:val="en-US"/>
        </w:rPr>
        <w:t>(Samuelson and</w:t>
      </w:r>
      <w:r w:rsidRPr="008C52FE">
        <w:rPr>
          <w:lang w:val="en-US"/>
        </w:rPr>
        <w:t xml:space="preserve"> Nordhaus, 2010), but now only revised by Nordhaus </w:t>
      </w:r>
      <w:r>
        <w:rPr>
          <w:lang w:val="en-US"/>
        </w:rPr>
        <w:t>and is somewhat surprisingly only the 24</w:t>
      </w:r>
      <w:r w:rsidRPr="008C52FE">
        <w:rPr>
          <w:vertAlign w:val="superscript"/>
          <w:lang w:val="en-US"/>
        </w:rPr>
        <w:t>th</w:t>
      </w:r>
      <w:r>
        <w:rPr>
          <w:lang w:val="en-US"/>
        </w:rPr>
        <w:t xml:space="preserve"> most sold principles textbook in the US (cf. appendix</w:t>
      </w:r>
      <w:r w:rsidRPr="008C52FE">
        <w:rPr>
          <w:lang w:val="en-US"/>
        </w:rPr>
        <w:t xml:space="preserve"> B). </w:t>
      </w:r>
    </w:p>
  </w:footnote>
  <w:footnote w:id="10">
    <w:p w:rsidR="00F00A55" w:rsidRPr="002E349C" w:rsidRDefault="00F00A55" w:rsidP="00A17EF3">
      <w:pPr>
        <w:pStyle w:val="FootnoteText"/>
        <w:rPr>
          <w:lang w:val="en-US"/>
        </w:rPr>
      </w:pPr>
      <w:r>
        <w:rPr>
          <w:rStyle w:val="FootnoteReference"/>
        </w:rPr>
        <w:footnoteRef/>
      </w:r>
      <w:r>
        <w:rPr>
          <w:lang w:val="en-US"/>
        </w:rPr>
        <w:t xml:space="preserve"> These six questions are not self-evident. They have been deduced from an analysis of the financial crisis and of how the six textbooks deal with the financial crisis.</w:t>
      </w:r>
    </w:p>
  </w:footnote>
  <w:footnote w:id="11">
    <w:p w:rsidR="00F00A55" w:rsidRPr="000760C8" w:rsidRDefault="00F00A55">
      <w:pPr>
        <w:pStyle w:val="FootnoteText"/>
        <w:rPr>
          <w:b/>
          <w:lang w:val="en-US"/>
        </w:rPr>
      </w:pPr>
      <w:r>
        <w:rPr>
          <w:rStyle w:val="FootnoteReference"/>
        </w:rPr>
        <w:footnoteRef/>
      </w:r>
      <w:r>
        <w:rPr>
          <w:lang w:val="en-US"/>
        </w:rPr>
        <w:t xml:space="preserve"> This expression</w:t>
      </w:r>
      <w:r w:rsidRPr="00082ACA">
        <w:rPr>
          <w:lang w:val="en-US"/>
        </w:rPr>
        <w:t xml:space="preserve"> refers to a widespread American perception (prior to the financial crisi</w:t>
      </w:r>
      <w:r>
        <w:rPr>
          <w:lang w:val="en-US"/>
        </w:rPr>
        <w:t xml:space="preserve">s), that American recessions </w:t>
      </w:r>
      <w:r w:rsidRPr="00082ACA">
        <w:rPr>
          <w:lang w:val="en-US"/>
        </w:rPr>
        <w:t>from 2001 to 2008 tended to become ever</w:t>
      </w:r>
      <w:r>
        <w:rPr>
          <w:lang w:val="en-US"/>
        </w:rPr>
        <w:t xml:space="preserve"> shorter and less serious – a development normally ascribed to an</w:t>
      </w:r>
      <w:r w:rsidRPr="00082ACA">
        <w:rPr>
          <w:lang w:val="en-US"/>
        </w:rPr>
        <w:t xml:space="preserve"> activist moneta</w:t>
      </w:r>
      <w:r>
        <w:rPr>
          <w:lang w:val="en-US"/>
        </w:rPr>
        <w:t>ry policy.</w:t>
      </w:r>
    </w:p>
  </w:footnote>
  <w:footnote w:id="12">
    <w:p w:rsidR="00F00A55" w:rsidRPr="005D35CF" w:rsidRDefault="00F00A55" w:rsidP="00C271BE">
      <w:pPr>
        <w:pStyle w:val="FootnoteText"/>
        <w:rPr>
          <w:lang w:val="en-US"/>
        </w:rPr>
      </w:pPr>
      <w:r>
        <w:rPr>
          <w:rStyle w:val="FootnoteReference"/>
        </w:rPr>
        <w:footnoteRef/>
      </w:r>
      <w:r w:rsidRPr="005D35CF">
        <w:rPr>
          <w:lang w:val="en-US"/>
        </w:rPr>
        <w:t xml:space="preserve"> </w:t>
      </w:r>
      <w:r>
        <w:rPr>
          <w:lang w:val="en-US"/>
        </w:rPr>
        <w:t>Differentiation as a strategy is not normally as evident as in this quote</w:t>
      </w:r>
      <w:r w:rsidRPr="005D35CF">
        <w:rPr>
          <w:lang w:val="en-US"/>
        </w:rPr>
        <w:t xml:space="preserve">: ’We have included in the eleventh edition a substantial discussion of the role of the entrepreneur… in a substantial set of the textbooks the word </w:t>
      </w:r>
      <w:r>
        <w:rPr>
          <w:i/>
          <w:lang w:val="en-US"/>
        </w:rPr>
        <w:t>entrepr</w:t>
      </w:r>
      <w:r w:rsidRPr="005D35CF">
        <w:rPr>
          <w:i/>
          <w:lang w:val="en-US"/>
        </w:rPr>
        <w:t>eneur</w:t>
      </w:r>
      <w:r w:rsidRPr="005D35CF">
        <w:rPr>
          <w:lang w:val="en-US"/>
        </w:rPr>
        <w:t xml:space="preserve"> does not even appear in the index” (</w:t>
      </w:r>
      <w:r>
        <w:rPr>
          <w:szCs w:val="24"/>
          <w:lang w:val="en-US"/>
        </w:rPr>
        <w:t xml:space="preserve">Baumol </w:t>
      </w:r>
      <w:r w:rsidR="00AB1A1E">
        <w:rPr>
          <w:szCs w:val="24"/>
          <w:lang w:val="en-US"/>
        </w:rPr>
        <w:t>and</w:t>
      </w:r>
      <w:r>
        <w:rPr>
          <w:szCs w:val="24"/>
          <w:lang w:val="en-US"/>
        </w:rPr>
        <w:t xml:space="preserve"> Blinder, 2009</w:t>
      </w:r>
      <w:r w:rsidRPr="005D35CF">
        <w:rPr>
          <w:szCs w:val="24"/>
          <w:lang w:val="en-US"/>
        </w:rPr>
        <w:t>, p. xxvii).</w:t>
      </w:r>
    </w:p>
  </w:footnote>
  <w:footnote w:id="13">
    <w:p w:rsidR="00F00A55" w:rsidRPr="0023656B" w:rsidRDefault="00F00A55" w:rsidP="00C271BE">
      <w:pPr>
        <w:pStyle w:val="FootnoteText"/>
        <w:rPr>
          <w:lang w:val="en-US"/>
        </w:rPr>
      </w:pPr>
      <w:r>
        <w:rPr>
          <w:rStyle w:val="FootnoteReference"/>
        </w:rPr>
        <w:footnoteRef/>
      </w:r>
      <w:r>
        <w:rPr>
          <w:lang w:val="en-US"/>
        </w:rPr>
        <w:t xml:space="preserve"> The two duopolies are</w:t>
      </w:r>
      <w:r w:rsidRPr="0023656B">
        <w:rPr>
          <w:lang w:val="en-US"/>
        </w:rPr>
        <w:t xml:space="preserve"> Mankiw (2009) </w:t>
      </w:r>
      <w:r>
        <w:rPr>
          <w:lang w:val="en-US"/>
        </w:rPr>
        <w:t>and</w:t>
      </w:r>
      <w:r w:rsidRPr="0023656B">
        <w:rPr>
          <w:lang w:val="en-US"/>
        </w:rPr>
        <w:t xml:space="preserve"> McConnell, Brue and Flynn (2009) </w:t>
      </w:r>
      <w:r>
        <w:rPr>
          <w:lang w:val="en-US"/>
        </w:rPr>
        <w:t>according to an industry insider</w:t>
      </w:r>
      <w:r w:rsidRPr="0023656B">
        <w:rPr>
          <w:lang w:val="en-US"/>
        </w:rPr>
        <w:t xml:space="preserve"> having access to market data.</w:t>
      </w:r>
    </w:p>
  </w:footnote>
  <w:footnote w:id="14">
    <w:p w:rsidR="00F00A55" w:rsidRPr="0023656B" w:rsidRDefault="00F00A55" w:rsidP="006E60BD">
      <w:pPr>
        <w:pStyle w:val="FootnoteText"/>
        <w:rPr>
          <w:sz w:val="24"/>
          <w:szCs w:val="24"/>
          <w:lang w:val="en-US"/>
        </w:rPr>
      </w:pPr>
      <w:r>
        <w:rPr>
          <w:rStyle w:val="FootnoteReference"/>
        </w:rPr>
        <w:footnoteRef/>
      </w:r>
      <w:r w:rsidRPr="0023656B">
        <w:rPr>
          <w:lang w:val="en-US"/>
        </w:rPr>
        <w:t xml:space="preserve">  </w:t>
      </w:r>
      <w:r>
        <w:rPr>
          <w:lang w:val="en-US"/>
        </w:rPr>
        <w:t>This is the American wording for basic introductions to micro and macro in one volume.</w:t>
      </w:r>
      <w:r w:rsidRPr="0023656B">
        <w:rPr>
          <w:lang w:val="en-US"/>
        </w:rPr>
        <w:t xml:space="preserve"> This concept has a long hist</w:t>
      </w:r>
      <w:r>
        <w:rPr>
          <w:lang w:val="en-US"/>
        </w:rPr>
        <w:t>ory dating back to the early nine</w:t>
      </w:r>
      <w:r w:rsidRPr="0023656B">
        <w:rPr>
          <w:lang w:val="en-US"/>
        </w:rPr>
        <w:t>te</w:t>
      </w:r>
      <w:r>
        <w:rPr>
          <w:lang w:val="en-US"/>
        </w:rPr>
        <w:t>e</w:t>
      </w:r>
      <w:r w:rsidRPr="0023656B">
        <w:rPr>
          <w:lang w:val="en-US"/>
        </w:rPr>
        <w:t xml:space="preserve">nth century when </w:t>
      </w:r>
      <w:r>
        <w:rPr>
          <w:lang w:val="en-US"/>
        </w:rPr>
        <w:t xml:space="preserve">the title of </w:t>
      </w:r>
      <w:r w:rsidRPr="0023656B">
        <w:rPr>
          <w:lang w:val="en-US"/>
        </w:rPr>
        <w:t xml:space="preserve">books by economists </w:t>
      </w:r>
      <w:r>
        <w:rPr>
          <w:lang w:val="en-US"/>
        </w:rPr>
        <w:t>often included the phrase</w:t>
      </w:r>
      <w:r w:rsidRPr="0023656B">
        <w:rPr>
          <w:lang w:val="en-US"/>
        </w:rPr>
        <w:t xml:space="preserve"> ’Principles of Political Economy’.   </w:t>
      </w:r>
    </w:p>
  </w:footnote>
  <w:footnote w:id="15">
    <w:p w:rsidR="00F00A55" w:rsidRPr="009A16D3" w:rsidRDefault="00F00A55">
      <w:pPr>
        <w:pStyle w:val="FootnoteText"/>
        <w:rPr>
          <w:lang w:val="en-US"/>
        </w:rPr>
      </w:pPr>
      <w:r>
        <w:rPr>
          <w:rStyle w:val="FootnoteReference"/>
        </w:rPr>
        <w:footnoteRef/>
      </w:r>
      <w:r w:rsidRPr="009A16D3">
        <w:rPr>
          <w:lang w:val="en-US"/>
        </w:rPr>
        <w:t xml:space="preserve"> </w:t>
      </w:r>
      <w:r w:rsidRPr="00E93635">
        <w:rPr>
          <w:lang w:val="en-US"/>
        </w:rPr>
        <w:t xml:space="preserve">One could also </w:t>
      </w:r>
      <w:r>
        <w:rPr>
          <w:lang w:val="en-US"/>
        </w:rPr>
        <w:t xml:space="preserve">have </w:t>
      </w:r>
      <w:r w:rsidRPr="00E93635">
        <w:rPr>
          <w:lang w:val="en-US"/>
        </w:rPr>
        <w:t>mention</w:t>
      </w:r>
      <w:r>
        <w:rPr>
          <w:lang w:val="en-US"/>
        </w:rPr>
        <w:t>ed</w:t>
      </w:r>
      <w:r w:rsidRPr="00E93635">
        <w:rPr>
          <w:lang w:val="en-US"/>
        </w:rPr>
        <w:t xml:space="preserve"> ’essentials’ </w:t>
      </w:r>
      <w:r>
        <w:rPr>
          <w:lang w:val="en-US"/>
        </w:rPr>
        <w:t>but as they</w:t>
      </w:r>
      <w:r w:rsidRPr="00E93635">
        <w:rPr>
          <w:lang w:val="en-US"/>
        </w:rPr>
        <w:t xml:space="preserve"> are </w:t>
      </w:r>
      <w:r>
        <w:rPr>
          <w:lang w:val="en-US"/>
        </w:rPr>
        <w:t xml:space="preserve">just </w:t>
      </w:r>
      <w:r w:rsidRPr="00E93635">
        <w:rPr>
          <w:lang w:val="en-US"/>
        </w:rPr>
        <w:t>condensed version of</w:t>
      </w:r>
      <w:r>
        <w:rPr>
          <w:lang w:val="en-US"/>
        </w:rPr>
        <w:t xml:space="preserve"> principles they are not really different and likely to leave out the financial crisis due to lack of space.</w:t>
      </w:r>
    </w:p>
  </w:footnote>
  <w:footnote w:id="16">
    <w:p w:rsidR="00F00A55" w:rsidRPr="00664E09" w:rsidRDefault="00F00A55">
      <w:pPr>
        <w:pStyle w:val="FootnoteText"/>
        <w:rPr>
          <w:lang w:val="en-US"/>
        </w:rPr>
      </w:pPr>
      <w:r>
        <w:rPr>
          <w:rStyle w:val="FootnoteReference"/>
        </w:rPr>
        <w:footnoteRef/>
      </w:r>
      <w:r w:rsidRPr="00664E09">
        <w:rPr>
          <w:lang w:val="en-US"/>
        </w:rPr>
        <w:t xml:space="preserve"> </w:t>
      </w:r>
      <w:r>
        <w:rPr>
          <w:lang w:val="en-US"/>
        </w:rPr>
        <w:t>Ac</w:t>
      </w:r>
      <w:r w:rsidRPr="00E93635">
        <w:rPr>
          <w:lang w:val="en-US"/>
        </w:rPr>
        <w:t xml:space="preserve">cording to an e-mail from </w:t>
      </w:r>
      <w:r w:rsidR="00CC4979">
        <w:rPr>
          <w:lang w:val="en-US"/>
        </w:rPr>
        <w:t xml:space="preserve">an author of an US principles </w:t>
      </w:r>
      <w:r w:rsidRPr="00E93635">
        <w:rPr>
          <w:lang w:val="en-US"/>
        </w:rPr>
        <w:t>dated</w:t>
      </w:r>
      <w:r>
        <w:rPr>
          <w:lang w:val="en-US"/>
        </w:rPr>
        <w:t xml:space="preserve"> 22.4.2010.</w:t>
      </w:r>
    </w:p>
  </w:footnote>
  <w:footnote w:id="17">
    <w:p w:rsidR="00F00A55" w:rsidRPr="0023656B" w:rsidRDefault="00F00A55">
      <w:pPr>
        <w:pStyle w:val="FootnoteText"/>
        <w:rPr>
          <w:lang w:val="en-US"/>
        </w:rPr>
      </w:pPr>
      <w:r>
        <w:rPr>
          <w:rStyle w:val="FootnoteReference"/>
        </w:rPr>
        <w:footnoteRef/>
      </w:r>
      <w:r w:rsidRPr="0023656B">
        <w:rPr>
          <w:lang w:val="en-US"/>
        </w:rPr>
        <w:t xml:space="preserve"> Or to be more precise: when ordering American textbooks from a European library one will automatically get the international/global edition. American t</w:t>
      </w:r>
      <w:r>
        <w:rPr>
          <w:lang w:val="en-US"/>
        </w:rPr>
        <w:t>extbooks are normally only sold to</w:t>
      </w:r>
      <w:r w:rsidRPr="0023656B">
        <w:rPr>
          <w:lang w:val="en-US"/>
        </w:rPr>
        <w:t xml:space="preserve"> the American market a</w:t>
      </w:r>
      <w:r>
        <w:rPr>
          <w:lang w:val="en-US"/>
        </w:rPr>
        <w:t xml:space="preserve">nd cannot be ordered by a European library due to </w:t>
      </w:r>
      <w:r w:rsidRPr="0023656B">
        <w:rPr>
          <w:lang w:val="en-US"/>
        </w:rPr>
        <w:t>high costs of transport</w:t>
      </w:r>
      <w:r>
        <w:rPr>
          <w:lang w:val="en-US"/>
        </w:rPr>
        <w:t>ation</w:t>
      </w:r>
      <w:r w:rsidRPr="0023656B">
        <w:rPr>
          <w:lang w:val="en-US"/>
        </w:rPr>
        <w:t>.</w:t>
      </w:r>
    </w:p>
  </w:footnote>
  <w:footnote w:id="18">
    <w:p w:rsidR="00F00A55" w:rsidRPr="00CD28D8" w:rsidRDefault="00F00A55" w:rsidP="00E315A0">
      <w:pPr>
        <w:pStyle w:val="FootnoteText"/>
        <w:rPr>
          <w:color w:val="FF0000"/>
          <w:lang w:val="en-US"/>
        </w:rPr>
      </w:pPr>
      <w:r>
        <w:rPr>
          <w:rStyle w:val="FootnoteReference"/>
        </w:rPr>
        <w:footnoteRef/>
      </w:r>
      <w:r w:rsidRPr="0023656B">
        <w:rPr>
          <w:lang w:val="en-US"/>
        </w:rPr>
        <w:t xml:space="preserve"> The duopolies have only manag</w:t>
      </w:r>
      <w:r>
        <w:rPr>
          <w:lang w:val="en-US"/>
        </w:rPr>
        <w:t>ed to include a little bit on</w:t>
      </w:r>
      <w:r w:rsidRPr="0023656B">
        <w:rPr>
          <w:lang w:val="en-US"/>
        </w:rPr>
        <w:t xml:space="preserve"> the subprime crisis. Mankiw (2009) has one entry called ’subprime crisis’, which directs you to a very brief resume (p. </w:t>
      </w:r>
      <w:r>
        <w:rPr>
          <w:lang w:val="en-US"/>
        </w:rPr>
        <w:t xml:space="preserve">821) concluding with a short mentioning of Bear Stearns. </w:t>
      </w:r>
      <w:r w:rsidRPr="0023656B">
        <w:rPr>
          <w:lang w:val="en-US"/>
        </w:rPr>
        <w:t xml:space="preserve">McConnell, Brue and Flynn (2009) </w:t>
      </w:r>
      <w:proofErr w:type="gramStart"/>
      <w:r>
        <w:rPr>
          <w:lang w:val="en-US"/>
        </w:rPr>
        <w:t>has</w:t>
      </w:r>
      <w:proofErr w:type="gramEnd"/>
      <w:r>
        <w:rPr>
          <w:lang w:val="en-US"/>
        </w:rPr>
        <w:t xml:space="preserve"> four entries on </w:t>
      </w:r>
      <w:r w:rsidRPr="0023656B">
        <w:rPr>
          <w:lang w:val="en-US"/>
        </w:rPr>
        <w:t>the subprime</w:t>
      </w:r>
      <w:r>
        <w:rPr>
          <w:lang w:val="en-US"/>
        </w:rPr>
        <w:t xml:space="preserve"> crisis. It is described</w:t>
      </w:r>
      <w:r w:rsidRPr="0023656B">
        <w:rPr>
          <w:lang w:val="en-US"/>
        </w:rPr>
        <w:t xml:space="preserve"> in a box </w:t>
      </w:r>
      <w:r>
        <w:rPr>
          <w:lang w:val="en-US"/>
        </w:rPr>
        <w:t>partly covering two pages (p. 682-683). The response by Fed to the crisis is presented on page 670 (quarter of a page) and later more condensed (9 lines, p. 737).</w:t>
      </w:r>
    </w:p>
  </w:footnote>
  <w:footnote w:id="19">
    <w:p w:rsidR="00F00A55" w:rsidRPr="0034607D" w:rsidRDefault="00F00A55">
      <w:pPr>
        <w:pStyle w:val="FootnoteText"/>
        <w:rPr>
          <w:color w:val="FF0000"/>
          <w:lang w:val="en-US"/>
        </w:rPr>
      </w:pPr>
      <w:r>
        <w:rPr>
          <w:rStyle w:val="FootnoteReference"/>
        </w:rPr>
        <w:footnoteRef/>
      </w:r>
      <w:r w:rsidRPr="0034607D">
        <w:rPr>
          <w:lang w:val="en-US"/>
        </w:rPr>
        <w:t xml:space="preserve"> </w:t>
      </w:r>
      <w:r>
        <w:rPr>
          <w:lang w:val="en-US"/>
        </w:rPr>
        <w:t>The only exception is Colander. He states simply that: ‘In addition, I also added a fourth new chapter dealing with the financial crisis that hit the economy in 2008’ (p. xii) and later in the preface (p. xvi) this chapter is described in 10 lines.</w:t>
      </w:r>
    </w:p>
  </w:footnote>
  <w:footnote w:id="20">
    <w:p w:rsidR="00F00A55" w:rsidRPr="0023656B" w:rsidRDefault="00F00A55" w:rsidP="00AE32CD">
      <w:pPr>
        <w:pStyle w:val="FootnoteText"/>
        <w:rPr>
          <w:lang w:val="en-US"/>
        </w:rPr>
      </w:pPr>
      <w:r>
        <w:rPr>
          <w:rStyle w:val="FootnoteReference"/>
        </w:rPr>
        <w:footnoteRef/>
      </w:r>
      <w:r w:rsidRPr="0023656B">
        <w:rPr>
          <w:lang w:val="en-US"/>
        </w:rPr>
        <w:t xml:space="preserve"> </w:t>
      </w:r>
      <w:r>
        <w:rPr>
          <w:lang w:val="en-US"/>
        </w:rPr>
        <w:t>The section covering</w:t>
      </w:r>
      <w:r w:rsidRPr="0023656B">
        <w:rPr>
          <w:lang w:val="en-US"/>
        </w:rPr>
        <w:t xml:space="preserve"> results is short compared to the rest of the article</w:t>
      </w:r>
      <w:r>
        <w:rPr>
          <w:lang w:val="en-US"/>
        </w:rPr>
        <w:t>. This</w:t>
      </w:r>
      <w:r w:rsidRPr="0023656B">
        <w:rPr>
          <w:lang w:val="en-US"/>
        </w:rPr>
        <w:t xml:space="preserve"> is a result in itself.</w:t>
      </w:r>
    </w:p>
  </w:footnote>
  <w:footnote w:id="21">
    <w:p w:rsidR="00F00A55" w:rsidRPr="002D54C4" w:rsidRDefault="00F00A55" w:rsidP="00AE32CD">
      <w:pPr>
        <w:pStyle w:val="FootnoteText"/>
        <w:rPr>
          <w:lang w:val="en-US"/>
        </w:rPr>
      </w:pPr>
      <w:r>
        <w:rPr>
          <w:rStyle w:val="FootnoteReference"/>
        </w:rPr>
        <w:footnoteRef/>
      </w:r>
      <w:r w:rsidRPr="002D54C4">
        <w:rPr>
          <w:lang w:val="en-US"/>
        </w:rPr>
        <w:t xml:space="preserve"> </w:t>
      </w:r>
      <w:r>
        <w:rPr>
          <w:lang w:val="en-US"/>
        </w:rPr>
        <w:t>In this list t</w:t>
      </w:r>
      <w:r w:rsidRPr="002D54C4">
        <w:rPr>
          <w:lang w:val="en-US"/>
        </w:rPr>
        <w:t>here are se</w:t>
      </w:r>
      <w:r>
        <w:rPr>
          <w:lang w:val="en-US"/>
        </w:rPr>
        <w:t>ven textbooks but at</w:t>
      </w:r>
      <w:r w:rsidRPr="002D54C4">
        <w:rPr>
          <w:lang w:val="en-US"/>
        </w:rPr>
        <w:t xml:space="preserve"> the time of writing Bade and Parkin (2010)</w:t>
      </w:r>
      <w:r>
        <w:rPr>
          <w:lang w:val="en-US"/>
        </w:rPr>
        <w:t xml:space="preserve"> had just been delivered to the author and has yet to be analyzed but it is probably not all that different from Parkin (2010). </w:t>
      </w:r>
    </w:p>
  </w:footnote>
  <w:footnote w:id="22">
    <w:p w:rsidR="00F00A55" w:rsidRPr="00F95E24" w:rsidRDefault="00F00A55">
      <w:pPr>
        <w:pStyle w:val="FootnoteText"/>
        <w:rPr>
          <w:lang w:val="en-US"/>
        </w:rPr>
      </w:pPr>
      <w:r>
        <w:rPr>
          <w:rStyle w:val="FootnoteReference"/>
        </w:rPr>
        <w:footnoteRef/>
      </w:r>
      <w:r w:rsidRPr="000B0606">
        <w:rPr>
          <w:lang w:val="en-US"/>
        </w:rPr>
        <w:t xml:space="preserve"> </w:t>
      </w:r>
      <w:r>
        <w:rPr>
          <w:lang w:val="en-US"/>
        </w:rPr>
        <w:t xml:space="preserve">Tellingly, the Colander quotation in the beginning of the article is from a ‘Symposium on the Financial Crisis and the Teaching of </w:t>
      </w:r>
      <w:r>
        <w:rPr>
          <w:i/>
          <w:lang w:val="en-US"/>
        </w:rPr>
        <w:t>Macro</w:t>
      </w:r>
      <w:r>
        <w:rPr>
          <w:lang w:val="en-US"/>
        </w:rPr>
        <w:t>economics’ (my emphasis).</w:t>
      </w:r>
    </w:p>
  </w:footnote>
  <w:footnote w:id="23">
    <w:p w:rsidR="00F00A55" w:rsidRPr="00195AED" w:rsidRDefault="00F00A55" w:rsidP="00AD3925">
      <w:pPr>
        <w:pStyle w:val="FootnoteText"/>
        <w:rPr>
          <w:lang w:val="en-US"/>
        </w:rPr>
      </w:pPr>
      <w:r>
        <w:rPr>
          <w:rStyle w:val="FootnoteReference"/>
        </w:rPr>
        <w:footnoteRef/>
      </w:r>
      <w:r w:rsidRPr="00195AED">
        <w:rPr>
          <w:lang w:val="en-US"/>
        </w:rPr>
        <w:t xml:space="preserve"> In accordance with this one of the less sold textbooks from 2010 </w:t>
      </w:r>
      <w:r>
        <w:rPr>
          <w:lang w:val="en-US"/>
        </w:rPr>
        <w:t xml:space="preserve">proclaims in </w:t>
      </w:r>
      <w:r w:rsidRPr="00195AED">
        <w:rPr>
          <w:lang w:val="en-US"/>
        </w:rPr>
        <w:t>Samuelson</w:t>
      </w:r>
      <w:r>
        <w:rPr>
          <w:lang w:val="en-US"/>
        </w:rPr>
        <w:t>’</w:t>
      </w:r>
      <w:r w:rsidRPr="00195AED">
        <w:rPr>
          <w:lang w:val="en-US"/>
        </w:rPr>
        <w:t xml:space="preserve">s </w:t>
      </w:r>
      <w:r>
        <w:rPr>
          <w:lang w:val="en-US"/>
        </w:rPr>
        <w:t xml:space="preserve">introductory words to the preface: </w:t>
      </w:r>
      <w:r w:rsidRPr="00195AED">
        <w:rPr>
          <w:lang w:val="en-US"/>
        </w:rPr>
        <w:t>’A Cent</w:t>
      </w:r>
      <w:r>
        <w:rPr>
          <w:lang w:val="en-US"/>
        </w:rPr>
        <w:t xml:space="preserve">rist </w:t>
      </w:r>
      <w:proofErr w:type="gramStart"/>
      <w:r>
        <w:rPr>
          <w:lang w:val="en-US"/>
        </w:rPr>
        <w:t>Proclamation’</w:t>
      </w:r>
      <w:r w:rsidRPr="00195AED">
        <w:rPr>
          <w:lang w:val="en-US"/>
        </w:rPr>
        <w:t xml:space="preserve">, </w:t>
      </w:r>
      <w:r>
        <w:rPr>
          <w:lang w:val="en-US"/>
        </w:rPr>
        <w:t>that</w:t>
      </w:r>
      <w:proofErr w:type="gramEnd"/>
      <w:r>
        <w:rPr>
          <w:lang w:val="en-US"/>
        </w:rPr>
        <w:t xml:space="preserve"> the financial crisis highlights the “the value of the mixed economy” (</w:t>
      </w:r>
      <w:r w:rsidRPr="00195AED">
        <w:rPr>
          <w:lang w:val="en-US"/>
        </w:rPr>
        <w:t>Samuelson and</w:t>
      </w:r>
      <w:r>
        <w:rPr>
          <w:lang w:val="en-US"/>
        </w:rPr>
        <w:t xml:space="preserve"> Nordhaus, </w:t>
      </w:r>
      <w:r w:rsidRPr="00195AED">
        <w:rPr>
          <w:lang w:val="en-US"/>
        </w:rPr>
        <w:t>p. xvi)</w:t>
      </w:r>
      <w:r>
        <w:rPr>
          <w:lang w:val="en-US"/>
        </w:rPr>
        <w:t xml:space="preserve">. In accordance with this view, another of the analyzed textbooks </w:t>
      </w:r>
      <w:r w:rsidRPr="00195AED">
        <w:rPr>
          <w:lang w:val="en-US"/>
        </w:rPr>
        <w:t xml:space="preserve">(Schiller, 2010) </w:t>
      </w:r>
      <w:r>
        <w:rPr>
          <w:lang w:val="en-US"/>
        </w:rPr>
        <w:t>also emphasizes very briefly that the financial crisis has ’</w:t>
      </w:r>
      <w:r w:rsidRPr="00195AED">
        <w:rPr>
          <w:lang w:val="en-US"/>
        </w:rPr>
        <w:t>expanded the government’s share of total output yet further” (p. 83).</w:t>
      </w:r>
    </w:p>
  </w:footnote>
  <w:footnote w:id="24">
    <w:p w:rsidR="00A34F94" w:rsidRPr="00195AED" w:rsidRDefault="00A34F94" w:rsidP="00A34F94">
      <w:pPr>
        <w:pStyle w:val="FootnoteText"/>
        <w:rPr>
          <w:lang w:val="en-US"/>
        </w:rPr>
      </w:pPr>
      <w:r>
        <w:rPr>
          <w:rStyle w:val="FootnoteReference"/>
        </w:rPr>
        <w:footnoteRef/>
      </w:r>
      <w:r w:rsidRPr="00195AED">
        <w:rPr>
          <w:lang w:val="en-US"/>
        </w:rPr>
        <w:t xml:space="preserve"> </w:t>
      </w:r>
      <w:r>
        <w:rPr>
          <w:lang w:val="en-US"/>
        </w:rPr>
        <w:t xml:space="preserve">In the footer of </w:t>
      </w:r>
      <w:r w:rsidRPr="00195AED">
        <w:rPr>
          <w:lang w:val="en-US"/>
        </w:rPr>
        <w:t xml:space="preserve">Colander and Parkin </w:t>
      </w:r>
      <w:r>
        <w:rPr>
          <w:lang w:val="en-US"/>
        </w:rPr>
        <w:t>both books have apparently been published in</w:t>
      </w:r>
      <w:r w:rsidRPr="00195AED">
        <w:rPr>
          <w:lang w:val="en-US"/>
        </w:rPr>
        <w:t xml:space="preserve"> </w:t>
      </w:r>
      <w:r>
        <w:rPr>
          <w:lang w:val="en-US"/>
        </w:rPr>
        <w:t>2010 probably for competitiv</w:t>
      </w:r>
      <w:r w:rsidRPr="00195AED">
        <w:rPr>
          <w:lang w:val="en-US"/>
        </w:rPr>
        <w:t xml:space="preserve">e reasons. </w:t>
      </w:r>
      <w:r>
        <w:rPr>
          <w:lang w:val="en-US"/>
        </w:rPr>
        <w:t>From the publisher’s homepage one can see the exact publishing data. If the year of analysis of 2010 were to be respected those two textbooks should be left out of the analysis. We have, however, chosen to include these two texts in the analysis as Colander is – despite the early date – the textbook which takes the lesson learned by the financial crisis most seriously. What matters is not the specific year but actual content dealing with the financial crisis. Substance is more important than literal consistency.</w:t>
      </w:r>
    </w:p>
  </w:footnote>
  <w:footnote w:id="25">
    <w:p w:rsidR="00F00A55" w:rsidRPr="00470BB9" w:rsidRDefault="00F00A55">
      <w:pPr>
        <w:pStyle w:val="FootnoteText"/>
        <w:rPr>
          <w:lang w:val="en-US"/>
        </w:rPr>
      </w:pPr>
      <w:r>
        <w:rPr>
          <w:rStyle w:val="FootnoteReference"/>
        </w:rPr>
        <w:footnoteRef/>
      </w:r>
      <w:r w:rsidRPr="00470BB9">
        <w:rPr>
          <w:lang w:val="en-US"/>
        </w:rPr>
        <w:t xml:space="preserve"> This appendix has been published by</w:t>
      </w:r>
      <w:r w:rsidR="006956BA">
        <w:rPr>
          <w:lang w:val="en-US"/>
        </w:rPr>
        <w:t xml:space="preserve"> representative from a publisher</w:t>
      </w:r>
      <w:r w:rsidRPr="00470BB9">
        <w:rPr>
          <w:lang w:val="en-US"/>
        </w:rPr>
        <w:t xml:space="preserve"> and passe</w:t>
      </w:r>
      <w:r>
        <w:rPr>
          <w:lang w:val="en-US"/>
        </w:rPr>
        <w:t>d</w:t>
      </w:r>
      <w:r w:rsidR="00CC4979">
        <w:rPr>
          <w:lang w:val="en-US"/>
        </w:rPr>
        <w:t xml:space="preserve"> on to me by an author </w:t>
      </w:r>
      <w:proofErr w:type="gramStart"/>
      <w:r w:rsidR="00CC4979">
        <w:rPr>
          <w:lang w:val="en-US"/>
        </w:rPr>
        <w:t>of a principles</w:t>
      </w:r>
      <w:proofErr w:type="gramEnd"/>
      <w:r w:rsidRPr="00470BB9">
        <w:rPr>
          <w:lang w:val="en-US"/>
        </w:rPr>
        <w:t>.</w:t>
      </w:r>
      <w:r>
        <w:rPr>
          <w:lang w:val="en-US"/>
        </w:rPr>
        <w:t xml:space="preserve"> </w:t>
      </w:r>
    </w:p>
  </w:footnote>
  <w:footnote w:id="26">
    <w:p w:rsidR="00F00A55" w:rsidRPr="00F00A55" w:rsidRDefault="00F00A55">
      <w:pPr>
        <w:pStyle w:val="FootnoteText"/>
        <w:rPr>
          <w:lang w:val="en-US"/>
        </w:rPr>
      </w:pPr>
      <w:r>
        <w:rPr>
          <w:rStyle w:val="FootnoteReference"/>
        </w:rPr>
        <w:footnoteRef/>
      </w:r>
      <w:r w:rsidRPr="00F00A55">
        <w:rPr>
          <w:lang w:val="en-US"/>
        </w:rPr>
        <w:t xml:space="preserve"> I</w:t>
      </w:r>
      <w:r>
        <w:rPr>
          <w:lang w:val="en-US"/>
        </w:rPr>
        <w:t>n</w:t>
      </w:r>
      <w:r w:rsidRPr="00F00A55">
        <w:rPr>
          <w:lang w:val="en-US"/>
        </w:rPr>
        <w:t xml:space="preserve"> Hubbard</w:t>
      </w:r>
      <w:r>
        <w:rPr>
          <w:lang w:val="en-US"/>
        </w:rPr>
        <w:t xml:space="preserve"> it has another name</w:t>
      </w:r>
      <w:r w:rsidRPr="00F00A55">
        <w:rPr>
          <w:lang w:val="en-US"/>
        </w:rPr>
        <w:t>: American Recovery and Investment Act of 2009</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55" w:rsidRDefault="0099461F">
    <w:pPr>
      <w:pStyle w:val="Header"/>
      <w:jc w:val="center"/>
    </w:pPr>
    <w:fldSimple w:instr=" PAGE   \* MERGEFORMAT ">
      <w:r w:rsidR="00CC4979">
        <w:rPr>
          <w:noProof/>
        </w:rPr>
        <w:t>1</w:t>
      </w:r>
    </w:fldSimple>
  </w:p>
  <w:p w:rsidR="00F00A55" w:rsidRDefault="00F00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700"/>
    <w:multiLevelType w:val="hybridMultilevel"/>
    <w:tmpl w:val="D108BA7E"/>
    <w:lvl w:ilvl="0" w:tplc="0406000F">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6086B81"/>
    <w:multiLevelType w:val="hybridMultilevel"/>
    <w:tmpl w:val="69765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93DD9"/>
    <w:multiLevelType w:val="hybridMultilevel"/>
    <w:tmpl w:val="BBB20F70"/>
    <w:lvl w:ilvl="0" w:tplc="730640C2">
      <w:start w:val="9"/>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3">
    <w:nsid w:val="18B62282"/>
    <w:multiLevelType w:val="hybridMultilevel"/>
    <w:tmpl w:val="8F60D30E"/>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9ED4347"/>
    <w:multiLevelType w:val="hybridMultilevel"/>
    <w:tmpl w:val="96C6B3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C73B94"/>
    <w:multiLevelType w:val="hybridMultilevel"/>
    <w:tmpl w:val="C030A2EC"/>
    <w:lvl w:ilvl="0" w:tplc="4DE6F15A">
      <w:start w:val="6"/>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27C57676"/>
    <w:multiLevelType w:val="hybridMultilevel"/>
    <w:tmpl w:val="8204499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E5D63C7"/>
    <w:multiLevelType w:val="hybridMultilevel"/>
    <w:tmpl w:val="D108BA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EA415FF"/>
    <w:multiLevelType w:val="hybridMultilevel"/>
    <w:tmpl w:val="937688A2"/>
    <w:lvl w:ilvl="0" w:tplc="11E8572C">
      <w:start w:val="1"/>
      <w:numFmt w:val="decimal"/>
      <w:lvlText w:val="%1."/>
      <w:lvlJc w:val="left"/>
      <w:pPr>
        <w:ind w:left="1080" w:hanging="360"/>
      </w:pPr>
      <w:rPr>
        <w:rFonts w:ascii="Times New Roman" w:eastAsia="Times New Roman" w:hAnsi="Times New Roman" w:cs="Times New Roman"/>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30A56B04"/>
    <w:multiLevelType w:val="hybridMultilevel"/>
    <w:tmpl w:val="D5E41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B07CC"/>
    <w:multiLevelType w:val="hybridMultilevel"/>
    <w:tmpl w:val="A37E8C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8A6095D"/>
    <w:multiLevelType w:val="hybridMultilevel"/>
    <w:tmpl w:val="D53E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A3759"/>
    <w:multiLevelType w:val="hybridMultilevel"/>
    <w:tmpl w:val="89F85502"/>
    <w:lvl w:ilvl="0" w:tplc="528C19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455E7972"/>
    <w:multiLevelType w:val="hybridMultilevel"/>
    <w:tmpl w:val="A99C4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0E27F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86E95"/>
    <w:multiLevelType w:val="hybridMultilevel"/>
    <w:tmpl w:val="BC6ABA5A"/>
    <w:lvl w:ilvl="0" w:tplc="F00C7B1E">
      <w:start w:val="1"/>
      <w:numFmt w:val="decimal"/>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552E1377"/>
    <w:multiLevelType w:val="hybridMultilevel"/>
    <w:tmpl w:val="D31EB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1F38AC"/>
    <w:multiLevelType w:val="hybridMultilevel"/>
    <w:tmpl w:val="01D6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67860"/>
    <w:multiLevelType w:val="hybridMultilevel"/>
    <w:tmpl w:val="EFF07870"/>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1F41490"/>
    <w:multiLevelType w:val="hybridMultilevel"/>
    <w:tmpl w:val="3528A258"/>
    <w:lvl w:ilvl="0" w:tplc="81E8082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93AD0"/>
    <w:multiLevelType w:val="hybridMultilevel"/>
    <w:tmpl w:val="555C0656"/>
    <w:lvl w:ilvl="0" w:tplc="304E748A">
      <w:start w:val="3"/>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nsid w:val="6AAC2608"/>
    <w:multiLevelType w:val="hybridMultilevel"/>
    <w:tmpl w:val="8EF01040"/>
    <w:lvl w:ilvl="0" w:tplc="2C18EB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C6803"/>
    <w:multiLevelType w:val="hybridMultilevel"/>
    <w:tmpl w:val="D108BA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1BA42C5"/>
    <w:multiLevelType w:val="hybridMultilevel"/>
    <w:tmpl w:val="0EAEA070"/>
    <w:lvl w:ilvl="0" w:tplc="8E2EF31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3"/>
  </w:num>
  <w:num w:numId="5">
    <w:abstractNumId w:val="2"/>
  </w:num>
  <w:num w:numId="6">
    <w:abstractNumId w:val="17"/>
  </w:num>
  <w:num w:numId="7">
    <w:abstractNumId w:val="22"/>
  </w:num>
  <w:num w:numId="8">
    <w:abstractNumId w:val="11"/>
  </w:num>
  <w:num w:numId="9">
    <w:abstractNumId w:val="16"/>
  </w:num>
  <w:num w:numId="10">
    <w:abstractNumId w:val="15"/>
  </w:num>
  <w:num w:numId="11">
    <w:abstractNumId w:val="12"/>
  </w:num>
  <w:num w:numId="12">
    <w:abstractNumId w:val="8"/>
  </w:num>
  <w:num w:numId="13">
    <w:abstractNumId w:val="20"/>
  </w:num>
  <w:num w:numId="14">
    <w:abstractNumId w:val="9"/>
  </w:num>
  <w:num w:numId="15">
    <w:abstractNumId w:val="4"/>
  </w:num>
  <w:num w:numId="16">
    <w:abstractNumId w:val="0"/>
  </w:num>
  <w:num w:numId="17">
    <w:abstractNumId w:val="7"/>
  </w:num>
  <w:num w:numId="18">
    <w:abstractNumId w:val="5"/>
  </w:num>
  <w:num w:numId="19">
    <w:abstractNumId w:val="21"/>
  </w:num>
  <w:num w:numId="20">
    <w:abstractNumId w:val="18"/>
  </w:num>
  <w:num w:numId="21">
    <w:abstractNumId w:val="1"/>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304"/>
  <w:hyphenationZone w:val="425"/>
  <w:characterSpacingControl w:val="doNotCompress"/>
  <w:footnotePr>
    <w:footnote w:id="0"/>
    <w:footnote w:id="1"/>
  </w:footnotePr>
  <w:endnotePr>
    <w:endnote w:id="0"/>
    <w:endnote w:id="1"/>
  </w:endnotePr>
  <w:compat/>
  <w:rsids>
    <w:rsidRoot w:val="000F763A"/>
    <w:rsid w:val="0000141E"/>
    <w:rsid w:val="000033D1"/>
    <w:rsid w:val="00007CA9"/>
    <w:rsid w:val="00020252"/>
    <w:rsid w:val="00020C5E"/>
    <w:rsid w:val="00021422"/>
    <w:rsid w:val="0002442C"/>
    <w:rsid w:val="00037890"/>
    <w:rsid w:val="00041210"/>
    <w:rsid w:val="00042E37"/>
    <w:rsid w:val="00042F57"/>
    <w:rsid w:val="000438EB"/>
    <w:rsid w:val="0004778D"/>
    <w:rsid w:val="000540DC"/>
    <w:rsid w:val="00061392"/>
    <w:rsid w:val="000638B8"/>
    <w:rsid w:val="00070063"/>
    <w:rsid w:val="000714CC"/>
    <w:rsid w:val="00072A42"/>
    <w:rsid w:val="0007334E"/>
    <w:rsid w:val="00074914"/>
    <w:rsid w:val="000760C8"/>
    <w:rsid w:val="000764CD"/>
    <w:rsid w:val="00077CD0"/>
    <w:rsid w:val="0008039E"/>
    <w:rsid w:val="00082ACA"/>
    <w:rsid w:val="00083CB6"/>
    <w:rsid w:val="00084974"/>
    <w:rsid w:val="000A31DC"/>
    <w:rsid w:val="000A333D"/>
    <w:rsid w:val="000A4BB2"/>
    <w:rsid w:val="000B0606"/>
    <w:rsid w:val="000B0FA1"/>
    <w:rsid w:val="000B5C30"/>
    <w:rsid w:val="000C1FE7"/>
    <w:rsid w:val="000C47FE"/>
    <w:rsid w:val="000C54CD"/>
    <w:rsid w:val="000D0D0D"/>
    <w:rsid w:val="000D4177"/>
    <w:rsid w:val="000E30B6"/>
    <w:rsid w:val="000E7B50"/>
    <w:rsid w:val="000E7D42"/>
    <w:rsid w:val="000F265E"/>
    <w:rsid w:val="000F763A"/>
    <w:rsid w:val="000F791E"/>
    <w:rsid w:val="00105298"/>
    <w:rsid w:val="00106AAE"/>
    <w:rsid w:val="001158DC"/>
    <w:rsid w:val="00116B4A"/>
    <w:rsid w:val="00117784"/>
    <w:rsid w:val="001179C4"/>
    <w:rsid w:val="00124F22"/>
    <w:rsid w:val="00127E10"/>
    <w:rsid w:val="001339CB"/>
    <w:rsid w:val="0014797E"/>
    <w:rsid w:val="001525F9"/>
    <w:rsid w:val="00153470"/>
    <w:rsid w:val="00154A5D"/>
    <w:rsid w:val="00170EA0"/>
    <w:rsid w:val="001730D0"/>
    <w:rsid w:val="00176257"/>
    <w:rsid w:val="00182C31"/>
    <w:rsid w:val="001859A5"/>
    <w:rsid w:val="0018747E"/>
    <w:rsid w:val="00190AF7"/>
    <w:rsid w:val="00195AED"/>
    <w:rsid w:val="00195D63"/>
    <w:rsid w:val="001A022F"/>
    <w:rsid w:val="001A045A"/>
    <w:rsid w:val="001A04AA"/>
    <w:rsid w:val="001A68BA"/>
    <w:rsid w:val="001A6DBE"/>
    <w:rsid w:val="001A7D28"/>
    <w:rsid w:val="001B2662"/>
    <w:rsid w:val="001B33B3"/>
    <w:rsid w:val="001B44FA"/>
    <w:rsid w:val="001C41ED"/>
    <w:rsid w:val="001C7CFB"/>
    <w:rsid w:val="001D0F31"/>
    <w:rsid w:val="001D145B"/>
    <w:rsid w:val="001D76A2"/>
    <w:rsid w:val="001E0A31"/>
    <w:rsid w:val="001E0DAC"/>
    <w:rsid w:val="001E7F3C"/>
    <w:rsid w:val="001F034F"/>
    <w:rsid w:val="001F097C"/>
    <w:rsid w:val="001F59A2"/>
    <w:rsid w:val="0020079F"/>
    <w:rsid w:val="002034DD"/>
    <w:rsid w:val="00204022"/>
    <w:rsid w:val="002049DD"/>
    <w:rsid w:val="00205BAB"/>
    <w:rsid w:val="0021147E"/>
    <w:rsid w:val="0021407C"/>
    <w:rsid w:val="00217833"/>
    <w:rsid w:val="00220AA3"/>
    <w:rsid w:val="00221A78"/>
    <w:rsid w:val="0023156C"/>
    <w:rsid w:val="00232AE4"/>
    <w:rsid w:val="00233721"/>
    <w:rsid w:val="0023656B"/>
    <w:rsid w:val="00236B09"/>
    <w:rsid w:val="00237C45"/>
    <w:rsid w:val="00243916"/>
    <w:rsid w:val="00244522"/>
    <w:rsid w:val="00245649"/>
    <w:rsid w:val="00247BCB"/>
    <w:rsid w:val="0025249B"/>
    <w:rsid w:val="00255BB5"/>
    <w:rsid w:val="00257532"/>
    <w:rsid w:val="00260928"/>
    <w:rsid w:val="00266298"/>
    <w:rsid w:val="00266F8A"/>
    <w:rsid w:val="00273AA5"/>
    <w:rsid w:val="0027636D"/>
    <w:rsid w:val="00277D6C"/>
    <w:rsid w:val="00277F4A"/>
    <w:rsid w:val="002810C0"/>
    <w:rsid w:val="002816C1"/>
    <w:rsid w:val="00293DF0"/>
    <w:rsid w:val="002A69F2"/>
    <w:rsid w:val="002A74C0"/>
    <w:rsid w:val="002B1938"/>
    <w:rsid w:val="002B2A5C"/>
    <w:rsid w:val="002B3C24"/>
    <w:rsid w:val="002B583F"/>
    <w:rsid w:val="002C57A2"/>
    <w:rsid w:val="002D3016"/>
    <w:rsid w:val="002D30A6"/>
    <w:rsid w:val="002D4B1E"/>
    <w:rsid w:val="002D54C4"/>
    <w:rsid w:val="002E02F9"/>
    <w:rsid w:val="002E0529"/>
    <w:rsid w:val="002E349C"/>
    <w:rsid w:val="002F55A8"/>
    <w:rsid w:val="002F5F9F"/>
    <w:rsid w:val="002F667B"/>
    <w:rsid w:val="00302B36"/>
    <w:rsid w:val="003032DF"/>
    <w:rsid w:val="0030382B"/>
    <w:rsid w:val="0030453E"/>
    <w:rsid w:val="00310186"/>
    <w:rsid w:val="00310AC4"/>
    <w:rsid w:val="00314F60"/>
    <w:rsid w:val="003243D0"/>
    <w:rsid w:val="003263B0"/>
    <w:rsid w:val="003303CD"/>
    <w:rsid w:val="003336D0"/>
    <w:rsid w:val="00343D03"/>
    <w:rsid w:val="00343D34"/>
    <w:rsid w:val="0034607D"/>
    <w:rsid w:val="00346490"/>
    <w:rsid w:val="0035036A"/>
    <w:rsid w:val="0035449C"/>
    <w:rsid w:val="00356B23"/>
    <w:rsid w:val="00360757"/>
    <w:rsid w:val="00362E8B"/>
    <w:rsid w:val="00364D78"/>
    <w:rsid w:val="00364F9F"/>
    <w:rsid w:val="003723B3"/>
    <w:rsid w:val="0037720C"/>
    <w:rsid w:val="0038513D"/>
    <w:rsid w:val="0038772D"/>
    <w:rsid w:val="003938F0"/>
    <w:rsid w:val="00394E04"/>
    <w:rsid w:val="003A2DAE"/>
    <w:rsid w:val="003B06AA"/>
    <w:rsid w:val="003B5755"/>
    <w:rsid w:val="003C1F11"/>
    <w:rsid w:val="003C2DFD"/>
    <w:rsid w:val="003C5DA0"/>
    <w:rsid w:val="003C690C"/>
    <w:rsid w:val="003E1C01"/>
    <w:rsid w:val="003F3B09"/>
    <w:rsid w:val="003F48D3"/>
    <w:rsid w:val="00400BFA"/>
    <w:rsid w:val="00404064"/>
    <w:rsid w:val="004054E9"/>
    <w:rsid w:val="00405820"/>
    <w:rsid w:val="004071CE"/>
    <w:rsid w:val="00410203"/>
    <w:rsid w:val="00411708"/>
    <w:rsid w:val="0041355E"/>
    <w:rsid w:val="00413E7F"/>
    <w:rsid w:val="00422A4A"/>
    <w:rsid w:val="0042578F"/>
    <w:rsid w:val="00440D1F"/>
    <w:rsid w:val="00444262"/>
    <w:rsid w:val="004443CA"/>
    <w:rsid w:val="00447A9E"/>
    <w:rsid w:val="0045275D"/>
    <w:rsid w:val="00453786"/>
    <w:rsid w:val="00457A6B"/>
    <w:rsid w:val="00466CA9"/>
    <w:rsid w:val="00466D1C"/>
    <w:rsid w:val="004672B7"/>
    <w:rsid w:val="00470BB9"/>
    <w:rsid w:val="004735D5"/>
    <w:rsid w:val="004744D8"/>
    <w:rsid w:val="00476667"/>
    <w:rsid w:val="004773C0"/>
    <w:rsid w:val="00477589"/>
    <w:rsid w:val="00482EA6"/>
    <w:rsid w:val="00485DE7"/>
    <w:rsid w:val="00486D98"/>
    <w:rsid w:val="00491B37"/>
    <w:rsid w:val="004947EA"/>
    <w:rsid w:val="00496C8F"/>
    <w:rsid w:val="004A066E"/>
    <w:rsid w:val="004A07F6"/>
    <w:rsid w:val="004A15B7"/>
    <w:rsid w:val="004B04BE"/>
    <w:rsid w:val="004B05F6"/>
    <w:rsid w:val="004B2B78"/>
    <w:rsid w:val="004B4061"/>
    <w:rsid w:val="004B7A26"/>
    <w:rsid w:val="004C0B41"/>
    <w:rsid w:val="004D0133"/>
    <w:rsid w:val="004D20CF"/>
    <w:rsid w:val="004D3787"/>
    <w:rsid w:val="004D5A6A"/>
    <w:rsid w:val="004E1A2C"/>
    <w:rsid w:val="004E4876"/>
    <w:rsid w:val="004F7263"/>
    <w:rsid w:val="00500E1C"/>
    <w:rsid w:val="00501067"/>
    <w:rsid w:val="00513D2D"/>
    <w:rsid w:val="005159E0"/>
    <w:rsid w:val="0051640E"/>
    <w:rsid w:val="0052081C"/>
    <w:rsid w:val="005211BE"/>
    <w:rsid w:val="005214A4"/>
    <w:rsid w:val="005253B4"/>
    <w:rsid w:val="0053042F"/>
    <w:rsid w:val="00537832"/>
    <w:rsid w:val="0055157A"/>
    <w:rsid w:val="0055192D"/>
    <w:rsid w:val="00551BD4"/>
    <w:rsid w:val="00552A02"/>
    <w:rsid w:val="005539F3"/>
    <w:rsid w:val="00563001"/>
    <w:rsid w:val="00563CCB"/>
    <w:rsid w:val="00564464"/>
    <w:rsid w:val="0057051A"/>
    <w:rsid w:val="00571DDA"/>
    <w:rsid w:val="005744EA"/>
    <w:rsid w:val="005752FA"/>
    <w:rsid w:val="0059185A"/>
    <w:rsid w:val="005932FD"/>
    <w:rsid w:val="00593F9D"/>
    <w:rsid w:val="005A01F9"/>
    <w:rsid w:val="005A22CD"/>
    <w:rsid w:val="005A4980"/>
    <w:rsid w:val="005B0F98"/>
    <w:rsid w:val="005B11B7"/>
    <w:rsid w:val="005B3240"/>
    <w:rsid w:val="005B38A0"/>
    <w:rsid w:val="005C2EB8"/>
    <w:rsid w:val="005C3A8A"/>
    <w:rsid w:val="005C590D"/>
    <w:rsid w:val="005D0AB1"/>
    <w:rsid w:val="005D0B61"/>
    <w:rsid w:val="005D162F"/>
    <w:rsid w:val="005D35CF"/>
    <w:rsid w:val="005D3C02"/>
    <w:rsid w:val="005F0F11"/>
    <w:rsid w:val="005F3289"/>
    <w:rsid w:val="005F710D"/>
    <w:rsid w:val="005F7431"/>
    <w:rsid w:val="0060050C"/>
    <w:rsid w:val="00602B32"/>
    <w:rsid w:val="00607266"/>
    <w:rsid w:val="006115AB"/>
    <w:rsid w:val="00611FB1"/>
    <w:rsid w:val="006124DF"/>
    <w:rsid w:val="00620168"/>
    <w:rsid w:val="006273E6"/>
    <w:rsid w:val="00627603"/>
    <w:rsid w:val="006310A2"/>
    <w:rsid w:val="00633011"/>
    <w:rsid w:val="00633151"/>
    <w:rsid w:val="006338F7"/>
    <w:rsid w:val="00633ABF"/>
    <w:rsid w:val="006424F0"/>
    <w:rsid w:val="00647D96"/>
    <w:rsid w:val="006555B0"/>
    <w:rsid w:val="00656E1D"/>
    <w:rsid w:val="00664E09"/>
    <w:rsid w:val="006668BE"/>
    <w:rsid w:val="00667C56"/>
    <w:rsid w:val="00670B2D"/>
    <w:rsid w:val="006715F6"/>
    <w:rsid w:val="00673A70"/>
    <w:rsid w:val="00674D2A"/>
    <w:rsid w:val="006814AD"/>
    <w:rsid w:val="00682734"/>
    <w:rsid w:val="00683643"/>
    <w:rsid w:val="006956BA"/>
    <w:rsid w:val="006B3269"/>
    <w:rsid w:val="006B70E9"/>
    <w:rsid w:val="006C00AD"/>
    <w:rsid w:val="006C0A94"/>
    <w:rsid w:val="006C4B6B"/>
    <w:rsid w:val="006D254C"/>
    <w:rsid w:val="006D465D"/>
    <w:rsid w:val="006D4885"/>
    <w:rsid w:val="006D48A8"/>
    <w:rsid w:val="006E60BD"/>
    <w:rsid w:val="006F4FC4"/>
    <w:rsid w:val="006F631F"/>
    <w:rsid w:val="006F7763"/>
    <w:rsid w:val="007003FD"/>
    <w:rsid w:val="00702718"/>
    <w:rsid w:val="0070291F"/>
    <w:rsid w:val="00713F2D"/>
    <w:rsid w:val="0072348E"/>
    <w:rsid w:val="0072460B"/>
    <w:rsid w:val="00724B7A"/>
    <w:rsid w:val="007275A2"/>
    <w:rsid w:val="007308CB"/>
    <w:rsid w:val="00731D71"/>
    <w:rsid w:val="00742ECE"/>
    <w:rsid w:val="00750D6C"/>
    <w:rsid w:val="00754EC7"/>
    <w:rsid w:val="0076188D"/>
    <w:rsid w:val="00764730"/>
    <w:rsid w:val="0076546D"/>
    <w:rsid w:val="0076663A"/>
    <w:rsid w:val="00767ACA"/>
    <w:rsid w:val="0077134D"/>
    <w:rsid w:val="007757B0"/>
    <w:rsid w:val="007758EF"/>
    <w:rsid w:val="007762B6"/>
    <w:rsid w:val="0078022B"/>
    <w:rsid w:val="0078220B"/>
    <w:rsid w:val="00782D17"/>
    <w:rsid w:val="00786342"/>
    <w:rsid w:val="00786ADE"/>
    <w:rsid w:val="007975AC"/>
    <w:rsid w:val="007A18BE"/>
    <w:rsid w:val="007A27F5"/>
    <w:rsid w:val="007A7C26"/>
    <w:rsid w:val="007B23E0"/>
    <w:rsid w:val="007B619C"/>
    <w:rsid w:val="007C1173"/>
    <w:rsid w:val="007C7FD2"/>
    <w:rsid w:val="007D01C8"/>
    <w:rsid w:val="007D1003"/>
    <w:rsid w:val="007D15CB"/>
    <w:rsid w:val="007D25F5"/>
    <w:rsid w:val="007D4AE0"/>
    <w:rsid w:val="007D7869"/>
    <w:rsid w:val="007E2DEF"/>
    <w:rsid w:val="007E343A"/>
    <w:rsid w:val="007F1F34"/>
    <w:rsid w:val="0080023A"/>
    <w:rsid w:val="00803168"/>
    <w:rsid w:val="0080482F"/>
    <w:rsid w:val="00811BB7"/>
    <w:rsid w:val="00815E3F"/>
    <w:rsid w:val="008172EA"/>
    <w:rsid w:val="00823E63"/>
    <w:rsid w:val="0082578E"/>
    <w:rsid w:val="00831256"/>
    <w:rsid w:val="00834DD8"/>
    <w:rsid w:val="00834FCD"/>
    <w:rsid w:val="00843703"/>
    <w:rsid w:val="00851056"/>
    <w:rsid w:val="00857FDF"/>
    <w:rsid w:val="00860AC5"/>
    <w:rsid w:val="00861574"/>
    <w:rsid w:val="00861AB8"/>
    <w:rsid w:val="00862F5F"/>
    <w:rsid w:val="00872A81"/>
    <w:rsid w:val="0088151D"/>
    <w:rsid w:val="00887E0C"/>
    <w:rsid w:val="00892807"/>
    <w:rsid w:val="00892BF9"/>
    <w:rsid w:val="008A2BE9"/>
    <w:rsid w:val="008A7420"/>
    <w:rsid w:val="008B2395"/>
    <w:rsid w:val="008B6ADD"/>
    <w:rsid w:val="008B6E28"/>
    <w:rsid w:val="008B77A2"/>
    <w:rsid w:val="008B77FC"/>
    <w:rsid w:val="008C2762"/>
    <w:rsid w:val="008C52FE"/>
    <w:rsid w:val="008D270F"/>
    <w:rsid w:val="008D5CD1"/>
    <w:rsid w:val="008E193B"/>
    <w:rsid w:val="008E23EE"/>
    <w:rsid w:val="008F22E2"/>
    <w:rsid w:val="008F2E0D"/>
    <w:rsid w:val="008F2FC3"/>
    <w:rsid w:val="008F37BC"/>
    <w:rsid w:val="008F4A34"/>
    <w:rsid w:val="008F5440"/>
    <w:rsid w:val="00904230"/>
    <w:rsid w:val="0090614F"/>
    <w:rsid w:val="00920C26"/>
    <w:rsid w:val="00922126"/>
    <w:rsid w:val="009232D9"/>
    <w:rsid w:val="00925A87"/>
    <w:rsid w:val="00930E7A"/>
    <w:rsid w:val="0093194C"/>
    <w:rsid w:val="00932E8A"/>
    <w:rsid w:val="00936CF9"/>
    <w:rsid w:val="00940190"/>
    <w:rsid w:val="0094195F"/>
    <w:rsid w:val="0094351F"/>
    <w:rsid w:val="00944E79"/>
    <w:rsid w:val="009463A3"/>
    <w:rsid w:val="00952D07"/>
    <w:rsid w:val="009549BD"/>
    <w:rsid w:val="00955770"/>
    <w:rsid w:val="0095748A"/>
    <w:rsid w:val="00961240"/>
    <w:rsid w:val="00962199"/>
    <w:rsid w:val="00962C7B"/>
    <w:rsid w:val="00964765"/>
    <w:rsid w:val="00965B59"/>
    <w:rsid w:val="00967704"/>
    <w:rsid w:val="0097067B"/>
    <w:rsid w:val="00974966"/>
    <w:rsid w:val="0097569C"/>
    <w:rsid w:val="009766A0"/>
    <w:rsid w:val="00976751"/>
    <w:rsid w:val="00983F24"/>
    <w:rsid w:val="009842B9"/>
    <w:rsid w:val="009865D1"/>
    <w:rsid w:val="00990C0B"/>
    <w:rsid w:val="0099461F"/>
    <w:rsid w:val="00995015"/>
    <w:rsid w:val="009A16D3"/>
    <w:rsid w:val="009A6824"/>
    <w:rsid w:val="009A7D29"/>
    <w:rsid w:val="009B21F7"/>
    <w:rsid w:val="009B3C2C"/>
    <w:rsid w:val="009D248A"/>
    <w:rsid w:val="009D2D30"/>
    <w:rsid w:val="009D3137"/>
    <w:rsid w:val="009D317B"/>
    <w:rsid w:val="009D7906"/>
    <w:rsid w:val="009E0D4D"/>
    <w:rsid w:val="009E6754"/>
    <w:rsid w:val="009F05CE"/>
    <w:rsid w:val="009F44CF"/>
    <w:rsid w:val="009F50AF"/>
    <w:rsid w:val="009F63F2"/>
    <w:rsid w:val="00A06E80"/>
    <w:rsid w:val="00A07FDB"/>
    <w:rsid w:val="00A10D83"/>
    <w:rsid w:val="00A11C2A"/>
    <w:rsid w:val="00A17406"/>
    <w:rsid w:val="00A17D4C"/>
    <w:rsid w:val="00A17EF3"/>
    <w:rsid w:val="00A21B02"/>
    <w:rsid w:val="00A26C08"/>
    <w:rsid w:val="00A26C8F"/>
    <w:rsid w:val="00A26F53"/>
    <w:rsid w:val="00A33955"/>
    <w:rsid w:val="00A34A91"/>
    <w:rsid w:val="00A34F94"/>
    <w:rsid w:val="00A35E31"/>
    <w:rsid w:val="00A36E69"/>
    <w:rsid w:val="00A4027B"/>
    <w:rsid w:val="00A43D67"/>
    <w:rsid w:val="00A4493B"/>
    <w:rsid w:val="00A47CCD"/>
    <w:rsid w:val="00A508B7"/>
    <w:rsid w:val="00A638E7"/>
    <w:rsid w:val="00A743F1"/>
    <w:rsid w:val="00A75688"/>
    <w:rsid w:val="00A84F09"/>
    <w:rsid w:val="00A863AB"/>
    <w:rsid w:val="00A91D0A"/>
    <w:rsid w:val="00A9458A"/>
    <w:rsid w:val="00A95887"/>
    <w:rsid w:val="00AA2791"/>
    <w:rsid w:val="00AA58E0"/>
    <w:rsid w:val="00AA641B"/>
    <w:rsid w:val="00AB1A1E"/>
    <w:rsid w:val="00AB2363"/>
    <w:rsid w:val="00AB283F"/>
    <w:rsid w:val="00AB5917"/>
    <w:rsid w:val="00AB605C"/>
    <w:rsid w:val="00AC118C"/>
    <w:rsid w:val="00AC26A4"/>
    <w:rsid w:val="00AD0676"/>
    <w:rsid w:val="00AD3925"/>
    <w:rsid w:val="00AE1F8F"/>
    <w:rsid w:val="00AE224D"/>
    <w:rsid w:val="00AE2DA3"/>
    <w:rsid w:val="00AE32CD"/>
    <w:rsid w:val="00AE5888"/>
    <w:rsid w:val="00AE6DCB"/>
    <w:rsid w:val="00AE6F9D"/>
    <w:rsid w:val="00AF0222"/>
    <w:rsid w:val="00AF49EF"/>
    <w:rsid w:val="00B044CF"/>
    <w:rsid w:val="00B055C8"/>
    <w:rsid w:val="00B0588E"/>
    <w:rsid w:val="00B17EE0"/>
    <w:rsid w:val="00B26010"/>
    <w:rsid w:val="00B26AA2"/>
    <w:rsid w:val="00B32C73"/>
    <w:rsid w:val="00B34B0D"/>
    <w:rsid w:val="00B37493"/>
    <w:rsid w:val="00B37850"/>
    <w:rsid w:val="00B37CB9"/>
    <w:rsid w:val="00B42ECC"/>
    <w:rsid w:val="00B45D39"/>
    <w:rsid w:val="00B465CC"/>
    <w:rsid w:val="00B601AB"/>
    <w:rsid w:val="00B60B8D"/>
    <w:rsid w:val="00B616BB"/>
    <w:rsid w:val="00B65808"/>
    <w:rsid w:val="00B71D59"/>
    <w:rsid w:val="00B73A3F"/>
    <w:rsid w:val="00B74444"/>
    <w:rsid w:val="00B807FB"/>
    <w:rsid w:val="00B818B9"/>
    <w:rsid w:val="00B82923"/>
    <w:rsid w:val="00B8498C"/>
    <w:rsid w:val="00B910D0"/>
    <w:rsid w:val="00B92CB6"/>
    <w:rsid w:val="00B96209"/>
    <w:rsid w:val="00B96718"/>
    <w:rsid w:val="00BB6953"/>
    <w:rsid w:val="00BC1067"/>
    <w:rsid w:val="00BC1845"/>
    <w:rsid w:val="00BD044E"/>
    <w:rsid w:val="00BD3A22"/>
    <w:rsid w:val="00BE61DC"/>
    <w:rsid w:val="00BE70A9"/>
    <w:rsid w:val="00BF3066"/>
    <w:rsid w:val="00BF6A34"/>
    <w:rsid w:val="00C11A67"/>
    <w:rsid w:val="00C151B3"/>
    <w:rsid w:val="00C20197"/>
    <w:rsid w:val="00C20FE6"/>
    <w:rsid w:val="00C213AF"/>
    <w:rsid w:val="00C21F36"/>
    <w:rsid w:val="00C23A30"/>
    <w:rsid w:val="00C248AD"/>
    <w:rsid w:val="00C267BE"/>
    <w:rsid w:val="00C271BE"/>
    <w:rsid w:val="00C37DB8"/>
    <w:rsid w:val="00C40F0F"/>
    <w:rsid w:val="00C40F3C"/>
    <w:rsid w:val="00C42D11"/>
    <w:rsid w:val="00C44F55"/>
    <w:rsid w:val="00C60449"/>
    <w:rsid w:val="00C64E33"/>
    <w:rsid w:val="00C656DC"/>
    <w:rsid w:val="00C90602"/>
    <w:rsid w:val="00C923BC"/>
    <w:rsid w:val="00C973A6"/>
    <w:rsid w:val="00CB1698"/>
    <w:rsid w:val="00CB2A06"/>
    <w:rsid w:val="00CB2B3E"/>
    <w:rsid w:val="00CB724D"/>
    <w:rsid w:val="00CC1047"/>
    <w:rsid w:val="00CC4979"/>
    <w:rsid w:val="00CC7E41"/>
    <w:rsid w:val="00CD28D8"/>
    <w:rsid w:val="00CE02A0"/>
    <w:rsid w:val="00CE0EDC"/>
    <w:rsid w:val="00CE30DD"/>
    <w:rsid w:val="00CE6D3E"/>
    <w:rsid w:val="00CE6F3A"/>
    <w:rsid w:val="00CF6C31"/>
    <w:rsid w:val="00D02664"/>
    <w:rsid w:val="00D1330D"/>
    <w:rsid w:val="00D143E7"/>
    <w:rsid w:val="00D153A8"/>
    <w:rsid w:val="00D23EA2"/>
    <w:rsid w:val="00D355E7"/>
    <w:rsid w:val="00D37CDC"/>
    <w:rsid w:val="00D37D01"/>
    <w:rsid w:val="00D42B65"/>
    <w:rsid w:val="00D42D5D"/>
    <w:rsid w:val="00D4386D"/>
    <w:rsid w:val="00D464D7"/>
    <w:rsid w:val="00D46DF3"/>
    <w:rsid w:val="00D57F9C"/>
    <w:rsid w:val="00D6010D"/>
    <w:rsid w:val="00D6216D"/>
    <w:rsid w:val="00D7482A"/>
    <w:rsid w:val="00D760E9"/>
    <w:rsid w:val="00D83543"/>
    <w:rsid w:val="00D8364F"/>
    <w:rsid w:val="00D9158E"/>
    <w:rsid w:val="00D943F6"/>
    <w:rsid w:val="00D96941"/>
    <w:rsid w:val="00DA6F5B"/>
    <w:rsid w:val="00DB1F5E"/>
    <w:rsid w:val="00DB5ABF"/>
    <w:rsid w:val="00DB7683"/>
    <w:rsid w:val="00DC2F99"/>
    <w:rsid w:val="00DC4BB0"/>
    <w:rsid w:val="00DD2879"/>
    <w:rsid w:val="00DE198C"/>
    <w:rsid w:val="00DE2CA7"/>
    <w:rsid w:val="00DE71AD"/>
    <w:rsid w:val="00DF5782"/>
    <w:rsid w:val="00DF5DDD"/>
    <w:rsid w:val="00E02C76"/>
    <w:rsid w:val="00E147F8"/>
    <w:rsid w:val="00E15DE7"/>
    <w:rsid w:val="00E213D4"/>
    <w:rsid w:val="00E22E76"/>
    <w:rsid w:val="00E24286"/>
    <w:rsid w:val="00E24A3E"/>
    <w:rsid w:val="00E24F7C"/>
    <w:rsid w:val="00E27036"/>
    <w:rsid w:val="00E315A0"/>
    <w:rsid w:val="00E364F8"/>
    <w:rsid w:val="00E41626"/>
    <w:rsid w:val="00E42005"/>
    <w:rsid w:val="00E509DB"/>
    <w:rsid w:val="00E55093"/>
    <w:rsid w:val="00E620B8"/>
    <w:rsid w:val="00E626E0"/>
    <w:rsid w:val="00E63FF2"/>
    <w:rsid w:val="00E65136"/>
    <w:rsid w:val="00E704BC"/>
    <w:rsid w:val="00E8254D"/>
    <w:rsid w:val="00E82EDE"/>
    <w:rsid w:val="00E83633"/>
    <w:rsid w:val="00E8512C"/>
    <w:rsid w:val="00E85851"/>
    <w:rsid w:val="00E869AC"/>
    <w:rsid w:val="00E93635"/>
    <w:rsid w:val="00E94E17"/>
    <w:rsid w:val="00EA1E82"/>
    <w:rsid w:val="00EA672C"/>
    <w:rsid w:val="00EB2557"/>
    <w:rsid w:val="00EB34D7"/>
    <w:rsid w:val="00ED1295"/>
    <w:rsid w:val="00ED3DB6"/>
    <w:rsid w:val="00ED792A"/>
    <w:rsid w:val="00EE0B8D"/>
    <w:rsid w:val="00EE262D"/>
    <w:rsid w:val="00EE558A"/>
    <w:rsid w:val="00EF19A5"/>
    <w:rsid w:val="00EF1CE0"/>
    <w:rsid w:val="00EF6B04"/>
    <w:rsid w:val="00F00A55"/>
    <w:rsid w:val="00F030AD"/>
    <w:rsid w:val="00F0639B"/>
    <w:rsid w:val="00F14F47"/>
    <w:rsid w:val="00F1524C"/>
    <w:rsid w:val="00F1551D"/>
    <w:rsid w:val="00F16A00"/>
    <w:rsid w:val="00F2002C"/>
    <w:rsid w:val="00F202AC"/>
    <w:rsid w:val="00F20E1E"/>
    <w:rsid w:val="00F225C8"/>
    <w:rsid w:val="00F36D3A"/>
    <w:rsid w:val="00F42E88"/>
    <w:rsid w:val="00F43B2A"/>
    <w:rsid w:val="00F510F1"/>
    <w:rsid w:val="00F51DC5"/>
    <w:rsid w:val="00F52BDA"/>
    <w:rsid w:val="00F55E3B"/>
    <w:rsid w:val="00F61D58"/>
    <w:rsid w:val="00F6226E"/>
    <w:rsid w:val="00F67772"/>
    <w:rsid w:val="00F718B7"/>
    <w:rsid w:val="00F73516"/>
    <w:rsid w:val="00F74E02"/>
    <w:rsid w:val="00F94AE4"/>
    <w:rsid w:val="00F95E24"/>
    <w:rsid w:val="00FA0103"/>
    <w:rsid w:val="00FA0882"/>
    <w:rsid w:val="00FA0D29"/>
    <w:rsid w:val="00FA5413"/>
    <w:rsid w:val="00FA739A"/>
    <w:rsid w:val="00FB062F"/>
    <w:rsid w:val="00FB39F7"/>
    <w:rsid w:val="00FB4877"/>
    <w:rsid w:val="00FB4FEE"/>
    <w:rsid w:val="00FB6538"/>
    <w:rsid w:val="00FB72A1"/>
    <w:rsid w:val="00FC0572"/>
    <w:rsid w:val="00FC1003"/>
    <w:rsid w:val="00FC5F4F"/>
    <w:rsid w:val="00FC6AB3"/>
    <w:rsid w:val="00FC6D00"/>
    <w:rsid w:val="00FC7109"/>
    <w:rsid w:val="00FC721A"/>
    <w:rsid w:val="00FD03D9"/>
    <w:rsid w:val="00FD3767"/>
    <w:rsid w:val="00FD3B63"/>
    <w:rsid w:val="00FD504F"/>
    <w:rsid w:val="00FD739C"/>
    <w:rsid w:val="00FE0E66"/>
    <w:rsid w:val="00FE11C3"/>
    <w:rsid w:val="00FE386C"/>
    <w:rsid w:val="00FE54F4"/>
    <w:rsid w:val="00FE6CFD"/>
    <w:rsid w:val="00FF21FE"/>
    <w:rsid w:val="00FF722E"/>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5D1"/>
    <w:rPr>
      <w:sz w:val="24"/>
      <w:szCs w:val="24"/>
      <w:lang w:val="da-DK" w:eastAsia="da-DK"/>
    </w:rPr>
  </w:style>
  <w:style w:type="paragraph" w:styleId="Heading1">
    <w:name w:val="heading 1"/>
    <w:basedOn w:val="Normal"/>
    <w:next w:val="Normal"/>
    <w:link w:val="Heading1Char"/>
    <w:qFormat/>
    <w:rsid w:val="00BC10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0168"/>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BC10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8A2BE9"/>
  </w:style>
  <w:style w:type="character" w:styleId="Emphasis">
    <w:name w:val="Emphasis"/>
    <w:basedOn w:val="DefaultParagraphFont"/>
    <w:qFormat/>
    <w:rsid w:val="008A2BE9"/>
    <w:rPr>
      <w:i/>
      <w:iCs/>
    </w:rPr>
  </w:style>
  <w:style w:type="character" w:styleId="Hyperlink">
    <w:name w:val="Hyperlink"/>
    <w:basedOn w:val="DefaultParagraphFont"/>
    <w:uiPriority w:val="99"/>
    <w:rsid w:val="00FB39F7"/>
    <w:rPr>
      <w:color w:val="0000FF"/>
      <w:u w:val="single"/>
    </w:rPr>
  </w:style>
  <w:style w:type="character" w:customStyle="1" w:styleId="Heading1Char">
    <w:name w:val="Heading 1 Char"/>
    <w:basedOn w:val="DefaultParagraphFont"/>
    <w:link w:val="Heading1"/>
    <w:rsid w:val="00BC1067"/>
    <w:rPr>
      <w:rFonts w:ascii="Arial" w:hAnsi="Arial" w:cs="Arial"/>
      <w:b/>
      <w:bCs/>
      <w:kern w:val="32"/>
      <w:sz w:val="32"/>
      <w:szCs w:val="32"/>
    </w:rPr>
  </w:style>
  <w:style w:type="character" w:customStyle="1" w:styleId="Heading3Char">
    <w:name w:val="Heading 3 Char"/>
    <w:basedOn w:val="DefaultParagraphFont"/>
    <w:link w:val="Heading3"/>
    <w:rsid w:val="00BC1067"/>
    <w:rPr>
      <w:b/>
      <w:bCs/>
      <w:sz w:val="27"/>
      <w:szCs w:val="27"/>
    </w:rPr>
  </w:style>
  <w:style w:type="character" w:styleId="HTMLCite">
    <w:name w:val="HTML Cite"/>
    <w:basedOn w:val="DefaultParagraphFont"/>
    <w:rsid w:val="00B34B0D"/>
    <w:rPr>
      <w:i/>
      <w:iCs/>
    </w:rPr>
  </w:style>
  <w:style w:type="paragraph" w:styleId="NormalWeb">
    <w:name w:val="Normal (Web)"/>
    <w:basedOn w:val="Normal"/>
    <w:uiPriority w:val="99"/>
    <w:rsid w:val="00B34B0D"/>
    <w:pPr>
      <w:spacing w:before="100" w:beforeAutospacing="1" w:after="100" w:afterAutospacing="1"/>
    </w:pPr>
  </w:style>
  <w:style w:type="character" w:customStyle="1" w:styleId="Heading2Char">
    <w:name w:val="Heading 2 Char"/>
    <w:basedOn w:val="DefaultParagraphFont"/>
    <w:link w:val="Heading2"/>
    <w:rsid w:val="00620168"/>
    <w:rPr>
      <w:rFonts w:ascii="Arial" w:hAnsi="Arial" w:cs="Arial"/>
      <w:b/>
      <w:bCs/>
      <w:i/>
      <w:iCs/>
      <w:sz w:val="28"/>
      <w:szCs w:val="28"/>
    </w:rPr>
  </w:style>
  <w:style w:type="paragraph" w:styleId="FootnoteText">
    <w:name w:val="footnote text"/>
    <w:basedOn w:val="Normal"/>
    <w:link w:val="FootnoteTextChar"/>
    <w:uiPriority w:val="99"/>
    <w:rsid w:val="00B65808"/>
    <w:rPr>
      <w:sz w:val="20"/>
      <w:szCs w:val="20"/>
    </w:rPr>
  </w:style>
  <w:style w:type="character" w:customStyle="1" w:styleId="FootnoteTextChar">
    <w:name w:val="Footnote Text Char"/>
    <w:basedOn w:val="DefaultParagraphFont"/>
    <w:link w:val="FootnoteText"/>
    <w:uiPriority w:val="99"/>
    <w:rsid w:val="00B65808"/>
  </w:style>
  <w:style w:type="character" w:styleId="FootnoteReference">
    <w:name w:val="footnote reference"/>
    <w:basedOn w:val="DefaultParagraphFont"/>
    <w:uiPriority w:val="99"/>
    <w:rsid w:val="00B65808"/>
    <w:rPr>
      <w:vertAlign w:val="superscript"/>
    </w:rPr>
  </w:style>
  <w:style w:type="paragraph" w:styleId="Header">
    <w:name w:val="header"/>
    <w:basedOn w:val="Normal"/>
    <w:link w:val="HeaderChar"/>
    <w:uiPriority w:val="99"/>
    <w:rsid w:val="00593F9D"/>
    <w:pPr>
      <w:tabs>
        <w:tab w:val="center" w:pos="4986"/>
        <w:tab w:val="right" w:pos="9972"/>
      </w:tabs>
    </w:pPr>
  </w:style>
  <w:style w:type="character" w:customStyle="1" w:styleId="HeaderChar">
    <w:name w:val="Header Char"/>
    <w:basedOn w:val="DefaultParagraphFont"/>
    <w:link w:val="Header"/>
    <w:uiPriority w:val="99"/>
    <w:rsid w:val="00593F9D"/>
    <w:rPr>
      <w:sz w:val="24"/>
      <w:szCs w:val="24"/>
      <w:lang w:val="da-DK" w:eastAsia="da-DK"/>
    </w:rPr>
  </w:style>
  <w:style w:type="paragraph" w:styleId="Footer">
    <w:name w:val="footer"/>
    <w:basedOn w:val="Normal"/>
    <w:link w:val="FooterChar"/>
    <w:rsid w:val="00593F9D"/>
    <w:pPr>
      <w:tabs>
        <w:tab w:val="center" w:pos="4986"/>
        <w:tab w:val="right" w:pos="9972"/>
      </w:tabs>
    </w:pPr>
  </w:style>
  <w:style w:type="character" w:customStyle="1" w:styleId="FooterChar">
    <w:name w:val="Footer Char"/>
    <w:basedOn w:val="DefaultParagraphFont"/>
    <w:link w:val="Footer"/>
    <w:rsid w:val="00593F9D"/>
    <w:rPr>
      <w:sz w:val="24"/>
      <w:szCs w:val="24"/>
      <w:lang w:val="da-DK" w:eastAsia="da-DK"/>
    </w:rPr>
  </w:style>
  <w:style w:type="paragraph" w:styleId="HTMLPreformatted">
    <w:name w:val="HTML Preformatted"/>
    <w:basedOn w:val="Normal"/>
    <w:link w:val="HTMLPreformattedChar"/>
    <w:uiPriority w:val="99"/>
    <w:unhideWhenUsed/>
    <w:rsid w:val="00CC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C1047"/>
    <w:rPr>
      <w:rFonts w:ascii="Courier New" w:hAnsi="Courier New" w:cs="Courier New"/>
    </w:rPr>
  </w:style>
  <w:style w:type="character" w:customStyle="1" w:styleId="matchterm0">
    <w:name w:val="matchterm0"/>
    <w:basedOn w:val="DefaultParagraphFont"/>
    <w:rsid w:val="00CB1698"/>
  </w:style>
  <w:style w:type="paragraph" w:styleId="ListParagraph">
    <w:name w:val="List Paragraph"/>
    <w:basedOn w:val="Normal"/>
    <w:uiPriority w:val="34"/>
    <w:qFormat/>
    <w:rsid w:val="00A4027B"/>
    <w:pPr>
      <w:spacing w:after="200" w:line="276" w:lineRule="auto"/>
      <w:ind w:left="720"/>
    </w:pPr>
    <w:rPr>
      <w:rFonts w:ascii="Calibri" w:eastAsia="Calibri" w:hAnsi="Calibri"/>
      <w:sz w:val="22"/>
      <w:szCs w:val="22"/>
      <w:lang w:val="en-US" w:eastAsia="en-US"/>
    </w:rPr>
  </w:style>
  <w:style w:type="paragraph" w:styleId="EndnoteText">
    <w:name w:val="endnote text"/>
    <w:basedOn w:val="Normal"/>
    <w:link w:val="EndnoteTextChar"/>
    <w:uiPriority w:val="99"/>
    <w:unhideWhenUsed/>
    <w:rsid w:val="00A4027B"/>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rsid w:val="00A4027B"/>
    <w:rPr>
      <w:rFonts w:ascii="Calibri" w:eastAsia="Calibri" w:hAnsi="Calibri"/>
      <w:lang w:val="en-US" w:eastAsia="en-US"/>
    </w:rPr>
  </w:style>
  <w:style w:type="character" w:styleId="EndnoteReference">
    <w:name w:val="endnote reference"/>
    <w:basedOn w:val="DefaultParagraphFont"/>
    <w:uiPriority w:val="99"/>
    <w:unhideWhenUsed/>
    <w:rsid w:val="00A4027B"/>
    <w:rPr>
      <w:vertAlign w:val="superscript"/>
    </w:rPr>
  </w:style>
  <w:style w:type="character" w:styleId="CommentReference">
    <w:name w:val="annotation reference"/>
    <w:basedOn w:val="DefaultParagraphFont"/>
    <w:rsid w:val="00A17EF3"/>
    <w:rPr>
      <w:sz w:val="16"/>
      <w:szCs w:val="16"/>
    </w:rPr>
  </w:style>
  <w:style w:type="paragraph" w:styleId="CommentText">
    <w:name w:val="annotation text"/>
    <w:basedOn w:val="Normal"/>
    <w:link w:val="CommentTextChar"/>
    <w:rsid w:val="00A17EF3"/>
    <w:rPr>
      <w:sz w:val="20"/>
      <w:szCs w:val="20"/>
    </w:rPr>
  </w:style>
  <w:style w:type="character" w:customStyle="1" w:styleId="CommentTextChar">
    <w:name w:val="Comment Text Char"/>
    <w:basedOn w:val="DefaultParagraphFont"/>
    <w:link w:val="CommentText"/>
    <w:rsid w:val="00A17EF3"/>
    <w:rPr>
      <w:lang w:val="da-DK" w:eastAsia="da-DK"/>
    </w:rPr>
  </w:style>
  <w:style w:type="paragraph" w:styleId="CommentSubject">
    <w:name w:val="annotation subject"/>
    <w:basedOn w:val="CommentText"/>
    <w:next w:val="CommentText"/>
    <w:link w:val="CommentSubjectChar"/>
    <w:rsid w:val="00A17EF3"/>
    <w:rPr>
      <w:b/>
      <w:bCs/>
    </w:rPr>
  </w:style>
  <w:style w:type="character" w:customStyle="1" w:styleId="CommentSubjectChar">
    <w:name w:val="Comment Subject Char"/>
    <w:basedOn w:val="CommentTextChar"/>
    <w:link w:val="CommentSubject"/>
    <w:rsid w:val="00A17EF3"/>
    <w:rPr>
      <w:b/>
      <w:bCs/>
    </w:rPr>
  </w:style>
  <w:style w:type="paragraph" w:styleId="BalloonText">
    <w:name w:val="Balloon Text"/>
    <w:basedOn w:val="Normal"/>
    <w:link w:val="BalloonTextChar"/>
    <w:rsid w:val="00A17EF3"/>
    <w:rPr>
      <w:rFonts w:ascii="Tahoma" w:hAnsi="Tahoma" w:cs="Tahoma"/>
      <w:sz w:val="16"/>
      <w:szCs w:val="16"/>
    </w:rPr>
  </w:style>
  <w:style w:type="character" w:customStyle="1" w:styleId="BalloonTextChar">
    <w:name w:val="Balloon Text Char"/>
    <w:basedOn w:val="DefaultParagraphFont"/>
    <w:link w:val="BalloonText"/>
    <w:rsid w:val="00A17EF3"/>
    <w:rPr>
      <w:rFonts w:ascii="Tahoma" w:hAnsi="Tahoma" w:cs="Tahoma"/>
      <w:sz w:val="16"/>
      <w:szCs w:val="16"/>
      <w:lang w:val="da-DK" w:eastAsia="da-DK"/>
    </w:rPr>
  </w:style>
</w:styles>
</file>

<file path=word/webSettings.xml><?xml version="1.0" encoding="utf-8"?>
<w:webSettings xmlns:r="http://schemas.openxmlformats.org/officeDocument/2006/relationships" xmlns:w="http://schemas.openxmlformats.org/wordprocessingml/2006/main">
  <w:divs>
    <w:div w:id="101269009">
      <w:bodyDiv w:val="1"/>
      <w:marLeft w:val="0"/>
      <w:marRight w:val="0"/>
      <w:marTop w:val="0"/>
      <w:marBottom w:val="0"/>
      <w:divBdr>
        <w:top w:val="none" w:sz="0" w:space="0" w:color="auto"/>
        <w:left w:val="none" w:sz="0" w:space="0" w:color="auto"/>
        <w:bottom w:val="none" w:sz="0" w:space="0" w:color="auto"/>
        <w:right w:val="none" w:sz="0" w:space="0" w:color="auto"/>
      </w:divBdr>
    </w:div>
    <w:div w:id="142814436">
      <w:bodyDiv w:val="1"/>
      <w:marLeft w:val="0"/>
      <w:marRight w:val="0"/>
      <w:marTop w:val="0"/>
      <w:marBottom w:val="0"/>
      <w:divBdr>
        <w:top w:val="none" w:sz="0" w:space="0" w:color="auto"/>
        <w:left w:val="none" w:sz="0" w:space="0" w:color="auto"/>
        <w:bottom w:val="none" w:sz="0" w:space="0" w:color="auto"/>
        <w:right w:val="none" w:sz="0" w:space="0" w:color="auto"/>
      </w:divBdr>
    </w:div>
    <w:div w:id="184247347">
      <w:bodyDiv w:val="1"/>
      <w:marLeft w:val="0"/>
      <w:marRight w:val="0"/>
      <w:marTop w:val="0"/>
      <w:marBottom w:val="0"/>
      <w:divBdr>
        <w:top w:val="none" w:sz="0" w:space="0" w:color="auto"/>
        <w:left w:val="none" w:sz="0" w:space="0" w:color="auto"/>
        <w:bottom w:val="none" w:sz="0" w:space="0" w:color="auto"/>
        <w:right w:val="none" w:sz="0" w:space="0" w:color="auto"/>
      </w:divBdr>
    </w:div>
    <w:div w:id="251671240">
      <w:bodyDiv w:val="1"/>
      <w:marLeft w:val="0"/>
      <w:marRight w:val="0"/>
      <w:marTop w:val="0"/>
      <w:marBottom w:val="0"/>
      <w:divBdr>
        <w:top w:val="none" w:sz="0" w:space="0" w:color="auto"/>
        <w:left w:val="none" w:sz="0" w:space="0" w:color="auto"/>
        <w:bottom w:val="none" w:sz="0" w:space="0" w:color="auto"/>
        <w:right w:val="none" w:sz="0" w:space="0" w:color="auto"/>
      </w:divBdr>
      <w:divsChild>
        <w:div w:id="1210654522">
          <w:marLeft w:val="1800"/>
          <w:marRight w:val="0"/>
          <w:marTop w:val="115"/>
          <w:marBottom w:val="0"/>
          <w:divBdr>
            <w:top w:val="none" w:sz="0" w:space="0" w:color="auto"/>
            <w:left w:val="none" w:sz="0" w:space="0" w:color="auto"/>
            <w:bottom w:val="none" w:sz="0" w:space="0" w:color="auto"/>
            <w:right w:val="none" w:sz="0" w:space="0" w:color="auto"/>
          </w:divBdr>
        </w:div>
      </w:divsChild>
    </w:div>
    <w:div w:id="259803650">
      <w:bodyDiv w:val="1"/>
      <w:marLeft w:val="0"/>
      <w:marRight w:val="0"/>
      <w:marTop w:val="0"/>
      <w:marBottom w:val="0"/>
      <w:divBdr>
        <w:top w:val="none" w:sz="0" w:space="0" w:color="auto"/>
        <w:left w:val="none" w:sz="0" w:space="0" w:color="auto"/>
        <w:bottom w:val="none" w:sz="0" w:space="0" w:color="auto"/>
        <w:right w:val="none" w:sz="0" w:space="0" w:color="auto"/>
      </w:divBdr>
    </w:div>
    <w:div w:id="447437386">
      <w:bodyDiv w:val="1"/>
      <w:marLeft w:val="0"/>
      <w:marRight w:val="0"/>
      <w:marTop w:val="0"/>
      <w:marBottom w:val="0"/>
      <w:divBdr>
        <w:top w:val="none" w:sz="0" w:space="0" w:color="auto"/>
        <w:left w:val="none" w:sz="0" w:space="0" w:color="auto"/>
        <w:bottom w:val="none" w:sz="0" w:space="0" w:color="auto"/>
        <w:right w:val="none" w:sz="0" w:space="0" w:color="auto"/>
      </w:divBdr>
    </w:div>
    <w:div w:id="490562940">
      <w:bodyDiv w:val="1"/>
      <w:marLeft w:val="0"/>
      <w:marRight w:val="0"/>
      <w:marTop w:val="0"/>
      <w:marBottom w:val="0"/>
      <w:divBdr>
        <w:top w:val="none" w:sz="0" w:space="0" w:color="auto"/>
        <w:left w:val="none" w:sz="0" w:space="0" w:color="auto"/>
        <w:bottom w:val="none" w:sz="0" w:space="0" w:color="auto"/>
        <w:right w:val="none" w:sz="0" w:space="0" w:color="auto"/>
      </w:divBdr>
      <w:divsChild>
        <w:div w:id="136729343">
          <w:marLeft w:val="1800"/>
          <w:marRight w:val="0"/>
          <w:marTop w:val="115"/>
          <w:marBottom w:val="0"/>
          <w:divBdr>
            <w:top w:val="none" w:sz="0" w:space="0" w:color="auto"/>
            <w:left w:val="none" w:sz="0" w:space="0" w:color="auto"/>
            <w:bottom w:val="none" w:sz="0" w:space="0" w:color="auto"/>
            <w:right w:val="none" w:sz="0" w:space="0" w:color="auto"/>
          </w:divBdr>
        </w:div>
      </w:divsChild>
    </w:div>
    <w:div w:id="622884642">
      <w:bodyDiv w:val="1"/>
      <w:marLeft w:val="0"/>
      <w:marRight w:val="0"/>
      <w:marTop w:val="0"/>
      <w:marBottom w:val="0"/>
      <w:divBdr>
        <w:top w:val="none" w:sz="0" w:space="0" w:color="auto"/>
        <w:left w:val="none" w:sz="0" w:space="0" w:color="auto"/>
        <w:bottom w:val="none" w:sz="0" w:space="0" w:color="auto"/>
        <w:right w:val="none" w:sz="0" w:space="0" w:color="auto"/>
      </w:divBdr>
      <w:divsChild>
        <w:div w:id="817965550">
          <w:marLeft w:val="0"/>
          <w:marRight w:val="0"/>
          <w:marTop w:val="0"/>
          <w:marBottom w:val="0"/>
          <w:divBdr>
            <w:top w:val="none" w:sz="0" w:space="0" w:color="auto"/>
            <w:left w:val="none" w:sz="0" w:space="0" w:color="auto"/>
            <w:bottom w:val="none" w:sz="0" w:space="0" w:color="auto"/>
            <w:right w:val="none" w:sz="0" w:space="0" w:color="auto"/>
          </w:divBdr>
        </w:div>
      </w:divsChild>
    </w:div>
    <w:div w:id="832111356">
      <w:bodyDiv w:val="1"/>
      <w:marLeft w:val="0"/>
      <w:marRight w:val="0"/>
      <w:marTop w:val="0"/>
      <w:marBottom w:val="0"/>
      <w:divBdr>
        <w:top w:val="none" w:sz="0" w:space="0" w:color="auto"/>
        <w:left w:val="none" w:sz="0" w:space="0" w:color="auto"/>
        <w:bottom w:val="none" w:sz="0" w:space="0" w:color="auto"/>
        <w:right w:val="none" w:sz="0" w:space="0" w:color="auto"/>
      </w:divBdr>
      <w:divsChild>
        <w:div w:id="2043170389">
          <w:marLeft w:val="1800"/>
          <w:marRight w:val="0"/>
          <w:marTop w:val="115"/>
          <w:marBottom w:val="0"/>
          <w:divBdr>
            <w:top w:val="none" w:sz="0" w:space="0" w:color="auto"/>
            <w:left w:val="none" w:sz="0" w:space="0" w:color="auto"/>
            <w:bottom w:val="none" w:sz="0" w:space="0" w:color="auto"/>
            <w:right w:val="none" w:sz="0" w:space="0" w:color="auto"/>
          </w:divBdr>
        </w:div>
      </w:divsChild>
    </w:div>
    <w:div w:id="1127704441">
      <w:bodyDiv w:val="1"/>
      <w:marLeft w:val="0"/>
      <w:marRight w:val="0"/>
      <w:marTop w:val="0"/>
      <w:marBottom w:val="0"/>
      <w:divBdr>
        <w:top w:val="none" w:sz="0" w:space="0" w:color="auto"/>
        <w:left w:val="none" w:sz="0" w:space="0" w:color="auto"/>
        <w:bottom w:val="none" w:sz="0" w:space="0" w:color="auto"/>
        <w:right w:val="none" w:sz="0" w:space="0" w:color="auto"/>
      </w:divBdr>
    </w:div>
    <w:div w:id="1219972568">
      <w:bodyDiv w:val="1"/>
      <w:marLeft w:val="0"/>
      <w:marRight w:val="0"/>
      <w:marTop w:val="0"/>
      <w:marBottom w:val="0"/>
      <w:divBdr>
        <w:top w:val="none" w:sz="0" w:space="0" w:color="auto"/>
        <w:left w:val="none" w:sz="0" w:space="0" w:color="auto"/>
        <w:bottom w:val="none" w:sz="0" w:space="0" w:color="auto"/>
        <w:right w:val="none" w:sz="0" w:space="0" w:color="auto"/>
      </w:divBdr>
      <w:divsChild>
        <w:div w:id="117995327">
          <w:marLeft w:val="0"/>
          <w:marRight w:val="0"/>
          <w:marTop w:val="0"/>
          <w:marBottom w:val="0"/>
          <w:divBdr>
            <w:top w:val="none" w:sz="0" w:space="0" w:color="auto"/>
            <w:left w:val="none" w:sz="0" w:space="0" w:color="auto"/>
            <w:bottom w:val="none" w:sz="0" w:space="0" w:color="auto"/>
            <w:right w:val="none" w:sz="0" w:space="0" w:color="auto"/>
          </w:divBdr>
        </w:div>
      </w:divsChild>
    </w:div>
    <w:div w:id="1366953732">
      <w:bodyDiv w:val="1"/>
      <w:marLeft w:val="0"/>
      <w:marRight w:val="0"/>
      <w:marTop w:val="0"/>
      <w:marBottom w:val="0"/>
      <w:divBdr>
        <w:top w:val="none" w:sz="0" w:space="0" w:color="auto"/>
        <w:left w:val="none" w:sz="0" w:space="0" w:color="auto"/>
        <w:bottom w:val="none" w:sz="0" w:space="0" w:color="auto"/>
        <w:right w:val="none" w:sz="0" w:space="0" w:color="auto"/>
      </w:divBdr>
    </w:div>
    <w:div w:id="1445423517">
      <w:bodyDiv w:val="1"/>
      <w:marLeft w:val="0"/>
      <w:marRight w:val="0"/>
      <w:marTop w:val="0"/>
      <w:marBottom w:val="0"/>
      <w:divBdr>
        <w:top w:val="none" w:sz="0" w:space="0" w:color="auto"/>
        <w:left w:val="none" w:sz="0" w:space="0" w:color="auto"/>
        <w:bottom w:val="none" w:sz="0" w:space="0" w:color="auto"/>
        <w:right w:val="none" w:sz="0" w:space="0" w:color="auto"/>
      </w:divBdr>
    </w:div>
    <w:div w:id="1490442177">
      <w:bodyDiv w:val="1"/>
      <w:marLeft w:val="0"/>
      <w:marRight w:val="0"/>
      <w:marTop w:val="0"/>
      <w:marBottom w:val="0"/>
      <w:divBdr>
        <w:top w:val="none" w:sz="0" w:space="0" w:color="auto"/>
        <w:left w:val="none" w:sz="0" w:space="0" w:color="auto"/>
        <w:bottom w:val="none" w:sz="0" w:space="0" w:color="auto"/>
        <w:right w:val="none" w:sz="0" w:space="0" w:color="auto"/>
      </w:divBdr>
      <w:divsChild>
        <w:div w:id="1316253913">
          <w:marLeft w:val="1800"/>
          <w:marRight w:val="0"/>
          <w:marTop w:val="115"/>
          <w:marBottom w:val="0"/>
          <w:divBdr>
            <w:top w:val="none" w:sz="0" w:space="0" w:color="auto"/>
            <w:left w:val="none" w:sz="0" w:space="0" w:color="auto"/>
            <w:bottom w:val="none" w:sz="0" w:space="0" w:color="auto"/>
            <w:right w:val="none" w:sz="0" w:space="0" w:color="auto"/>
          </w:divBdr>
        </w:div>
      </w:divsChild>
    </w:div>
    <w:div w:id="1859419212">
      <w:bodyDiv w:val="1"/>
      <w:marLeft w:val="0"/>
      <w:marRight w:val="0"/>
      <w:marTop w:val="0"/>
      <w:marBottom w:val="0"/>
      <w:divBdr>
        <w:top w:val="none" w:sz="0" w:space="0" w:color="auto"/>
        <w:left w:val="none" w:sz="0" w:space="0" w:color="auto"/>
        <w:bottom w:val="none" w:sz="0" w:space="0" w:color="auto"/>
        <w:right w:val="none" w:sz="0" w:space="0" w:color="auto"/>
      </w:divBdr>
    </w:div>
    <w:div w:id="1876261884">
      <w:bodyDiv w:val="1"/>
      <w:marLeft w:val="0"/>
      <w:marRight w:val="0"/>
      <w:marTop w:val="0"/>
      <w:marBottom w:val="0"/>
      <w:divBdr>
        <w:top w:val="none" w:sz="0" w:space="0" w:color="auto"/>
        <w:left w:val="none" w:sz="0" w:space="0" w:color="auto"/>
        <w:bottom w:val="none" w:sz="0" w:space="0" w:color="auto"/>
        <w:right w:val="none" w:sz="0" w:space="0" w:color="auto"/>
      </w:divBdr>
    </w:div>
    <w:div w:id="2019310669">
      <w:bodyDiv w:val="1"/>
      <w:marLeft w:val="0"/>
      <w:marRight w:val="0"/>
      <w:marTop w:val="0"/>
      <w:marBottom w:val="0"/>
      <w:divBdr>
        <w:top w:val="none" w:sz="0" w:space="0" w:color="auto"/>
        <w:left w:val="none" w:sz="0" w:space="0" w:color="auto"/>
        <w:bottom w:val="none" w:sz="0" w:space="0" w:color="auto"/>
        <w:right w:val="none" w:sz="0" w:space="0" w:color="auto"/>
      </w:divBdr>
    </w:div>
    <w:div w:id="2112358953">
      <w:bodyDiv w:val="1"/>
      <w:marLeft w:val="0"/>
      <w:marRight w:val="0"/>
      <w:marTop w:val="0"/>
      <w:marBottom w:val="0"/>
      <w:divBdr>
        <w:top w:val="none" w:sz="0" w:space="0" w:color="auto"/>
        <w:left w:val="none" w:sz="0" w:space="0" w:color="auto"/>
        <w:bottom w:val="none" w:sz="0" w:space="0" w:color="auto"/>
        <w:right w:val="none" w:sz="0" w:space="0" w:color="auto"/>
      </w:divBdr>
    </w:div>
    <w:div w:id="21335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85FA-D890-41C0-9826-5ACEF996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5283</Words>
  <Characters>28773</Characters>
  <Application>Microsoft Office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Økonomers kritik af den økonomiske lærebog</vt:lpstr>
      <vt:lpstr>Økonomers kritik af den økonomiske lærebog</vt:lpstr>
    </vt:vector>
  </TitlesOfParts>
  <Company>Aalborg University</Company>
  <LinksUpToDate>false</LinksUpToDate>
  <CharactersWithSpaces>33989</CharactersWithSpaces>
  <SharedDoc>false</SharedDoc>
  <HLinks>
    <vt:vector size="6" baseType="variant">
      <vt:variant>
        <vt:i4>3473448</vt:i4>
      </vt:variant>
      <vt:variant>
        <vt:i4>0</vt:i4>
      </vt:variant>
      <vt:variant>
        <vt:i4>0</vt:i4>
      </vt:variant>
      <vt:variant>
        <vt:i4>5</vt:i4>
      </vt:variant>
      <vt:variant>
        <vt:lpwstr>http://www.bowker.com/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Økonomers kritik af den økonomiske lærebog</dc:title>
  <dc:subject/>
  <dc:creator>*</dc:creator>
  <cp:keywords/>
  <dc:description/>
  <cp:lastModifiedBy>Poul Thøis Madsen</cp:lastModifiedBy>
  <cp:revision>3</cp:revision>
  <cp:lastPrinted>2011-02-17T07:39:00Z</cp:lastPrinted>
  <dcterms:created xsi:type="dcterms:W3CDTF">2011-03-10T10:15:00Z</dcterms:created>
  <dcterms:modified xsi:type="dcterms:W3CDTF">2011-03-17T13:52:00Z</dcterms:modified>
</cp:coreProperties>
</file>