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BC" w:rsidRDefault="00E734BC" w:rsidP="00E73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‘Destination’ and ‘Community’</w:t>
      </w:r>
    </w:p>
    <w:p w:rsidR="00E734BC" w:rsidRPr="00AB3DA8" w:rsidRDefault="00E734BC" w:rsidP="00E734BC">
      <w:pPr>
        <w:rPr>
          <w:rFonts w:ascii="Arial" w:hAnsi="Arial" w:cs="Arial"/>
          <w:i/>
          <w:sz w:val="24"/>
          <w:szCs w:val="24"/>
        </w:rPr>
      </w:pPr>
      <w:r w:rsidRPr="00AB3DA8">
        <w:rPr>
          <w:rFonts w:ascii="Arial" w:hAnsi="Arial" w:cs="Arial"/>
          <w:i/>
          <w:sz w:val="24"/>
          <w:szCs w:val="24"/>
        </w:rPr>
        <w:t>Vibek</w:t>
      </w:r>
      <w:r>
        <w:rPr>
          <w:rFonts w:ascii="Arial" w:hAnsi="Arial" w:cs="Arial"/>
          <w:i/>
          <w:sz w:val="24"/>
          <w:szCs w:val="24"/>
        </w:rPr>
        <w:t>e Andersson, Aalborg University</w:t>
      </w:r>
    </w:p>
    <w:p w:rsidR="00E734BC" w:rsidRDefault="00E734BC" w:rsidP="00E734BC">
      <w:pPr>
        <w:pStyle w:val="Ingenafstand"/>
        <w:spacing w:line="360" w:lineRule="auto"/>
        <w:rPr>
          <w:rFonts w:ascii="Arial" w:hAnsi="Arial" w:cs="Arial"/>
          <w:sz w:val="24"/>
          <w:szCs w:val="24"/>
        </w:rPr>
      </w:pPr>
    </w:p>
    <w:p w:rsidR="00E734BC" w:rsidRDefault="00E734BC" w:rsidP="00E734BC">
      <w:pPr>
        <w:pStyle w:val="Ing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</w:t>
      </w:r>
      <w:r w:rsidRPr="008C31B3">
        <w:rPr>
          <w:rFonts w:ascii="Arial" w:hAnsi="Arial" w:cs="Arial"/>
          <w:sz w:val="24"/>
          <w:szCs w:val="24"/>
        </w:rPr>
        <w:t xml:space="preserve"> “destinations”</w:t>
      </w:r>
      <w:r>
        <w:rPr>
          <w:rFonts w:ascii="Arial" w:hAnsi="Arial" w:cs="Arial"/>
          <w:sz w:val="24"/>
          <w:szCs w:val="24"/>
        </w:rPr>
        <w:t xml:space="preserve"> as point of departure</w:t>
      </w:r>
      <w:r w:rsidRPr="008C31B3">
        <w:rPr>
          <w:rFonts w:ascii="Arial" w:hAnsi="Arial" w:cs="Arial"/>
          <w:sz w:val="24"/>
          <w:szCs w:val="24"/>
        </w:rPr>
        <w:t xml:space="preserve"> in much literature in Tourism literature (</w:t>
      </w:r>
      <w:r>
        <w:rPr>
          <w:rFonts w:ascii="Arial" w:hAnsi="Arial" w:cs="Arial"/>
          <w:sz w:val="24"/>
          <w:szCs w:val="24"/>
        </w:rPr>
        <w:t xml:space="preserve">Franklin &amp; </w:t>
      </w:r>
      <w:proofErr w:type="spellStart"/>
      <w:r>
        <w:rPr>
          <w:rFonts w:ascii="Arial" w:hAnsi="Arial" w:cs="Arial"/>
          <w:sz w:val="24"/>
          <w:szCs w:val="24"/>
        </w:rPr>
        <w:t>Crang</w:t>
      </w:r>
      <w:proofErr w:type="spellEnd"/>
      <w:r>
        <w:rPr>
          <w:rFonts w:ascii="Arial" w:hAnsi="Arial" w:cs="Arial"/>
          <w:sz w:val="24"/>
          <w:szCs w:val="24"/>
        </w:rPr>
        <w:t xml:space="preserve"> 2001; </w:t>
      </w:r>
      <w:r w:rsidRPr="008C31B3">
        <w:rPr>
          <w:rFonts w:ascii="Arial" w:hAnsi="Arial" w:cs="Arial"/>
          <w:sz w:val="24"/>
          <w:szCs w:val="24"/>
        </w:rPr>
        <w:t>Hall</w:t>
      </w:r>
      <w:r>
        <w:rPr>
          <w:rFonts w:ascii="Arial" w:hAnsi="Arial" w:cs="Arial"/>
          <w:sz w:val="24"/>
          <w:szCs w:val="24"/>
        </w:rPr>
        <w:t xml:space="preserve"> 2007;</w:t>
      </w:r>
      <w:r w:rsidRPr="008C31B3">
        <w:rPr>
          <w:rFonts w:ascii="Arial" w:hAnsi="Arial" w:cs="Arial"/>
          <w:sz w:val="24"/>
          <w:szCs w:val="24"/>
        </w:rPr>
        <w:t xml:space="preserve"> Zhao &amp; Richie</w:t>
      </w:r>
      <w:r>
        <w:rPr>
          <w:rFonts w:ascii="Arial" w:hAnsi="Arial" w:cs="Arial"/>
          <w:sz w:val="24"/>
          <w:szCs w:val="24"/>
        </w:rPr>
        <w:t xml:space="preserve"> 2007</w:t>
      </w:r>
      <w:r w:rsidRPr="008C31B3">
        <w:rPr>
          <w:rFonts w:ascii="Arial" w:hAnsi="Arial" w:cs="Arial"/>
          <w:sz w:val="24"/>
          <w:szCs w:val="24"/>
        </w:rPr>
        <w:t>) is creating a framework for analysis</w:t>
      </w:r>
      <w:r>
        <w:rPr>
          <w:rFonts w:ascii="Arial" w:hAnsi="Arial" w:cs="Arial"/>
          <w:sz w:val="24"/>
          <w:szCs w:val="24"/>
        </w:rPr>
        <w:t>,</w:t>
      </w:r>
      <w:r w:rsidRPr="008C31B3">
        <w:rPr>
          <w:rFonts w:ascii="Arial" w:hAnsi="Arial" w:cs="Arial"/>
          <w:sz w:val="24"/>
          <w:szCs w:val="24"/>
        </w:rPr>
        <w:t xml:space="preserve"> which is quite different from development </w:t>
      </w:r>
      <w:r w:rsidR="007508BE">
        <w:rPr>
          <w:rFonts w:ascii="Arial" w:hAnsi="Arial" w:cs="Arial"/>
          <w:sz w:val="24"/>
          <w:szCs w:val="24"/>
        </w:rPr>
        <w:t xml:space="preserve">studies/anthropology. This </w:t>
      </w:r>
      <w:r w:rsidR="005631B0">
        <w:rPr>
          <w:rFonts w:ascii="Arial" w:hAnsi="Arial" w:cs="Arial"/>
          <w:sz w:val="24"/>
          <w:szCs w:val="24"/>
        </w:rPr>
        <w:t>paper</w:t>
      </w:r>
      <w:r w:rsidRPr="008C31B3">
        <w:rPr>
          <w:rFonts w:ascii="Arial" w:hAnsi="Arial" w:cs="Arial"/>
          <w:sz w:val="24"/>
          <w:szCs w:val="24"/>
        </w:rPr>
        <w:t xml:space="preserve"> will address what the author regards as an ‘inbuilt’ contradiction between mainstream tourism and development studies – or branches within these fields – where the point of departure </w:t>
      </w:r>
      <w:bookmarkStart w:id="0" w:name="_GoBack"/>
      <w:bookmarkEnd w:id="0"/>
      <w:r w:rsidRPr="008C31B3">
        <w:rPr>
          <w:rFonts w:ascii="Arial" w:hAnsi="Arial" w:cs="Arial"/>
          <w:sz w:val="24"/>
          <w:szCs w:val="24"/>
        </w:rPr>
        <w:t>seems quite different. One example: “The private sector may be best placed to identify opportunities, realize the potential of a destination, drive forward the development of product and adopt a range of highly effective responsibilities to communities” (Simpson 2008:9-10). There is a hierarchy of elements in this quote which can capture the differences between points of departure in research when addressing what ‘benefit’ a community might have f</w:t>
      </w:r>
      <w:r w:rsidR="007508BE">
        <w:rPr>
          <w:rFonts w:ascii="Arial" w:hAnsi="Arial" w:cs="Arial"/>
          <w:sz w:val="24"/>
          <w:szCs w:val="24"/>
        </w:rPr>
        <w:t xml:space="preserve">rom a tourism project. The </w:t>
      </w:r>
      <w:r w:rsidR="005631B0">
        <w:rPr>
          <w:rFonts w:ascii="Arial" w:hAnsi="Arial" w:cs="Arial"/>
          <w:sz w:val="24"/>
          <w:szCs w:val="24"/>
        </w:rPr>
        <w:t>paper</w:t>
      </w:r>
      <w:r w:rsidRPr="008C31B3">
        <w:rPr>
          <w:rFonts w:ascii="Arial" w:hAnsi="Arial" w:cs="Arial"/>
          <w:sz w:val="24"/>
          <w:szCs w:val="24"/>
        </w:rPr>
        <w:t xml:space="preserve"> will include a discussion of newer literature within the field of ‘</w:t>
      </w:r>
      <w:proofErr w:type="spellStart"/>
      <w:r w:rsidRPr="008C31B3">
        <w:rPr>
          <w:rFonts w:ascii="Arial" w:hAnsi="Arial" w:cs="Arial"/>
          <w:sz w:val="24"/>
          <w:szCs w:val="24"/>
        </w:rPr>
        <w:t>mobilities</w:t>
      </w:r>
      <w:proofErr w:type="spellEnd"/>
      <w:r w:rsidRPr="008C31B3">
        <w:rPr>
          <w:rFonts w:ascii="Arial" w:hAnsi="Arial" w:cs="Arial"/>
          <w:sz w:val="24"/>
          <w:szCs w:val="24"/>
        </w:rPr>
        <w:t>’ (Glick Schiller &amp; Salazar 2013), especially literature, which underscores the importance of anthropological studies o</w:t>
      </w:r>
      <w:r>
        <w:rPr>
          <w:rFonts w:ascii="Arial" w:hAnsi="Arial" w:cs="Arial"/>
          <w:sz w:val="24"/>
          <w:szCs w:val="24"/>
        </w:rPr>
        <w:t>f mobility (Salazar &amp; Smart 2011</w:t>
      </w:r>
      <w:r w:rsidRPr="008C31B3">
        <w:rPr>
          <w:rFonts w:ascii="Arial" w:hAnsi="Arial" w:cs="Arial"/>
          <w:sz w:val="24"/>
          <w:szCs w:val="24"/>
        </w:rPr>
        <w:t>). The theoretical framework is an exploration and discussion of Bauman’s ‘Tourists and Vagabonds’ and his notion of ‘liquid modernity’ (Bauman 1998, Franklin 2003). Furthermore Richard Chambers’ writings about ‘participation</w:t>
      </w:r>
      <w:r>
        <w:rPr>
          <w:rFonts w:ascii="Arial" w:hAnsi="Arial" w:cs="Arial"/>
          <w:sz w:val="24"/>
          <w:szCs w:val="24"/>
        </w:rPr>
        <w:t>’ and ‘community’ (Chambers 2012</w:t>
      </w:r>
      <w:r w:rsidRPr="008C31B3">
        <w:rPr>
          <w:rFonts w:ascii="Arial" w:hAnsi="Arial" w:cs="Arial"/>
          <w:sz w:val="24"/>
          <w:szCs w:val="24"/>
        </w:rPr>
        <w:t>) will be used. T</w:t>
      </w:r>
      <w:r w:rsidR="007508BE">
        <w:rPr>
          <w:rFonts w:ascii="Arial" w:hAnsi="Arial" w:cs="Arial"/>
          <w:sz w:val="24"/>
          <w:szCs w:val="24"/>
        </w:rPr>
        <w:t>he discussion will include</w:t>
      </w:r>
      <w:r w:rsidRPr="008C31B3">
        <w:rPr>
          <w:rFonts w:ascii="Arial" w:hAnsi="Arial" w:cs="Arial"/>
          <w:sz w:val="24"/>
          <w:szCs w:val="24"/>
        </w:rPr>
        <w:t xml:space="preserve"> an analysis of Bolivia’s touri</w:t>
      </w:r>
      <w:r>
        <w:rPr>
          <w:rFonts w:ascii="Arial" w:hAnsi="Arial" w:cs="Arial"/>
          <w:sz w:val="24"/>
          <w:szCs w:val="24"/>
        </w:rPr>
        <w:t xml:space="preserve">sm plan and strategy: ‘Plan </w:t>
      </w:r>
      <w:proofErr w:type="spellStart"/>
      <w:r>
        <w:rPr>
          <w:rFonts w:ascii="Arial" w:hAnsi="Arial" w:cs="Arial"/>
          <w:sz w:val="24"/>
          <w:szCs w:val="24"/>
        </w:rPr>
        <w:t>Nacional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Turismo</w:t>
      </w:r>
      <w:proofErr w:type="spellEnd"/>
      <w:r>
        <w:rPr>
          <w:rFonts w:ascii="Arial" w:hAnsi="Arial" w:cs="Arial"/>
          <w:sz w:val="24"/>
          <w:szCs w:val="24"/>
        </w:rPr>
        <w:t xml:space="preserve"> and its Plan </w:t>
      </w:r>
      <w:proofErr w:type="spellStart"/>
      <w:r>
        <w:rPr>
          <w:rFonts w:ascii="Arial" w:hAnsi="Arial" w:cs="Arial"/>
          <w:sz w:val="24"/>
          <w:szCs w:val="24"/>
        </w:rPr>
        <w:t>Estratégico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Desarollo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Turistico</w:t>
      </w:r>
      <w:proofErr w:type="spellEnd"/>
      <w:r>
        <w:rPr>
          <w:rFonts w:ascii="Arial" w:hAnsi="Arial" w:cs="Arial"/>
          <w:sz w:val="24"/>
          <w:szCs w:val="24"/>
        </w:rPr>
        <w:t>‘.</w:t>
      </w:r>
    </w:p>
    <w:p w:rsidR="00E734BC" w:rsidRDefault="00E734BC" w:rsidP="00E734BC">
      <w:pPr>
        <w:pStyle w:val="Ingenafstand"/>
        <w:spacing w:line="360" w:lineRule="auto"/>
        <w:rPr>
          <w:rFonts w:ascii="Arial" w:hAnsi="Arial" w:cs="Arial"/>
          <w:sz w:val="24"/>
          <w:szCs w:val="24"/>
        </w:rPr>
      </w:pPr>
    </w:p>
    <w:p w:rsidR="007508BE" w:rsidRDefault="007508BE" w:rsidP="00E734BC">
      <w:pPr>
        <w:pStyle w:val="Ingenafstand"/>
        <w:spacing w:line="360" w:lineRule="auto"/>
        <w:rPr>
          <w:rFonts w:ascii="Arial" w:hAnsi="Arial" w:cs="Arial"/>
          <w:sz w:val="24"/>
          <w:szCs w:val="24"/>
        </w:rPr>
      </w:pPr>
    </w:p>
    <w:p w:rsidR="007508BE" w:rsidRDefault="007508BE" w:rsidP="00E734BC">
      <w:pPr>
        <w:pStyle w:val="Ingenafstand"/>
        <w:spacing w:line="360" w:lineRule="auto"/>
        <w:rPr>
          <w:rFonts w:ascii="Arial" w:hAnsi="Arial" w:cs="Arial"/>
          <w:sz w:val="24"/>
          <w:szCs w:val="24"/>
        </w:rPr>
      </w:pPr>
    </w:p>
    <w:p w:rsidR="00E734BC" w:rsidRPr="00E734BC" w:rsidRDefault="00E734BC"/>
    <w:sectPr w:rsidR="00E734BC" w:rsidRPr="00E734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BC" w:rsidRDefault="00E734BC" w:rsidP="00E734BC">
      <w:r>
        <w:separator/>
      </w:r>
    </w:p>
  </w:endnote>
  <w:endnote w:type="continuationSeparator" w:id="0">
    <w:p w:rsidR="00E734BC" w:rsidRDefault="00E734BC" w:rsidP="00E7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BC" w:rsidRDefault="00E734BC" w:rsidP="00E734BC">
      <w:r>
        <w:separator/>
      </w:r>
    </w:p>
  </w:footnote>
  <w:footnote w:type="continuationSeparator" w:id="0">
    <w:p w:rsidR="00E734BC" w:rsidRDefault="00E734BC" w:rsidP="00E7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BC"/>
    <w:rsid w:val="005631B0"/>
    <w:rsid w:val="007508BE"/>
    <w:rsid w:val="00914F0B"/>
    <w:rsid w:val="00B01A00"/>
    <w:rsid w:val="00C0708E"/>
    <w:rsid w:val="00E734BC"/>
    <w:rsid w:val="00F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BC"/>
    <w:pPr>
      <w:spacing w:after="0" w:line="240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734BC"/>
    <w:pPr>
      <w:spacing w:after="0" w:line="240" w:lineRule="auto"/>
    </w:pPr>
    <w:rPr>
      <w:lang w:val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734BC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734BC"/>
    <w:rPr>
      <w:sz w:val="20"/>
      <w:szCs w:val="20"/>
      <w:lang w:val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734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BC"/>
    <w:pPr>
      <w:spacing w:after="0" w:line="240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734BC"/>
    <w:pPr>
      <w:spacing w:after="0" w:line="240" w:lineRule="auto"/>
    </w:pPr>
    <w:rPr>
      <w:lang w:val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734BC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734BC"/>
    <w:rPr>
      <w:sz w:val="20"/>
      <w:szCs w:val="20"/>
      <w:lang w:val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73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Andersson</dc:creator>
  <cp:lastModifiedBy>Vibeke Andersson</cp:lastModifiedBy>
  <cp:revision>3</cp:revision>
  <dcterms:created xsi:type="dcterms:W3CDTF">2014-05-06T20:57:00Z</dcterms:created>
  <dcterms:modified xsi:type="dcterms:W3CDTF">2014-05-06T20:57:00Z</dcterms:modified>
</cp:coreProperties>
</file>