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B9A43" w14:textId="77777777" w:rsidR="00232A87" w:rsidRDefault="00232A87" w:rsidP="001D3650">
      <w:pPr>
        <w:spacing w:line="480" w:lineRule="auto"/>
        <w:jc w:val="center"/>
        <w:rPr>
          <w:b/>
          <w:sz w:val="36"/>
          <w:szCs w:val="36"/>
          <w:lang w:val="en-US"/>
        </w:rPr>
      </w:pPr>
      <w:r w:rsidRPr="00232A87">
        <w:rPr>
          <w:b/>
          <w:sz w:val="36"/>
          <w:szCs w:val="36"/>
          <w:lang w:val="en-US"/>
        </w:rPr>
        <w:t>Effect of Alkali Phosphate Content on Foaming of CRT Panel Glass Using Mn</w:t>
      </w:r>
      <w:r w:rsidRPr="00232A87">
        <w:rPr>
          <w:b/>
          <w:sz w:val="36"/>
          <w:szCs w:val="36"/>
          <w:vertAlign w:val="subscript"/>
          <w:lang w:val="en-US"/>
        </w:rPr>
        <w:t>3</w:t>
      </w:r>
      <w:r w:rsidRPr="00232A87">
        <w:rPr>
          <w:b/>
          <w:sz w:val="36"/>
          <w:szCs w:val="36"/>
          <w:lang w:val="en-US"/>
        </w:rPr>
        <w:t>O</w:t>
      </w:r>
      <w:r w:rsidRPr="00232A87">
        <w:rPr>
          <w:b/>
          <w:sz w:val="36"/>
          <w:szCs w:val="36"/>
          <w:vertAlign w:val="subscript"/>
          <w:lang w:val="en-US"/>
        </w:rPr>
        <w:t>4</w:t>
      </w:r>
      <w:r w:rsidRPr="00232A87">
        <w:rPr>
          <w:b/>
          <w:sz w:val="36"/>
          <w:szCs w:val="36"/>
          <w:lang w:val="en-US"/>
        </w:rPr>
        <w:t xml:space="preserve"> and Carbon as Foaming Agents</w:t>
      </w:r>
    </w:p>
    <w:p w14:paraId="178422C7" w14:textId="3ADE143F" w:rsidR="001D3650" w:rsidRPr="002A624C" w:rsidRDefault="001D3650" w:rsidP="00415AD9">
      <w:pPr>
        <w:spacing w:line="360" w:lineRule="auto"/>
        <w:jc w:val="center"/>
        <w:rPr>
          <w:sz w:val="24"/>
          <w:szCs w:val="24"/>
          <w:lang w:val="de-DE"/>
        </w:rPr>
      </w:pPr>
      <w:r w:rsidRPr="002A624C">
        <w:rPr>
          <w:sz w:val="24"/>
          <w:szCs w:val="24"/>
          <w:lang w:val="de-DE"/>
        </w:rPr>
        <w:t>Martin B. Østergaard</w:t>
      </w:r>
      <w:r w:rsidRPr="002A624C">
        <w:rPr>
          <w:sz w:val="24"/>
          <w:szCs w:val="24"/>
          <w:vertAlign w:val="superscript"/>
          <w:lang w:val="de-DE"/>
        </w:rPr>
        <w:t>1</w:t>
      </w:r>
      <w:r w:rsidR="00232A87" w:rsidRPr="002A624C">
        <w:rPr>
          <w:sz w:val="24"/>
          <w:szCs w:val="24"/>
          <w:vertAlign w:val="superscript"/>
          <w:lang w:val="de-DE"/>
        </w:rPr>
        <w:t>,*</w:t>
      </w:r>
      <w:r w:rsidRPr="002A624C">
        <w:rPr>
          <w:sz w:val="24"/>
          <w:szCs w:val="24"/>
          <w:lang w:val="de-DE"/>
        </w:rPr>
        <w:t>, Rasmus R. Petersen</w:t>
      </w:r>
      <w:r w:rsidRPr="002A624C">
        <w:rPr>
          <w:sz w:val="24"/>
          <w:szCs w:val="24"/>
          <w:vertAlign w:val="superscript"/>
          <w:lang w:val="de-DE"/>
        </w:rPr>
        <w:t>1</w:t>
      </w:r>
      <w:r w:rsidRPr="002A624C">
        <w:rPr>
          <w:sz w:val="24"/>
          <w:szCs w:val="24"/>
          <w:lang w:val="de-DE"/>
        </w:rPr>
        <w:t>, Jakob König</w:t>
      </w:r>
      <w:r w:rsidR="00232A87" w:rsidRPr="002A624C">
        <w:rPr>
          <w:sz w:val="24"/>
          <w:szCs w:val="24"/>
          <w:vertAlign w:val="superscript"/>
          <w:lang w:val="de-DE"/>
        </w:rPr>
        <w:t>2</w:t>
      </w:r>
      <w:r w:rsidRPr="002A624C">
        <w:rPr>
          <w:sz w:val="24"/>
          <w:szCs w:val="24"/>
          <w:lang w:val="de-DE"/>
        </w:rPr>
        <w:t>, Yuanzheng Yue</w:t>
      </w:r>
      <w:r w:rsidRPr="002A624C">
        <w:rPr>
          <w:sz w:val="24"/>
          <w:szCs w:val="24"/>
          <w:vertAlign w:val="superscript"/>
          <w:lang w:val="de-DE"/>
        </w:rPr>
        <w:t>1</w:t>
      </w:r>
    </w:p>
    <w:p w14:paraId="1D816BC0" w14:textId="77777777" w:rsidR="00232A87" w:rsidRPr="00232A87" w:rsidRDefault="00232A87" w:rsidP="00415AD9">
      <w:pPr>
        <w:spacing w:line="360" w:lineRule="auto"/>
        <w:jc w:val="center"/>
        <w:rPr>
          <w:lang w:val="en-US"/>
        </w:rPr>
      </w:pPr>
      <w:r w:rsidRPr="00232A87">
        <w:rPr>
          <w:vertAlign w:val="superscript"/>
          <w:lang w:val="en-US"/>
        </w:rPr>
        <w:t>1</w:t>
      </w:r>
      <w:r w:rsidRPr="00232A87">
        <w:rPr>
          <w:lang w:val="en-US"/>
        </w:rPr>
        <w:t>Department of Chemistry and Bioscience, Aalborg University, DK-9220 Aalborg East, Denmark</w:t>
      </w:r>
    </w:p>
    <w:p w14:paraId="35BB2C79" w14:textId="1414B217" w:rsidR="00232A87" w:rsidRPr="00232A87" w:rsidRDefault="00232A87" w:rsidP="00415AD9">
      <w:pPr>
        <w:spacing w:line="360" w:lineRule="auto"/>
        <w:jc w:val="center"/>
        <w:rPr>
          <w:lang w:val="en-US"/>
        </w:rPr>
      </w:pPr>
      <w:r>
        <w:rPr>
          <w:vertAlign w:val="superscript"/>
          <w:lang w:val="en-US"/>
        </w:rPr>
        <w:t>2</w:t>
      </w:r>
      <w:r w:rsidRPr="00232A87">
        <w:rPr>
          <w:lang w:val="en-US"/>
        </w:rPr>
        <w:t xml:space="preserve">Advanced Materials Department, </w:t>
      </w:r>
      <w:proofErr w:type="spellStart"/>
      <w:r w:rsidRPr="00232A87">
        <w:rPr>
          <w:lang w:val="en-US"/>
        </w:rPr>
        <w:t>Jožef</w:t>
      </w:r>
      <w:proofErr w:type="spellEnd"/>
      <w:r w:rsidRPr="00232A87">
        <w:rPr>
          <w:lang w:val="en-US"/>
        </w:rPr>
        <w:t xml:space="preserve"> Stefan Institute, SI-1000 Ljubljana, Slovenia</w:t>
      </w:r>
    </w:p>
    <w:p w14:paraId="4336EA55" w14:textId="0EF05803" w:rsidR="001D3650" w:rsidRDefault="00232A87" w:rsidP="00415AD9">
      <w:pPr>
        <w:spacing w:line="360" w:lineRule="auto"/>
        <w:jc w:val="center"/>
        <w:rPr>
          <w:lang w:val="en-US"/>
        </w:rPr>
      </w:pPr>
      <w:r w:rsidRPr="00232A87">
        <w:rPr>
          <w:vertAlign w:val="superscript"/>
          <w:lang w:val="en-US"/>
        </w:rPr>
        <w:t>*</w:t>
      </w:r>
      <w:r>
        <w:rPr>
          <w:lang w:val="en-US"/>
        </w:rPr>
        <w:t>Presenting</w:t>
      </w:r>
      <w:r w:rsidRPr="00232A87">
        <w:rPr>
          <w:lang w:val="en-US"/>
        </w:rPr>
        <w:t xml:space="preserve"> author. E-mail: </w:t>
      </w:r>
      <w:hyperlink r:id="rId5" w:history="1">
        <w:r w:rsidR="00426552" w:rsidRPr="009C0780">
          <w:rPr>
            <w:rStyle w:val="Hyperlink"/>
            <w:lang w:val="en-US"/>
          </w:rPr>
          <w:t>mbo@bio.aau.dk</w:t>
        </w:r>
      </w:hyperlink>
      <w:r w:rsidR="00426552">
        <w:rPr>
          <w:lang w:val="en-US"/>
        </w:rPr>
        <w:t xml:space="preserve"> </w:t>
      </w:r>
    </w:p>
    <w:p w14:paraId="3062A258" w14:textId="77777777" w:rsidR="00232A87" w:rsidRDefault="00232A87" w:rsidP="00232A87">
      <w:pPr>
        <w:rPr>
          <w:lang w:val="en-US"/>
        </w:rPr>
      </w:pPr>
    </w:p>
    <w:p w14:paraId="2CC8A801" w14:textId="219CE483" w:rsidR="001D3650" w:rsidRDefault="001D3650">
      <w:pPr>
        <w:rPr>
          <w:lang w:val="en-US"/>
        </w:rPr>
      </w:pPr>
      <w:r w:rsidRPr="00232A87">
        <w:rPr>
          <w:b/>
          <w:lang w:val="en-US"/>
        </w:rPr>
        <w:t>Abstract</w:t>
      </w:r>
      <w:bookmarkStart w:id="0" w:name="_GoBack"/>
      <w:bookmarkEnd w:id="0"/>
    </w:p>
    <w:p w14:paraId="38661D5D" w14:textId="4F111FF5" w:rsidR="00232A87" w:rsidRPr="00B55D35" w:rsidRDefault="00232A87" w:rsidP="00232A87">
      <w:pPr>
        <w:spacing w:line="480" w:lineRule="auto"/>
        <w:ind w:firstLine="284"/>
        <w:jc w:val="both"/>
        <w:rPr>
          <w:lang w:val="en-US"/>
        </w:rPr>
      </w:pPr>
      <w:r w:rsidRPr="00B55D35">
        <w:rPr>
          <w:lang w:val="en-US"/>
        </w:rPr>
        <w:t xml:space="preserve">Phosphates play a role in different foaming processes. In slag foaming, the phosphate can lower the surface tension and increase the foam life time. In the sintering–foaming process, sodium phosphates are added as “foam stabilizers”. </w:t>
      </w:r>
      <w:r w:rsidR="002A624C">
        <w:rPr>
          <w:lang w:val="en-US"/>
        </w:rPr>
        <w:t>Alt</w:t>
      </w:r>
      <w:r w:rsidRPr="00B55D35">
        <w:rPr>
          <w:lang w:val="en-US"/>
        </w:rPr>
        <w:t xml:space="preserve">hough phosphates show </w:t>
      </w:r>
      <w:r w:rsidR="002A624C">
        <w:rPr>
          <w:lang w:val="en-US"/>
        </w:rPr>
        <w:t>some</w:t>
      </w:r>
      <w:r w:rsidR="002A624C" w:rsidRPr="00B55D35">
        <w:rPr>
          <w:lang w:val="en-US"/>
        </w:rPr>
        <w:t xml:space="preserve"> </w:t>
      </w:r>
      <w:r w:rsidRPr="00B55D35">
        <w:rPr>
          <w:lang w:val="en-US"/>
        </w:rPr>
        <w:t xml:space="preserve">effect </w:t>
      </w:r>
      <w:r w:rsidR="002A624C">
        <w:rPr>
          <w:lang w:val="en-US"/>
        </w:rPr>
        <w:t>on</w:t>
      </w:r>
      <w:r w:rsidR="002A624C" w:rsidRPr="00B55D35">
        <w:rPr>
          <w:lang w:val="en-US"/>
        </w:rPr>
        <w:t xml:space="preserve"> </w:t>
      </w:r>
      <w:r w:rsidRPr="00B55D35">
        <w:rPr>
          <w:lang w:val="en-US"/>
        </w:rPr>
        <w:t xml:space="preserve">slag foaming, </w:t>
      </w:r>
      <w:r w:rsidR="002A624C">
        <w:rPr>
          <w:lang w:val="en-US"/>
        </w:rPr>
        <w:t>their effect on</w:t>
      </w:r>
      <w:r w:rsidRPr="00B55D35">
        <w:rPr>
          <w:lang w:val="en-US"/>
        </w:rPr>
        <w:t xml:space="preserve"> the sintering–foaming process still needs to be clarified. </w:t>
      </w:r>
      <w:r w:rsidR="00487370">
        <w:rPr>
          <w:lang w:val="en-US"/>
        </w:rPr>
        <w:t>Here</w:t>
      </w:r>
      <w:r w:rsidRPr="00B55D35">
        <w:rPr>
          <w:lang w:val="en-US"/>
        </w:rPr>
        <w:t>, we investigate the influence of alkali phosphates (</w:t>
      </w:r>
      <w:r w:rsidRPr="00B55D35">
        <w:rPr>
          <w:szCs w:val="28"/>
          <w:lang w:val="en-US"/>
        </w:rPr>
        <w:t>Li</w:t>
      </w:r>
      <w:r w:rsidRPr="00B55D35">
        <w:rPr>
          <w:szCs w:val="28"/>
          <w:vertAlign w:val="subscript"/>
          <w:lang w:val="en-US"/>
        </w:rPr>
        <w:t>3</w:t>
      </w:r>
      <w:r w:rsidRPr="00B55D35">
        <w:rPr>
          <w:szCs w:val="28"/>
          <w:lang w:val="en-US"/>
        </w:rPr>
        <w:t>PO</w:t>
      </w:r>
      <w:r w:rsidRPr="00B55D35">
        <w:rPr>
          <w:szCs w:val="28"/>
          <w:vertAlign w:val="subscript"/>
          <w:lang w:val="en-US"/>
        </w:rPr>
        <w:t>4</w:t>
      </w:r>
      <w:r w:rsidRPr="00B55D35">
        <w:rPr>
          <w:lang w:val="en-US"/>
        </w:rPr>
        <w:t xml:space="preserve">, </w:t>
      </w:r>
      <w:r w:rsidRPr="00B55D35">
        <w:rPr>
          <w:szCs w:val="28"/>
          <w:lang w:val="en-US"/>
        </w:rPr>
        <w:t>Na</w:t>
      </w:r>
      <w:r w:rsidRPr="00B55D35">
        <w:rPr>
          <w:szCs w:val="28"/>
          <w:vertAlign w:val="subscript"/>
          <w:lang w:val="en-US"/>
        </w:rPr>
        <w:t>3</w:t>
      </w:r>
      <w:r w:rsidRPr="00B55D35">
        <w:rPr>
          <w:szCs w:val="28"/>
          <w:lang w:val="en-US"/>
        </w:rPr>
        <w:t>PO</w:t>
      </w:r>
      <w:r w:rsidRPr="00B55D35">
        <w:rPr>
          <w:szCs w:val="28"/>
          <w:vertAlign w:val="subscript"/>
          <w:lang w:val="en-US"/>
        </w:rPr>
        <w:t>4</w:t>
      </w:r>
      <w:r w:rsidRPr="00B55D35">
        <w:rPr>
          <w:lang w:val="en-US"/>
        </w:rPr>
        <w:t>, and K</w:t>
      </w:r>
      <w:r w:rsidRPr="00B55D35">
        <w:rPr>
          <w:vertAlign w:val="subscript"/>
          <w:lang w:val="en-US"/>
        </w:rPr>
        <w:t>3</w:t>
      </w:r>
      <w:r w:rsidRPr="00B55D35">
        <w:rPr>
          <w:lang w:val="en-US"/>
        </w:rPr>
        <w:t>PO</w:t>
      </w:r>
      <w:r w:rsidRPr="00B55D35">
        <w:rPr>
          <w:vertAlign w:val="subscript"/>
          <w:lang w:val="en-US"/>
        </w:rPr>
        <w:t>4</w:t>
      </w:r>
      <w:r w:rsidRPr="00B55D35">
        <w:rPr>
          <w:lang w:val="en-US"/>
        </w:rPr>
        <w:t>) on the glass foaming process, foam density, and glass transition temperature (</w:t>
      </w:r>
      <w:proofErr w:type="spellStart"/>
      <w:proofErr w:type="gramStart"/>
      <w:r w:rsidRPr="00B55D35">
        <w:rPr>
          <w:i/>
          <w:lang w:val="en-US"/>
        </w:rPr>
        <w:t>T</w:t>
      </w:r>
      <w:r w:rsidRPr="00B55D35">
        <w:rPr>
          <w:vertAlign w:val="subscript"/>
          <w:lang w:val="en-US"/>
        </w:rPr>
        <w:t>g</w:t>
      </w:r>
      <w:proofErr w:type="spellEnd"/>
      <w:proofErr w:type="gramEnd"/>
      <w:r w:rsidRPr="00B55D35">
        <w:rPr>
          <w:lang w:val="en-US"/>
        </w:rPr>
        <w:t xml:space="preserve">) of waste </w:t>
      </w:r>
      <w:r w:rsidR="00487370">
        <w:rPr>
          <w:lang w:val="en-US"/>
        </w:rPr>
        <w:t xml:space="preserve">cathode ray tube (CRT) panel glass foamed using </w:t>
      </w:r>
      <w:r w:rsidR="00487370" w:rsidRPr="00487370">
        <w:rPr>
          <w:lang w:val="en-US"/>
        </w:rPr>
        <w:t>Mn</w:t>
      </w:r>
      <w:r w:rsidR="00487370" w:rsidRPr="00487370">
        <w:rPr>
          <w:vertAlign w:val="subscript"/>
          <w:lang w:val="en-US"/>
        </w:rPr>
        <w:t>3</w:t>
      </w:r>
      <w:r w:rsidR="00487370" w:rsidRPr="00487370">
        <w:rPr>
          <w:lang w:val="en-US"/>
        </w:rPr>
        <w:t>O</w:t>
      </w:r>
      <w:r w:rsidR="00487370" w:rsidRPr="00487370">
        <w:rPr>
          <w:vertAlign w:val="subscript"/>
          <w:lang w:val="en-US"/>
        </w:rPr>
        <w:t>4</w:t>
      </w:r>
      <w:r w:rsidR="00487370">
        <w:rPr>
          <w:lang w:val="en-US"/>
        </w:rPr>
        <w:t xml:space="preserve"> and carbon</w:t>
      </w:r>
      <w:r w:rsidRPr="00B55D35">
        <w:rPr>
          <w:lang w:val="en-US"/>
        </w:rPr>
        <w:t xml:space="preserve">. The results show that the </w:t>
      </w:r>
      <w:proofErr w:type="spellStart"/>
      <w:proofErr w:type="gramStart"/>
      <w:r w:rsidRPr="00B55D35">
        <w:rPr>
          <w:i/>
          <w:lang w:val="en-US"/>
        </w:rPr>
        <w:t>T</w:t>
      </w:r>
      <w:r w:rsidRPr="00B55D35">
        <w:rPr>
          <w:vertAlign w:val="subscript"/>
          <w:lang w:val="en-US"/>
        </w:rPr>
        <w:t>g</w:t>
      </w:r>
      <w:proofErr w:type="spellEnd"/>
      <w:proofErr w:type="gramEnd"/>
      <w:r w:rsidRPr="00B55D35">
        <w:rPr>
          <w:lang w:val="en-US"/>
        </w:rPr>
        <w:t xml:space="preserve"> of foam glasses decreases with increasing the alkali phosphate content, and </w:t>
      </w:r>
      <w:r w:rsidRPr="00B55D35">
        <w:rPr>
          <w:szCs w:val="28"/>
          <w:lang w:val="en-US"/>
        </w:rPr>
        <w:t>with decreasing the alkali ion radius</w:t>
      </w:r>
      <w:r w:rsidRPr="00B55D35">
        <w:rPr>
          <w:lang w:val="en-US"/>
        </w:rPr>
        <w:t>.</w:t>
      </w:r>
      <w:r w:rsidR="00487370">
        <w:rPr>
          <w:lang w:val="en-US"/>
        </w:rPr>
        <w:t xml:space="preserve"> </w:t>
      </w:r>
      <w:r w:rsidR="002A624C">
        <w:rPr>
          <w:lang w:val="en-US"/>
        </w:rPr>
        <w:t>Furthermore</w:t>
      </w:r>
      <w:r w:rsidR="00487370">
        <w:rPr>
          <w:lang w:val="en-US"/>
        </w:rPr>
        <w:t>, the foaming temperature is affected by the alkali phosphate</w:t>
      </w:r>
      <w:r w:rsidR="002A624C">
        <w:rPr>
          <w:lang w:val="en-US"/>
        </w:rPr>
        <w:t>,</w:t>
      </w:r>
      <w:r w:rsidR="00487370">
        <w:rPr>
          <w:lang w:val="en-US"/>
        </w:rPr>
        <w:t xml:space="preserve"> especially </w:t>
      </w:r>
      <w:r w:rsidR="002A624C">
        <w:rPr>
          <w:lang w:val="en-US"/>
        </w:rPr>
        <w:t xml:space="preserve">by </w:t>
      </w:r>
      <w:r w:rsidR="00487370">
        <w:rPr>
          <w:lang w:val="en-US"/>
        </w:rPr>
        <w:t>Li</w:t>
      </w:r>
      <w:r w:rsidR="00487370" w:rsidRPr="00487370">
        <w:rPr>
          <w:vertAlign w:val="subscript"/>
          <w:lang w:val="en-US"/>
        </w:rPr>
        <w:t>3</w:t>
      </w:r>
      <w:r w:rsidR="00487370">
        <w:rPr>
          <w:lang w:val="en-US"/>
        </w:rPr>
        <w:t>PO</w:t>
      </w:r>
      <w:r w:rsidR="00487370" w:rsidRPr="00487370">
        <w:rPr>
          <w:vertAlign w:val="subscript"/>
          <w:lang w:val="en-US"/>
        </w:rPr>
        <w:t>4</w:t>
      </w:r>
      <w:r w:rsidR="00487370">
        <w:rPr>
          <w:lang w:val="en-US"/>
        </w:rPr>
        <w:t xml:space="preserve">. </w:t>
      </w:r>
      <w:r w:rsidR="002A624C">
        <w:rPr>
          <w:lang w:val="en-US"/>
        </w:rPr>
        <w:t>Thus,</w:t>
      </w:r>
      <w:r w:rsidRPr="00B55D35">
        <w:rPr>
          <w:lang w:val="en-US"/>
        </w:rPr>
        <w:t xml:space="preserve"> alkali phosphates can be used to decrease the heat-treatment temperature</w:t>
      </w:r>
      <w:r w:rsidR="002A624C">
        <w:rPr>
          <w:lang w:val="en-US"/>
        </w:rPr>
        <w:t>. H</w:t>
      </w:r>
      <w:r w:rsidRPr="00B55D35">
        <w:rPr>
          <w:lang w:val="en-US"/>
        </w:rPr>
        <w:t>owever, only K</w:t>
      </w:r>
      <w:r w:rsidRPr="00B55D35">
        <w:rPr>
          <w:vertAlign w:val="subscript"/>
          <w:lang w:val="en-US"/>
        </w:rPr>
        <w:t>3</w:t>
      </w:r>
      <w:r w:rsidRPr="00B55D35">
        <w:rPr>
          <w:lang w:val="en-US"/>
        </w:rPr>
        <w:t>PO</w:t>
      </w:r>
      <w:r w:rsidRPr="00B55D35">
        <w:rPr>
          <w:vertAlign w:val="subscript"/>
          <w:lang w:val="en-US"/>
        </w:rPr>
        <w:t>4</w:t>
      </w:r>
      <w:r w:rsidRPr="00B55D35">
        <w:rPr>
          <w:lang w:val="en-US"/>
        </w:rPr>
        <w:t xml:space="preserve"> and </w:t>
      </w:r>
      <w:r w:rsidRPr="00B55D35">
        <w:rPr>
          <w:szCs w:val="28"/>
          <w:lang w:val="en-US"/>
        </w:rPr>
        <w:t>Na</w:t>
      </w:r>
      <w:r w:rsidRPr="00B55D35">
        <w:rPr>
          <w:szCs w:val="28"/>
          <w:vertAlign w:val="subscript"/>
          <w:lang w:val="en-US"/>
        </w:rPr>
        <w:t>3</w:t>
      </w:r>
      <w:r w:rsidRPr="00B55D35">
        <w:rPr>
          <w:szCs w:val="28"/>
          <w:lang w:val="en-US"/>
        </w:rPr>
        <w:t>PO</w:t>
      </w:r>
      <w:r w:rsidRPr="00B55D35">
        <w:rPr>
          <w:szCs w:val="28"/>
          <w:vertAlign w:val="subscript"/>
          <w:lang w:val="en-US"/>
        </w:rPr>
        <w:t xml:space="preserve">4 </w:t>
      </w:r>
      <w:r w:rsidRPr="00B55D35">
        <w:rPr>
          <w:lang w:val="en-US"/>
        </w:rPr>
        <w:t xml:space="preserve">prove to be promising candidates </w:t>
      </w:r>
      <w:r w:rsidR="002A624C">
        <w:rPr>
          <w:lang w:val="en-US"/>
        </w:rPr>
        <w:t>for</w:t>
      </w:r>
      <w:r w:rsidR="002A624C" w:rsidRPr="00B55D35">
        <w:rPr>
          <w:lang w:val="en-US"/>
        </w:rPr>
        <w:t xml:space="preserve"> </w:t>
      </w:r>
      <w:r w:rsidR="002A624C">
        <w:rPr>
          <w:lang w:val="en-US"/>
        </w:rPr>
        <w:t xml:space="preserve">producing </w:t>
      </w:r>
      <w:r w:rsidR="00487370">
        <w:rPr>
          <w:lang w:val="en-US"/>
        </w:rPr>
        <w:t>low density foam glasses</w:t>
      </w:r>
      <w:r w:rsidR="001640C7">
        <w:rPr>
          <w:lang w:val="en-US"/>
        </w:rPr>
        <w:t>. In addition, the foam glasses prepared from K</w:t>
      </w:r>
      <w:r w:rsidR="001640C7" w:rsidRPr="001640C7">
        <w:rPr>
          <w:vertAlign w:val="subscript"/>
          <w:lang w:val="en-US"/>
        </w:rPr>
        <w:t>3</w:t>
      </w:r>
      <w:r w:rsidR="001640C7">
        <w:rPr>
          <w:lang w:val="en-US"/>
        </w:rPr>
        <w:t>PO</w:t>
      </w:r>
      <w:r w:rsidR="001640C7" w:rsidRPr="001640C7">
        <w:rPr>
          <w:vertAlign w:val="subscript"/>
          <w:lang w:val="en-US"/>
        </w:rPr>
        <w:t>4</w:t>
      </w:r>
      <w:r w:rsidR="001640C7">
        <w:rPr>
          <w:lang w:val="en-US"/>
        </w:rPr>
        <w:t xml:space="preserve"> prove to have a higher degree of closed pores. </w:t>
      </w:r>
    </w:p>
    <w:sectPr w:rsidR="00232A87" w:rsidRPr="00B55D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50"/>
    <w:rsid w:val="001640C7"/>
    <w:rsid w:val="001D3650"/>
    <w:rsid w:val="00232A87"/>
    <w:rsid w:val="0028294A"/>
    <w:rsid w:val="002A624C"/>
    <w:rsid w:val="00361FD7"/>
    <w:rsid w:val="003B5F90"/>
    <w:rsid w:val="003D4CC8"/>
    <w:rsid w:val="00415AD9"/>
    <w:rsid w:val="00426552"/>
    <w:rsid w:val="00487370"/>
    <w:rsid w:val="0082277E"/>
    <w:rsid w:val="008328A9"/>
    <w:rsid w:val="008D04E2"/>
    <w:rsid w:val="009D52B8"/>
    <w:rsid w:val="00A17FB5"/>
    <w:rsid w:val="00A4522C"/>
    <w:rsid w:val="00A63838"/>
    <w:rsid w:val="00BC5B03"/>
    <w:rsid w:val="00C53E9C"/>
    <w:rsid w:val="00D52274"/>
    <w:rsid w:val="00DA5599"/>
    <w:rsid w:val="00F651B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73DD"/>
  <w15:docId w15:val="{FF7E3500-6B0C-41FA-9849-921583F9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1D3650"/>
    <w:rPr>
      <w:sz w:val="16"/>
      <w:szCs w:val="16"/>
    </w:rPr>
  </w:style>
  <w:style w:type="paragraph" w:styleId="Kommentartekst">
    <w:name w:val="annotation text"/>
    <w:basedOn w:val="Normal"/>
    <w:link w:val="KommentartekstTegn"/>
    <w:uiPriority w:val="99"/>
    <w:semiHidden/>
    <w:unhideWhenUsed/>
    <w:rsid w:val="001D3650"/>
    <w:pPr>
      <w:spacing w:after="200" w:line="240" w:lineRule="auto"/>
    </w:pPr>
    <w:rPr>
      <w:sz w:val="20"/>
      <w:szCs w:val="20"/>
      <w:lang w:val="en-US"/>
    </w:rPr>
  </w:style>
  <w:style w:type="character" w:customStyle="1" w:styleId="KommentartekstTegn">
    <w:name w:val="Kommentartekst Tegn"/>
    <w:basedOn w:val="Standardskrifttypeiafsnit"/>
    <w:link w:val="Kommentartekst"/>
    <w:uiPriority w:val="99"/>
    <w:semiHidden/>
    <w:rsid w:val="001D3650"/>
    <w:rPr>
      <w:sz w:val="20"/>
      <w:szCs w:val="20"/>
      <w:lang w:val="en-US"/>
    </w:rPr>
  </w:style>
  <w:style w:type="paragraph" w:styleId="Markeringsbobletekst">
    <w:name w:val="Balloon Text"/>
    <w:basedOn w:val="Normal"/>
    <w:link w:val="MarkeringsbobletekstTegn"/>
    <w:uiPriority w:val="99"/>
    <w:semiHidden/>
    <w:unhideWhenUsed/>
    <w:rsid w:val="001D36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3650"/>
    <w:rPr>
      <w:rFonts w:ascii="Segoe UI" w:hAnsi="Segoe UI" w:cs="Segoe UI"/>
      <w:sz w:val="18"/>
      <w:szCs w:val="18"/>
    </w:rPr>
  </w:style>
  <w:style w:type="character" w:styleId="Hyperlink">
    <w:name w:val="Hyperlink"/>
    <w:basedOn w:val="Standardskrifttypeiafsnit"/>
    <w:uiPriority w:val="99"/>
    <w:unhideWhenUsed/>
    <w:rsid w:val="00232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bo@bio.a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93413-36A5-4C3A-9E8E-19A24446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Bonderup Østergaard</dc:creator>
  <cp:keywords/>
  <dc:description/>
  <cp:lastModifiedBy>Martin Bonderup Østergaard</cp:lastModifiedBy>
  <cp:revision>2</cp:revision>
  <dcterms:created xsi:type="dcterms:W3CDTF">2018-07-03T06:58:00Z</dcterms:created>
  <dcterms:modified xsi:type="dcterms:W3CDTF">2018-07-03T06:58:00Z</dcterms:modified>
</cp:coreProperties>
</file>