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C9CB" w14:textId="4DEAE910" w:rsidR="00345BCE" w:rsidRDefault="00920B15">
      <w:pPr>
        <w:rPr>
          <w:lang w:val="en-US"/>
        </w:rPr>
      </w:pPr>
      <w:r>
        <w:rPr>
          <w:lang w:val="en-US"/>
        </w:rPr>
        <w:t xml:space="preserve">Draft </w:t>
      </w:r>
      <w:r w:rsidR="00345BCE">
        <w:rPr>
          <w:lang w:val="en-US"/>
        </w:rPr>
        <w:t>Letter</w:t>
      </w:r>
      <w:r>
        <w:rPr>
          <w:lang w:val="en-US"/>
        </w:rPr>
        <w:t xml:space="preserve"> to the editor of Impact Assessment and Project Appraisal</w:t>
      </w:r>
    </w:p>
    <w:p w14:paraId="6B64D7CC" w14:textId="2C1666C5" w:rsidR="00112B63" w:rsidRPr="00506A49" w:rsidRDefault="00345BCE">
      <w:pPr>
        <w:rPr>
          <w:b/>
          <w:lang w:val="en-US"/>
        </w:rPr>
      </w:pPr>
      <w:r w:rsidRPr="00506A49">
        <w:rPr>
          <w:b/>
          <w:lang w:val="en-US"/>
        </w:rPr>
        <w:t>Can Tour de France inspire SEA effectiveness? A</w:t>
      </w:r>
      <w:r w:rsidR="008E5C3B" w:rsidRPr="00506A49">
        <w:rPr>
          <w:b/>
          <w:lang w:val="en-US"/>
        </w:rPr>
        <w:t>n</w:t>
      </w:r>
      <w:r w:rsidRPr="00506A49">
        <w:rPr>
          <w:b/>
          <w:lang w:val="en-US"/>
        </w:rPr>
        <w:t xml:space="preserve"> </w:t>
      </w:r>
      <w:r w:rsidR="00673853" w:rsidRPr="00506A49">
        <w:rPr>
          <w:b/>
          <w:lang w:val="en-US"/>
        </w:rPr>
        <w:t>analogy</w:t>
      </w:r>
      <w:r w:rsidRPr="00506A49">
        <w:rPr>
          <w:b/>
          <w:lang w:val="en-US"/>
        </w:rPr>
        <w:t xml:space="preserve"> </w:t>
      </w:r>
      <w:r w:rsidR="00506A49" w:rsidRPr="00506A49">
        <w:rPr>
          <w:b/>
          <w:lang w:val="en-US"/>
        </w:rPr>
        <w:t xml:space="preserve">to </w:t>
      </w:r>
      <w:r w:rsidR="005473B8">
        <w:rPr>
          <w:b/>
          <w:lang w:val="en-US"/>
        </w:rPr>
        <w:t xml:space="preserve">encourage </w:t>
      </w:r>
      <w:r w:rsidR="00506A49" w:rsidRPr="00506A49">
        <w:rPr>
          <w:b/>
          <w:lang w:val="en-US"/>
        </w:rPr>
        <w:t>a broader system thinking</w:t>
      </w:r>
    </w:p>
    <w:p w14:paraId="05CC6086" w14:textId="77777777" w:rsidR="00506A49" w:rsidRDefault="00506A49">
      <w:pPr>
        <w:rPr>
          <w:lang w:val="en-US"/>
        </w:rPr>
      </w:pPr>
    </w:p>
    <w:p w14:paraId="325926EC" w14:textId="5D5C4120" w:rsidR="00345BCE" w:rsidRDefault="00345BCE">
      <w:pPr>
        <w:rPr>
          <w:lang w:val="en-US"/>
        </w:rPr>
      </w:pPr>
      <w:r>
        <w:rPr>
          <w:lang w:val="en-US"/>
        </w:rPr>
        <w:t xml:space="preserve">Effectiveness is </w:t>
      </w:r>
      <w:r w:rsidR="00DA32B3">
        <w:rPr>
          <w:lang w:val="en-US"/>
        </w:rPr>
        <w:t xml:space="preserve">intensely </w:t>
      </w:r>
      <w:r>
        <w:rPr>
          <w:lang w:val="en-US"/>
        </w:rPr>
        <w:t>debated in this journal (</w:t>
      </w:r>
      <w:r w:rsidR="00DC12D5">
        <w:rPr>
          <w:lang w:val="en-US"/>
        </w:rPr>
        <w:t xml:space="preserve">e.g. the </w:t>
      </w:r>
      <w:r>
        <w:rPr>
          <w:lang w:val="en-US"/>
        </w:rPr>
        <w:t>2019 special issue</w:t>
      </w:r>
      <w:r w:rsidR="00A77FC9">
        <w:rPr>
          <w:lang w:val="en-US"/>
        </w:rPr>
        <w:t xml:space="preserve"> made by Therivel and Gonzales 2019</w:t>
      </w:r>
      <w:r w:rsidR="00920B15">
        <w:rPr>
          <w:lang w:val="en-US"/>
        </w:rPr>
        <w:t xml:space="preserve"> and</w:t>
      </w:r>
      <w:r w:rsidR="00DA32B3">
        <w:rPr>
          <w:lang w:val="en-US"/>
        </w:rPr>
        <w:t xml:space="preserve"> </w:t>
      </w:r>
      <w:r w:rsidR="00DC12D5">
        <w:rPr>
          <w:lang w:val="en-US"/>
        </w:rPr>
        <w:t>Cashmore et al. 2020)</w:t>
      </w:r>
      <w:r>
        <w:rPr>
          <w:lang w:val="en-US"/>
        </w:rPr>
        <w:t xml:space="preserve">. </w:t>
      </w:r>
      <w:r w:rsidR="00517C44">
        <w:rPr>
          <w:lang w:val="en-US"/>
        </w:rPr>
        <w:t xml:space="preserve">SEA effectiveness is often understood as </w:t>
      </w:r>
      <w:r w:rsidR="00517C44" w:rsidRPr="00517C44">
        <w:rPr>
          <w:lang w:val="en-US"/>
        </w:rPr>
        <w:t xml:space="preserve">‘how well [SEA] works or whether it works as intended and meets the purposes for which it is designed’ (Sadler 1996). </w:t>
      </w:r>
      <w:r>
        <w:rPr>
          <w:lang w:val="en-US"/>
        </w:rPr>
        <w:t xml:space="preserve">The debates centers around </w:t>
      </w:r>
      <w:r w:rsidR="00DC12D5">
        <w:rPr>
          <w:lang w:val="en-US"/>
        </w:rPr>
        <w:t>a series of elements related to SEA</w:t>
      </w:r>
      <w:r>
        <w:rPr>
          <w:lang w:val="en-US"/>
        </w:rPr>
        <w:t>,</w:t>
      </w:r>
      <w:r w:rsidR="00DA32B3">
        <w:rPr>
          <w:lang w:val="en-US"/>
        </w:rPr>
        <w:t xml:space="preserve"> e.g. competences, </w:t>
      </w:r>
      <w:r w:rsidR="00517C44">
        <w:rPr>
          <w:lang w:val="en-US"/>
        </w:rPr>
        <w:t>guidance and</w:t>
      </w:r>
      <w:r w:rsidR="00DA32B3">
        <w:rPr>
          <w:lang w:val="en-US"/>
        </w:rPr>
        <w:t xml:space="preserve"> </w:t>
      </w:r>
      <w:r w:rsidR="00517C44">
        <w:rPr>
          <w:lang w:val="en-US"/>
        </w:rPr>
        <w:t>legislation</w:t>
      </w:r>
      <w:r w:rsidR="00DA32B3">
        <w:rPr>
          <w:lang w:val="en-US"/>
        </w:rPr>
        <w:t>.</w:t>
      </w:r>
      <w:r>
        <w:rPr>
          <w:lang w:val="en-US"/>
        </w:rPr>
        <w:t xml:space="preserve"> </w:t>
      </w:r>
      <w:r w:rsidR="00DA32B3">
        <w:rPr>
          <w:lang w:val="en-US"/>
        </w:rPr>
        <w:t xml:space="preserve">At the same time, a strong discourse on SEA and its contribution to UN </w:t>
      </w:r>
      <w:r w:rsidR="00D16083">
        <w:rPr>
          <w:lang w:val="en-US"/>
        </w:rPr>
        <w:t xml:space="preserve">Sustainable </w:t>
      </w:r>
      <w:r w:rsidR="00DA32B3">
        <w:rPr>
          <w:lang w:val="en-US"/>
        </w:rPr>
        <w:t xml:space="preserve">Development Goals </w:t>
      </w:r>
      <w:r w:rsidR="00D16083">
        <w:rPr>
          <w:lang w:val="en-US"/>
        </w:rPr>
        <w:t xml:space="preserve">(SDGs) </w:t>
      </w:r>
      <w:r w:rsidR="00DA32B3">
        <w:rPr>
          <w:lang w:val="en-US"/>
        </w:rPr>
        <w:t>is evolving with the aim of changing society to become more sustainable (</w:t>
      </w:r>
      <w:r w:rsidR="00DE410E">
        <w:rPr>
          <w:lang w:val="en-US"/>
        </w:rPr>
        <w:t>UN</w:t>
      </w:r>
      <w:r w:rsidR="007F4CE1">
        <w:rPr>
          <w:lang w:val="en-US"/>
        </w:rPr>
        <w:t>ECE</w:t>
      </w:r>
      <w:r w:rsidR="00DE410E">
        <w:rPr>
          <w:lang w:val="en-US"/>
        </w:rPr>
        <w:t xml:space="preserve"> 2017, Kørnøv et al. 2000, </w:t>
      </w:r>
      <w:r w:rsidR="00DE410E" w:rsidRPr="00DE410E">
        <w:rPr>
          <w:rFonts w:eastAsia="Arial"/>
          <w:lang w:val="en-US"/>
        </w:rPr>
        <w:t>González Del Campo et al. 2020</w:t>
      </w:r>
      <w:r w:rsidR="00DA32B3">
        <w:rPr>
          <w:lang w:val="en-US"/>
        </w:rPr>
        <w:t>). A</w:t>
      </w:r>
      <w:r>
        <w:rPr>
          <w:lang w:val="en-US"/>
        </w:rPr>
        <w:t xml:space="preserve">s we will argue in this letter, </w:t>
      </w:r>
      <w:r w:rsidR="00DA32B3">
        <w:rPr>
          <w:lang w:val="en-US"/>
        </w:rPr>
        <w:t xml:space="preserve">these ambitions require us to reconsider </w:t>
      </w:r>
      <w:r w:rsidR="00774DE3">
        <w:rPr>
          <w:lang w:val="en-US"/>
        </w:rPr>
        <w:t xml:space="preserve">our </w:t>
      </w:r>
      <w:r w:rsidR="00014867">
        <w:rPr>
          <w:lang w:val="en-US"/>
        </w:rPr>
        <w:t xml:space="preserve">approach to </w:t>
      </w:r>
      <w:r w:rsidR="00FC7D6B">
        <w:rPr>
          <w:lang w:val="en-US"/>
        </w:rPr>
        <w:t xml:space="preserve">SEA </w:t>
      </w:r>
      <w:r>
        <w:rPr>
          <w:lang w:val="en-US"/>
        </w:rPr>
        <w:t>effectiveness</w:t>
      </w:r>
      <w:r w:rsidR="00DA32B3">
        <w:rPr>
          <w:lang w:val="en-US"/>
        </w:rPr>
        <w:t>,</w:t>
      </w:r>
      <w:r>
        <w:rPr>
          <w:lang w:val="en-US"/>
        </w:rPr>
        <w:t xml:space="preserve"> </w:t>
      </w:r>
      <w:r w:rsidR="00DA32B3">
        <w:rPr>
          <w:lang w:val="en-US"/>
        </w:rPr>
        <w:t xml:space="preserve">as it </w:t>
      </w:r>
      <w:r w:rsidR="00D16083">
        <w:rPr>
          <w:lang w:val="en-US"/>
        </w:rPr>
        <w:t xml:space="preserve">usually has </w:t>
      </w:r>
      <w:r w:rsidR="00FC7D6B">
        <w:rPr>
          <w:lang w:val="en-US"/>
        </w:rPr>
        <w:t xml:space="preserve">too narrow </w:t>
      </w:r>
      <w:r w:rsidR="00D16083">
        <w:rPr>
          <w:lang w:val="en-US"/>
        </w:rPr>
        <w:t xml:space="preserve">a </w:t>
      </w:r>
      <w:r w:rsidR="00FC7D6B">
        <w:rPr>
          <w:lang w:val="en-US"/>
        </w:rPr>
        <w:t>focus for these ambitions</w:t>
      </w:r>
      <w:r w:rsidR="00DA32B3">
        <w:rPr>
          <w:lang w:val="en-US"/>
        </w:rPr>
        <w:t xml:space="preserve">. Rather, we need to employ </w:t>
      </w:r>
      <w:r>
        <w:rPr>
          <w:lang w:val="en-US"/>
        </w:rPr>
        <w:t>a wider system perspective</w:t>
      </w:r>
      <w:r w:rsidR="00DA32B3">
        <w:rPr>
          <w:lang w:val="en-US"/>
        </w:rPr>
        <w:t xml:space="preserve"> on change and effectiveness</w:t>
      </w:r>
      <w:r>
        <w:rPr>
          <w:lang w:val="en-US"/>
        </w:rPr>
        <w:t xml:space="preserve">. For that purpose, we use the </w:t>
      </w:r>
      <w:r w:rsidR="00673853">
        <w:rPr>
          <w:lang w:val="en-US"/>
        </w:rPr>
        <w:t>analogy</w:t>
      </w:r>
      <w:r>
        <w:rPr>
          <w:lang w:val="en-US"/>
        </w:rPr>
        <w:t xml:space="preserve"> of Tour de France. This may at first seem odd or even obscure, but unconventional </w:t>
      </w:r>
      <w:r w:rsidR="00673853">
        <w:rPr>
          <w:lang w:val="en-US"/>
        </w:rPr>
        <w:t>analogies</w:t>
      </w:r>
      <w:r>
        <w:rPr>
          <w:lang w:val="en-US"/>
        </w:rPr>
        <w:t xml:space="preserve"> have previously shown to bring thoughts and viewpoints out of the comfort zone and thereby allow new insight (see e.g. Weick’s  (2001) use of jazz music as a</w:t>
      </w:r>
      <w:r w:rsidR="008E5C3B">
        <w:rPr>
          <w:lang w:val="en-US"/>
        </w:rPr>
        <w:t>n</w:t>
      </w:r>
      <w:r>
        <w:rPr>
          <w:lang w:val="en-US"/>
        </w:rPr>
        <w:t xml:space="preserve"> </w:t>
      </w:r>
      <w:r w:rsidR="00673853">
        <w:rPr>
          <w:lang w:val="en-US"/>
        </w:rPr>
        <w:t>analogy</w:t>
      </w:r>
      <w:r>
        <w:rPr>
          <w:lang w:val="en-US"/>
        </w:rPr>
        <w:t xml:space="preserve"> for how we make sense of our surroundings)</w:t>
      </w:r>
      <w:r w:rsidR="00DE000D">
        <w:rPr>
          <w:lang w:val="en-US"/>
        </w:rPr>
        <w:t>.</w:t>
      </w:r>
    </w:p>
    <w:p w14:paraId="4697CCA2" w14:textId="15E64090" w:rsidR="00F42DA1" w:rsidRDefault="0039309E">
      <w:pPr>
        <w:rPr>
          <w:lang w:val="en-US"/>
        </w:rPr>
      </w:pPr>
      <w:r>
        <w:rPr>
          <w:lang w:val="en-US"/>
        </w:rPr>
        <w:t>W</w:t>
      </w:r>
      <w:r w:rsidR="00F42DA1" w:rsidRPr="00F42DA1">
        <w:rPr>
          <w:lang w:val="en-US"/>
        </w:rPr>
        <w:t xml:space="preserve">e </w:t>
      </w:r>
      <w:r w:rsidR="00F42DA1">
        <w:rPr>
          <w:lang w:val="en-US"/>
        </w:rPr>
        <w:t xml:space="preserve">will </w:t>
      </w:r>
      <w:r w:rsidR="00F42DA1" w:rsidRPr="00F42DA1">
        <w:rPr>
          <w:lang w:val="en-US"/>
        </w:rPr>
        <w:t xml:space="preserve">compare the </w:t>
      </w:r>
      <w:r w:rsidR="00F42DA1">
        <w:rPr>
          <w:lang w:val="en-US"/>
        </w:rPr>
        <w:t>“instrument” SEA with the bicycle as an instrument</w:t>
      </w:r>
      <w:r w:rsidR="00F46549">
        <w:rPr>
          <w:lang w:val="en-US"/>
        </w:rPr>
        <w:t xml:space="preserve"> and </w:t>
      </w:r>
      <w:r w:rsidR="00733593">
        <w:rPr>
          <w:lang w:val="en-US"/>
        </w:rPr>
        <w:t xml:space="preserve">the </w:t>
      </w:r>
      <w:commentRangeStart w:id="0"/>
      <w:r>
        <w:rPr>
          <w:lang w:val="en-US"/>
        </w:rPr>
        <w:t xml:space="preserve">Tour </w:t>
      </w:r>
      <w:r w:rsidR="00733593">
        <w:rPr>
          <w:lang w:val="en-US"/>
        </w:rPr>
        <w:t xml:space="preserve">competition </w:t>
      </w:r>
      <w:commentRangeEnd w:id="0"/>
      <w:r w:rsidR="00F46549">
        <w:rPr>
          <w:rStyle w:val="Kommentarhenvisning"/>
        </w:rPr>
        <w:commentReference w:id="0"/>
      </w:r>
      <w:r w:rsidR="00DE410E">
        <w:rPr>
          <w:lang w:val="en-US"/>
        </w:rPr>
        <w:t xml:space="preserve">with </w:t>
      </w:r>
      <w:r w:rsidR="00733593">
        <w:rPr>
          <w:lang w:val="en-US"/>
        </w:rPr>
        <w:t xml:space="preserve">the effort of </w:t>
      </w:r>
      <w:r w:rsidR="00D16083">
        <w:rPr>
          <w:lang w:val="en-US"/>
        </w:rPr>
        <w:t>contributing to the SDGs</w:t>
      </w:r>
      <w:r w:rsidR="00DE410E">
        <w:rPr>
          <w:lang w:val="en-US"/>
        </w:rPr>
        <w:t xml:space="preserve"> through SEA</w:t>
      </w:r>
      <w:r w:rsidR="00F42DA1">
        <w:rPr>
          <w:lang w:val="en-US"/>
        </w:rPr>
        <w:t xml:space="preserve">. The </w:t>
      </w:r>
      <w:r w:rsidR="007C3E4B">
        <w:rPr>
          <w:lang w:val="en-US"/>
        </w:rPr>
        <w:t xml:space="preserve">actors involved in the </w:t>
      </w:r>
      <w:r w:rsidR="00F42DA1">
        <w:rPr>
          <w:lang w:val="en-US"/>
        </w:rPr>
        <w:t xml:space="preserve">Tour </w:t>
      </w:r>
      <w:r w:rsidR="007C3E4B">
        <w:rPr>
          <w:lang w:val="en-US"/>
        </w:rPr>
        <w:t xml:space="preserve">are equaled to actors involved making change through SEA, as processes involves the use of an </w:t>
      </w:r>
      <w:r w:rsidR="00F42DA1">
        <w:rPr>
          <w:lang w:val="en-US"/>
        </w:rPr>
        <w:t>instrument to go through a (oft</w:t>
      </w:r>
      <w:r w:rsidR="005F3903">
        <w:rPr>
          <w:lang w:val="en-US"/>
        </w:rPr>
        <w:t xml:space="preserve">en demanding) process to </w:t>
      </w:r>
      <w:r w:rsidR="007C3E4B">
        <w:rPr>
          <w:lang w:val="en-US"/>
        </w:rPr>
        <w:t>achieve the goals</w:t>
      </w:r>
      <w:r w:rsidR="00F42DA1">
        <w:rPr>
          <w:lang w:val="en-US"/>
        </w:rPr>
        <w:t xml:space="preserve">. Comparing SEA with a bicycle makes sense as to the fact that </w:t>
      </w:r>
      <w:r w:rsidR="00DE410E">
        <w:rPr>
          <w:lang w:val="en-US"/>
        </w:rPr>
        <w:t xml:space="preserve">SEA </w:t>
      </w:r>
      <w:r w:rsidR="00F42DA1">
        <w:rPr>
          <w:lang w:val="en-US"/>
        </w:rPr>
        <w:t>is a</w:t>
      </w:r>
      <w:r w:rsidR="0082343A">
        <w:rPr>
          <w:lang w:val="en-US"/>
        </w:rPr>
        <w:t>n international</w:t>
      </w:r>
      <w:r w:rsidR="00F42DA1">
        <w:rPr>
          <w:lang w:val="en-US"/>
        </w:rPr>
        <w:t xml:space="preserve"> </w:t>
      </w:r>
      <w:r w:rsidR="00DE410E">
        <w:rPr>
          <w:lang w:val="en-US"/>
        </w:rPr>
        <w:t>well-defined “</w:t>
      </w:r>
      <w:r w:rsidR="00F42DA1">
        <w:rPr>
          <w:lang w:val="en-US"/>
        </w:rPr>
        <w:t>instrument</w:t>
      </w:r>
      <w:r w:rsidR="00DE410E">
        <w:rPr>
          <w:lang w:val="en-US"/>
        </w:rPr>
        <w:t>”</w:t>
      </w:r>
      <w:r w:rsidR="00F42DA1">
        <w:rPr>
          <w:lang w:val="en-US"/>
        </w:rPr>
        <w:t xml:space="preserve"> that is highly depending on how human uses it. Many resources are invested in optimizing </w:t>
      </w:r>
      <w:r w:rsidR="007C3E4B">
        <w:rPr>
          <w:lang w:val="en-US"/>
        </w:rPr>
        <w:t>both instruments</w:t>
      </w:r>
      <w:r w:rsidR="00F42DA1">
        <w:rPr>
          <w:lang w:val="en-US"/>
        </w:rPr>
        <w:t>, hereunder its design and how user-friendly it is.</w:t>
      </w:r>
    </w:p>
    <w:p w14:paraId="4892398B" w14:textId="3D477F19" w:rsidR="00F42DA1" w:rsidRDefault="00F42DA1">
      <w:pPr>
        <w:rPr>
          <w:lang w:val="en-US"/>
        </w:rPr>
      </w:pPr>
      <w:r>
        <w:rPr>
          <w:lang w:val="en-US"/>
        </w:rPr>
        <w:t xml:space="preserve">However, although the optimization of the bicycle is important, it is only one among many parameters that is decisive for the success of the cyclist. A superb bicycle cannot make everyone </w:t>
      </w:r>
      <w:r w:rsidR="002462BE">
        <w:rPr>
          <w:lang w:val="en-US"/>
        </w:rPr>
        <w:t>win a stage</w:t>
      </w:r>
      <w:r>
        <w:rPr>
          <w:lang w:val="en-US"/>
        </w:rPr>
        <w:t xml:space="preserve">. </w:t>
      </w:r>
      <w:r w:rsidR="002462BE">
        <w:rPr>
          <w:lang w:val="en-US"/>
        </w:rPr>
        <w:t>So we need to go beyo</w:t>
      </w:r>
      <w:r w:rsidR="0082343A">
        <w:rPr>
          <w:lang w:val="en-US"/>
        </w:rPr>
        <w:t>nd the instrument to understand</w:t>
      </w:r>
      <w:r w:rsidR="002462BE">
        <w:rPr>
          <w:lang w:val="en-US"/>
        </w:rPr>
        <w:t xml:space="preserve"> what makes a difference to the success of a cyclist. The Tour de France </w:t>
      </w:r>
      <w:r w:rsidR="00673853">
        <w:rPr>
          <w:lang w:val="en-US"/>
        </w:rPr>
        <w:t>analogy</w:t>
      </w:r>
      <w:r w:rsidR="002462BE">
        <w:rPr>
          <w:lang w:val="en-US"/>
        </w:rPr>
        <w:t xml:space="preserve"> may inspire our thinking about, what elements of the wider syst</w:t>
      </w:r>
      <w:r w:rsidR="00DE410E">
        <w:rPr>
          <w:lang w:val="en-US"/>
        </w:rPr>
        <w:t xml:space="preserve">em may </w:t>
      </w:r>
      <w:r w:rsidR="00475A61">
        <w:rPr>
          <w:lang w:val="en-US"/>
        </w:rPr>
        <w:t xml:space="preserve">be </w:t>
      </w:r>
      <w:r w:rsidR="00DE410E">
        <w:rPr>
          <w:lang w:val="en-US"/>
        </w:rPr>
        <w:t xml:space="preserve">interesting to consider </w:t>
      </w:r>
      <w:r w:rsidR="002462BE">
        <w:rPr>
          <w:lang w:val="en-US"/>
        </w:rPr>
        <w:t>when debating effectiveness.</w:t>
      </w:r>
    </w:p>
    <w:p w14:paraId="7AE3B10E" w14:textId="77777777" w:rsidR="007C3E4B" w:rsidRDefault="007C3E4B">
      <w:pPr>
        <w:rPr>
          <w:lang w:val="en-US"/>
        </w:rPr>
      </w:pPr>
    </w:p>
    <w:p w14:paraId="18BF91C0" w14:textId="395D6772" w:rsidR="00817EEC" w:rsidRPr="00817EEC" w:rsidRDefault="00817EEC">
      <w:pPr>
        <w:rPr>
          <w:b/>
          <w:lang w:val="en-US"/>
        </w:rPr>
      </w:pPr>
      <w:r w:rsidRPr="00817EEC">
        <w:rPr>
          <w:b/>
          <w:lang w:val="en-US"/>
        </w:rPr>
        <w:t>A system of actors</w:t>
      </w:r>
    </w:p>
    <w:p w14:paraId="2CB66968" w14:textId="0F3954C1" w:rsidR="002462BE" w:rsidRDefault="0082343A">
      <w:pPr>
        <w:rPr>
          <w:lang w:val="en-US"/>
        </w:rPr>
      </w:pPr>
      <w:r>
        <w:rPr>
          <w:lang w:val="en-US"/>
        </w:rPr>
        <w:t xml:space="preserve">The outline of actors relevant for achieving ambitions starts with the </w:t>
      </w:r>
      <w:r w:rsidR="002462BE">
        <w:rPr>
          <w:lang w:val="en-US"/>
        </w:rPr>
        <w:t>cyclist. She needs to be in a good shape</w:t>
      </w:r>
      <w:r w:rsidR="00014867">
        <w:rPr>
          <w:lang w:val="en-US"/>
        </w:rPr>
        <w:t>, have the right mindset,</w:t>
      </w:r>
      <w:r w:rsidR="002462BE">
        <w:rPr>
          <w:lang w:val="en-US"/>
        </w:rPr>
        <w:t xml:space="preserve"> and have the experience and intuition to know, when to be attentive and when to attack. Comparing the cyclist to the SEA </w:t>
      </w:r>
      <w:r w:rsidR="002462BE" w:rsidRPr="006070ED">
        <w:rPr>
          <w:u w:val="single"/>
          <w:lang w:val="en-US"/>
        </w:rPr>
        <w:t>practitioner</w:t>
      </w:r>
      <w:r w:rsidR="002462BE">
        <w:rPr>
          <w:lang w:val="en-US"/>
        </w:rPr>
        <w:t>, it is well described in EA literature that the practitioner is important for EA effectiveness (</w:t>
      </w:r>
      <w:r>
        <w:rPr>
          <w:lang w:val="en-US"/>
        </w:rPr>
        <w:t xml:space="preserve">e.g. </w:t>
      </w:r>
      <w:r w:rsidR="002462BE">
        <w:rPr>
          <w:lang w:val="en-US"/>
        </w:rPr>
        <w:t>Arts et al.</w:t>
      </w:r>
      <w:r w:rsidR="007F4CE1">
        <w:rPr>
          <w:lang w:val="en-US"/>
        </w:rPr>
        <w:t xml:space="preserve"> 2013</w:t>
      </w:r>
      <w:r w:rsidR="00475A61">
        <w:rPr>
          <w:lang w:val="en-US"/>
        </w:rPr>
        <w:t xml:space="preserve">, </w:t>
      </w:r>
      <w:r w:rsidR="00920B15">
        <w:rPr>
          <w:lang w:val="en-US"/>
        </w:rPr>
        <w:t xml:space="preserve">Runhaar et al. 2013, </w:t>
      </w:r>
      <w:r w:rsidR="00475A61">
        <w:rPr>
          <w:lang w:val="en-US"/>
        </w:rPr>
        <w:t xml:space="preserve">Zhang et al. 2018, </w:t>
      </w:r>
      <w:r w:rsidR="00A06B48">
        <w:rPr>
          <w:lang w:val="en-US"/>
        </w:rPr>
        <w:t>Kørnøv et al.</w:t>
      </w:r>
      <w:r w:rsidR="00475A61">
        <w:rPr>
          <w:lang w:val="en-US"/>
        </w:rPr>
        <w:t xml:space="preserve"> 2015, </w:t>
      </w:r>
      <w:r w:rsidR="00A06B48">
        <w:rPr>
          <w:lang w:val="en-US"/>
        </w:rPr>
        <w:t>St</w:t>
      </w:r>
      <w:r w:rsidR="00475A61">
        <w:rPr>
          <w:lang w:val="en-US"/>
        </w:rPr>
        <w:t>o</w:t>
      </w:r>
      <w:r w:rsidR="00A06B48">
        <w:rPr>
          <w:lang w:val="en-US"/>
        </w:rPr>
        <w:t>egleh</w:t>
      </w:r>
      <w:r w:rsidR="00475A61">
        <w:rPr>
          <w:lang w:val="en-US"/>
        </w:rPr>
        <w:t>n</w:t>
      </w:r>
      <w:r w:rsidR="00A06B48">
        <w:rPr>
          <w:lang w:val="en-US"/>
        </w:rPr>
        <w:t>er et al.</w:t>
      </w:r>
      <w:r w:rsidR="00475A61">
        <w:rPr>
          <w:lang w:val="en-US"/>
        </w:rPr>
        <w:t xml:space="preserve"> 2009</w:t>
      </w:r>
      <w:r w:rsidR="00A06B48">
        <w:rPr>
          <w:lang w:val="en-US"/>
        </w:rPr>
        <w:t>).</w:t>
      </w:r>
    </w:p>
    <w:p w14:paraId="6CF68170" w14:textId="55FD09B6" w:rsidR="002462BE" w:rsidRDefault="002462BE" w:rsidP="005F3903">
      <w:pPr>
        <w:rPr>
          <w:lang w:val="en-US"/>
        </w:rPr>
      </w:pPr>
      <w:r>
        <w:rPr>
          <w:lang w:val="en-US"/>
        </w:rPr>
        <w:t xml:space="preserve">Secondly, the cyclist needs good </w:t>
      </w:r>
      <w:r w:rsidR="00920B15">
        <w:rPr>
          <w:lang w:val="en-US"/>
        </w:rPr>
        <w:t xml:space="preserve">at good team of cyclists </w:t>
      </w:r>
      <w:r>
        <w:rPr>
          <w:lang w:val="en-US"/>
        </w:rPr>
        <w:t>to support her in the process, e.g. by taking leads from time to time</w:t>
      </w:r>
      <w:r w:rsidR="0082343A">
        <w:rPr>
          <w:lang w:val="en-US"/>
        </w:rPr>
        <w:t>, inform about the situation,</w:t>
      </w:r>
      <w:r>
        <w:rPr>
          <w:lang w:val="en-US"/>
        </w:rPr>
        <w:t xml:space="preserve"> and </w:t>
      </w:r>
      <w:r w:rsidR="0082343A">
        <w:rPr>
          <w:lang w:val="en-US"/>
        </w:rPr>
        <w:t>discuss strategies</w:t>
      </w:r>
      <w:r>
        <w:rPr>
          <w:lang w:val="en-US"/>
        </w:rPr>
        <w:t xml:space="preserve">. </w:t>
      </w:r>
      <w:r w:rsidR="005F3903">
        <w:rPr>
          <w:lang w:val="en-US"/>
        </w:rPr>
        <w:t xml:space="preserve">Whereas composition of competences in SEA teams are acknowledged (e.g. </w:t>
      </w:r>
      <w:r w:rsidR="000A46F4">
        <w:rPr>
          <w:lang w:val="en-US"/>
        </w:rPr>
        <w:t>Zhang et al. 2013</w:t>
      </w:r>
      <w:r w:rsidR="005F3903">
        <w:rPr>
          <w:lang w:val="en-US"/>
        </w:rPr>
        <w:t xml:space="preserve">, </w:t>
      </w:r>
      <w:r w:rsidR="005F3903" w:rsidRPr="005F3903">
        <w:rPr>
          <w:lang w:val="en-US"/>
        </w:rPr>
        <w:t>Thérivel</w:t>
      </w:r>
      <w:r w:rsidR="005F3903">
        <w:rPr>
          <w:lang w:val="en-US"/>
        </w:rPr>
        <w:t xml:space="preserve"> </w:t>
      </w:r>
      <w:r w:rsidR="005F3903" w:rsidRPr="005F3903">
        <w:rPr>
          <w:lang w:val="en-US"/>
        </w:rPr>
        <w:t>and Minas 2</w:t>
      </w:r>
      <w:r w:rsidR="005F3903">
        <w:rPr>
          <w:lang w:val="en-US"/>
        </w:rPr>
        <w:t>002), the importance of their cooperation and performance as a team</w:t>
      </w:r>
      <w:r w:rsidR="000A46F4">
        <w:rPr>
          <w:lang w:val="en-US"/>
        </w:rPr>
        <w:t xml:space="preserve"> </w:t>
      </w:r>
      <w:r w:rsidR="005F3903">
        <w:rPr>
          <w:lang w:val="en-US"/>
        </w:rPr>
        <w:t xml:space="preserve">seems underexplored </w:t>
      </w:r>
      <w:r>
        <w:rPr>
          <w:lang w:val="en-US"/>
        </w:rPr>
        <w:t>in EA literature on effectiveness</w:t>
      </w:r>
      <w:r w:rsidR="005F3903">
        <w:rPr>
          <w:lang w:val="en-US"/>
        </w:rPr>
        <w:t>.</w:t>
      </w:r>
    </w:p>
    <w:p w14:paraId="47D08A8A" w14:textId="2B89B456" w:rsidR="002462BE" w:rsidRDefault="002462BE" w:rsidP="00345BCE">
      <w:pPr>
        <w:rPr>
          <w:lang w:val="en-US"/>
        </w:rPr>
      </w:pPr>
      <w:r w:rsidRPr="002462BE">
        <w:rPr>
          <w:lang w:val="en-US"/>
        </w:rPr>
        <w:t xml:space="preserve">Thirdly, the </w:t>
      </w:r>
      <w:commentRangeStart w:id="1"/>
      <w:commentRangeStart w:id="2"/>
      <w:r w:rsidRPr="002462BE">
        <w:rPr>
          <w:lang w:val="en-US"/>
        </w:rPr>
        <w:t xml:space="preserve">manager of the team </w:t>
      </w:r>
      <w:commentRangeEnd w:id="1"/>
      <w:r w:rsidR="007F4CE1">
        <w:rPr>
          <w:rStyle w:val="Kommentarhenvisning"/>
        </w:rPr>
        <w:commentReference w:id="1"/>
      </w:r>
      <w:commentRangeEnd w:id="2"/>
      <w:r w:rsidR="00DA6FAA">
        <w:rPr>
          <w:rStyle w:val="Kommentarhenvisning"/>
        </w:rPr>
        <w:commentReference w:id="2"/>
      </w:r>
      <w:r w:rsidR="0082343A">
        <w:rPr>
          <w:lang w:val="en-US"/>
        </w:rPr>
        <w:t xml:space="preserve">placed in the car behind the peloton </w:t>
      </w:r>
      <w:r w:rsidRPr="002462BE">
        <w:rPr>
          <w:lang w:val="en-US"/>
        </w:rPr>
        <w:t>must be a good strat</w:t>
      </w:r>
      <w:r>
        <w:rPr>
          <w:lang w:val="en-US"/>
        </w:rPr>
        <w:t xml:space="preserve">egist, when </w:t>
      </w:r>
      <w:r w:rsidR="004A48F5">
        <w:rPr>
          <w:lang w:val="en-US"/>
        </w:rPr>
        <w:t>assessing the situation and the work by the cyclist</w:t>
      </w:r>
      <w:r w:rsidR="00F46549">
        <w:rPr>
          <w:lang w:val="en-US"/>
        </w:rPr>
        <w:t>s</w:t>
      </w:r>
      <w:r w:rsidR="004A48F5">
        <w:rPr>
          <w:lang w:val="en-US"/>
        </w:rPr>
        <w:t xml:space="preserve">, when </w:t>
      </w:r>
      <w:r>
        <w:rPr>
          <w:lang w:val="en-US"/>
        </w:rPr>
        <w:t xml:space="preserve">making decisions among </w:t>
      </w:r>
      <w:r w:rsidR="004A48F5">
        <w:rPr>
          <w:lang w:val="en-US"/>
        </w:rPr>
        <w:t xml:space="preserve">alternative strategies. </w:t>
      </w:r>
      <w:r w:rsidR="004A48F5">
        <w:rPr>
          <w:lang w:val="en-US"/>
        </w:rPr>
        <w:lastRenderedPageBreak/>
        <w:t xml:space="preserve">Quite appropriately for our </w:t>
      </w:r>
      <w:r w:rsidR="00673853">
        <w:rPr>
          <w:lang w:val="en-US"/>
        </w:rPr>
        <w:t>analogy</w:t>
      </w:r>
      <w:r w:rsidR="004A48F5">
        <w:rPr>
          <w:lang w:val="en-US"/>
        </w:rPr>
        <w:t>, the character and relevance of the alternative strategies changes as time passes in the race</w:t>
      </w:r>
      <w:r w:rsidRPr="002462BE">
        <w:rPr>
          <w:lang w:val="en-US"/>
        </w:rPr>
        <w:t>.</w:t>
      </w:r>
      <w:r>
        <w:rPr>
          <w:lang w:val="en-US"/>
        </w:rPr>
        <w:t xml:space="preserve"> </w:t>
      </w:r>
      <w:r w:rsidR="004A48F5">
        <w:rPr>
          <w:lang w:val="en-US"/>
        </w:rPr>
        <w:t xml:space="preserve">The manager </w:t>
      </w:r>
      <w:r>
        <w:rPr>
          <w:lang w:val="en-US"/>
        </w:rPr>
        <w:t xml:space="preserve">may </w:t>
      </w:r>
      <w:r w:rsidR="004A48F5">
        <w:rPr>
          <w:lang w:val="en-US"/>
        </w:rPr>
        <w:t xml:space="preserve">compare to the </w:t>
      </w:r>
      <w:r w:rsidR="0082343A">
        <w:rPr>
          <w:lang w:val="en-US"/>
        </w:rPr>
        <w:t xml:space="preserve">SEA </w:t>
      </w:r>
      <w:r w:rsidR="00F46549">
        <w:rPr>
          <w:lang w:val="en-US"/>
        </w:rPr>
        <w:t>project leader</w:t>
      </w:r>
      <w:r w:rsidR="004A48F5">
        <w:rPr>
          <w:lang w:val="en-US"/>
        </w:rPr>
        <w:t xml:space="preserve">, who </w:t>
      </w:r>
      <w:r w:rsidR="0082343A">
        <w:rPr>
          <w:lang w:val="en-US"/>
        </w:rPr>
        <w:t>has the overall responsibility of the team’s performance</w:t>
      </w:r>
      <w:r w:rsidR="00F46549">
        <w:rPr>
          <w:lang w:val="en-US"/>
        </w:rPr>
        <w:t>. In terms of SEA effectiveness, the SEA project leader is e.g. found to have an important role in terms of communicating with decision-makers</w:t>
      </w:r>
      <w:r w:rsidR="004A48F5">
        <w:rPr>
          <w:lang w:val="en-US"/>
        </w:rPr>
        <w:t xml:space="preserve"> </w:t>
      </w:r>
      <w:r w:rsidR="009473F5">
        <w:rPr>
          <w:lang w:val="en-US"/>
        </w:rPr>
        <w:t>(</w:t>
      </w:r>
      <w:r w:rsidR="00111C58">
        <w:rPr>
          <w:lang w:val="en-US"/>
        </w:rPr>
        <w:t>V</w:t>
      </w:r>
      <w:r w:rsidR="009473F5">
        <w:rPr>
          <w:lang w:val="en-US"/>
        </w:rPr>
        <w:t>an Buuren and Nooteboom 2009)</w:t>
      </w:r>
      <w:r w:rsidR="00F46549">
        <w:rPr>
          <w:lang w:val="en-US"/>
        </w:rPr>
        <w:t>.</w:t>
      </w:r>
    </w:p>
    <w:p w14:paraId="265FBCDB" w14:textId="56C08B9F" w:rsidR="004A48F5" w:rsidRPr="004A48F5" w:rsidRDefault="004A48F5" w:rsidP="00345BCE">
      <w:pPr>
        <w:rPr>
          <w:lang w:val="en-US"/>
        </w:rPr>
      </w:pPr>
      <w:r>
        <w:rPr>
          <w:lang w:val="en-US"/>
        </w:rPr>
        <w:t>Fourthly, the sponsor</w:t>
      </w:r>
      <w:r w:rsidR="006070ED">
        <w:rPr>
          <w:lang w:val="en-US"/>
        </w:rPr>
        <w:t>s</w:t>
      </w:r>
      <w:r>
        <w:rPr>
          <w:lang w:val="en-US"/>
        </w:rPr>
        <w:t xml:space="preserve"> of the team of cyclists are critical for the success. Without a </w:t>
      </w:r>
      <w:r w:rsidR="00C53EE8">
        <w:rPr>
          <w:lang w:val="en-US"/>
        </w:rPr>
        <w:t>sponsor</w:t>
      </w:r>
      <w:r>
        <w:rPr>
          <w:lang w:val="en-US"/>
        </w:rPr>
        <w:t xml:space="preserve">, no cyclist or a cycle. The sponsor may not directly interfere with the race, but </w:t>
      </w:r>
      <w:r w:rsidR="00C53EE8">
        <w:rPr>
          <w:lang w:val="en-US"/>
        </w:rPr>
        <w:t>s</w:t>
      </w:r>
      <w:r>
        <w:rPr>
          <w:lang w:val="en-US"/>
        </w:rPr>
        <w:t xml:space="preserve">he has clear expectations to the results. </w:t>
      </w:r>
      <w:r w:rsidRPr="006070ED">
        <w:rPr>
          <w:lang w:val="en-US"/>
        </w:rPr>
        <w:t xml:space="preserve">For SEA effectiveness, this </w:t>
      </w:r>
      <w:r w:rsidR="006070ED" w:rsidRPr="006070ED">
        <w:rPr>
          <w:lang w:val="en-US"/>
        </w:rPr>
        <w:t>may compare to the decision-maker</w:t>
      </w:r>
      <w:r w:rsidR="006070ED">
        <w:rPr>
          <w:lang w:val="en-US"/>
        </w:rPr>
        <w:t xml:space="preserve">s among the </w:t>
      </w:r>
      <w:r w:rsidR="006070ED" w:rsidRPr="006070ED">
        <w:rPr>
          <w:u w:val="single"/>
          <w:lang w:val="en-US"/>
        </w:rPr>
        <w:t>developer and authorities</w:t>
      </w:r>
      <w:r w:rsidR="006070ED">
        <w:rPr>
          <w:lang w:val="en-US"/>
        </w:rPr>
        <w:t xml:space="preserve">. </w:t>
      </w:r>
      <w:r w:rsidR="00C53EE8">
        <w:rPr>
          <w:lang w:val="en-US"/>
        </w:rPr>
        <w:t xml:space="preserve">Their commitment is well known to be crucial for SEA effectiveness (e.g. Runhaar and Driessen, 2007; Sheate and Partidário, 2010). </w:t>
      </w:r>
    </w:p>
    <w:p w14:paraId="512E0C76" w14:textId="762AC799" w:rsidR="006070ED" w:rsidRPr="0025296B" w:rsidRDefault="006070ED" w:rsidP="006070ED">
      <w:pPr>
        <w:rPr>
          <w:lang w:val="en-US"/>
        </w:rPr>
      </w:pPr>
      <w:r>
        <w:rPr>
          <w:lang w:val="en-US"/>
        </w:rPr>
        <w:t xml:space="preserve">Fifthly, we have the audience, who can play an important role for the cyclist’s ambitions, either by encouraging her in difficult moments or being so engaged that it is difficult for the cyclist to see a way forward. </w:t>
      </w:r>
      <w:r w:rsidR="00DE000D">
        <w:rPr>
          <w:lang w:val="en-US"/>
        </w:rPr>
        <w:t xml:space="preserve">The audience </w:t>
      </w:r>
      <w:r w:rsidRPr="0025296B">
        <w:rPr>
          <w:lang w:val="en-US"/>
        </w:rPr>
        <w:t xml:space="preserve">may </w:t>
      </w:r>
      <w:r w:rsidR="00DE000D">
        <w:rPr>
          <w:lang w:val="en-US"/>
        </w:rPr>
        <w:t xml:space="preserve">compare with </w:t>
      </w:r>
      <w:r w:rsidRPr="006070ED">
        <w:rPr>
          <w:u w:val="single"/>
          <w:lang w:val="en-US"/>
        </w:rPr>
        <w:t>public</w:t>
      </w:r>
      <w:r w:rsidRPr="0025296B">
        <w:rPr>
          <w:lang w:val="en-US"/>
        </w:rPr>
        <w:t xml:space="preserve"> a</w:t>
      </w:r>
      <w:r>
        <w:rPr>
          <w:lang w:val="en-US"/>
        </w:rPr>
        <w:t xml:space="preserve">nd stakeholders in the </w:t>
      </w:r>
      <w:r w:rsidR="00DE000D">
        <w:rPr>
          <w:lang w:val="en-US"/>
        </w:rPr>
        <w:t xml:space="preserve">planning </w:t>
      </w:r>
      <w:r>
        <w:rPr>
          <w:lang w:val="en-US"/>
        </w:rPr>
        <w:t xml:space="preserve">process, although the level of encouragement and </w:t>
      </w:r>
      <w:r w:rsidR="0006669B">
        <w:rPr>
          <w:lang w:val="en-US"/>
        </w:rPr>
        <w:t>worth shipping</w:t>
      </w:r>
      <w:r>
        <w:rPr>
          <w:lang w:val="en-US"/>
        </w:rPr>
        <w:t xml:space="preserve"> of SEA practitioners are not comparable. </w:t>
      </w:r>
      <w:r w:rsidR="00DE000D">
        <w:rPr>
          <w:lang w:val="en-US"/>
        </w:rPr>
        <w:t>Furthermore, like the sponsors in the Tour, developers are also often highly occupied with reactions among the public. In SEA effectiveness literature, the importance of the public is documented by e.g. Lyhne et al. (2017).</w:t>
      </w:r>
    </w:p>
    <w:p w14:paraId="41DCE68A" w14:textId="7ACEF8B8" w:rsidR="00733593" w:rsidRPr="00733593" w:rsidRDefault="006070ED" w:rsidP="00733593">
      <w:pPr>
        <w:rPr>
          <w:lang w:val="en-US"/>
        </w:rPr>
      </w:pPr>
      <w:r>
        <w:rPr>
          <w:lang w:val="en-US"/>
        </w:rPr>
        <w:t>Sixthly</w:t>
      </w:r>
      <w:r w:rsidR="00733593">
        <w:rPr>
          <w:lang w:val="en-US"/>
        </w:rPr>
        <w:t xml:space="preserve">, we have the general director of the Tour de France. </w:t>
      </w:r>
      <w:r w:rsidR="00920B15">
        <w:rPr>
          <w:lang w:val="en-US"/>
        </w:rPr>
        <w:t>S</w:t>
      </w:r>
      <w:r w:rsidR="00686661">
        <w:rPr>
          <w:lang w:val="en-US"/>
        </w:rPr>
        <w:t xml:space="preserve">he </w:t>
      </w:r>
      <w:r w:rsidR="00733593">
        <w:rPr>
          <w:lang w:val="en-US"/>
        </w:rPr>
        <w:t xml:space="preserve">decides on a range of rules, e.g. on the technical requirements of the bike and the communication between the cyclist and the manager. For SEA </w:t>
      </w:r>
      <w:r w:rsidR="00C53EE8">
        <w:rPr>
          <w:lang w:val="en-US"/>
        </w:rPr>
        <w:t>effectiveness,</w:t>
      </w:r>
      <w:r w:rsidR="00733593">
        <w:rPr>
          <w:lang w:val="en-US"/>
        </w:rPr>
        <w:t xml:space="preserve"> this may </w:t>
      </w:r>
      <w:r w:rsidR="00C53EE8">
        <w:rPr>
          <w:lang w:val="en-US"/>
        </w:rPr>
        <w:t>equal</w:t>
      </w:r>
      <w:r w:rsidR="00733593">
        <w:rPr>
          <w:lang w:val="en-US"/>
        </w:rPr>
        <w:t xml:space="preserve"> the </w:t>
      </w:r>
      <w:r w:rsidR="00733593" w:rsidRPr="006070ED">
        <w:rPr>
          <w:u w:val="single"/>
          <w:lang w:val="en-US"/>
        </w:rPr>
        <w:t>regulators</w:t>
      </w:r>
      <w:r w:rsidR="00733593">
        <w:rPr>
          <w:lang w:val="en-US"/>
        </w:rPr>
        <w:t xml:space="preserve"> and guidance providers that set legislative standards for SEA (see</w:t>
      </w:r>
      <w:r w:rsidR="009473F5">
        <w:rPr>
          <w:lang w:val="en-US"/>
        </w:rPr>
        <w:t xml:space="preserve"> Retief et al. 2007, Noble 2008</w:t>
      </w:r>
      <w:r w:rsidR="00733593">
        <w:rPr>
          <w:lang w:val="en-US"/>
        </w:rPr>
        <w:t>)</w:t>
      </w:r>
      <w:r w:rsidR="00DE000D">
        <w:rPr>
          <w:lang w:val="en-US"/>
        </w:rPr>
        <w:t>.</w:t>
      </w:r>
    </w:p>
    <w:p w14:paraId="6592DC4C" w14:textId="268AB907" w:rsidR="003B4E99" w:rsidRPr="003B4E99" w:rsidRDefault="003B4E99" w:rsidP="003B4E99">
      <w:pPr>
        <w:rPr>
          <w:lang w:val="en-US"/>
        </w:rPr>
      </w:pPr>
      <w:r w:rsidRPr="003B4E99">
        <w:rPr>
          <w:lang w:val="en-US"/>
        </w:rPr>
        <w:t xml:space="preserve">Seventhly, </w:t>
      </w:r>
      <w:r>
        <w:rPr>
          <w:lang w:val="en-US"/>
        </w:rPr>
        <w:t xml:space="preserve">we have the tour officials </w:t>
      </w:r>
      <w:r w:rsidRPr="003B4E99">
        <w:rPr>
          <w:lang w:val="en-US"/>
        </w:rPr>
        <w:t>who makes sure that everything is in accordance</w:t>
      </w:r>
      <w:r>
        <w:rPr>
          <w:lang w:val="en-US"/>
        </w:rPr>
        <w:t xml:space="preserve"> with the rules. These may translate to </w:t>
      </w:r>
      <w:r w:rsidR="006070ED" w:rsidRPr="005F3903">
        <w:rPr>
          <w:u w:val="single"/>
          <w:lang w:val="en-US"/>
        </w:rPr>
        <w:t>quality assurance institutions</w:t>
      </w:r>
      <w:r w:rsidR="006070ED">
        <w:rPr>
          <w:lang w:val="en-US"/>
        </w:rPr>
        <w:t xml:space="preserve"> and mechanisms</w:t>
      </w:r>
      <w:r>
        <w:rPr>
          <w:lang w:val="en-US"/>
        </w:rPr>
        <w:t xml:space="preserve"> governing SEA implementation.</w:t>
      </w:r>
      <w:r w:rsidR="006070ED">
        <w:rPr>
          <w:lang w:val="en-US"/>
        </w:rPr>
        <w:t xml:space="preserve"> SEA literature has e.g. outlined the importance of the Netherland’s Commission for Environmental Assessment (Lyhne et al. 201</w:t>
      </w:r>
      <w:r w:rsidR="00111C58">
        <w:rPr>
          <w:lang w:val="en-US"/>
        </w:rPr>
        <w:t>5</w:t>
      </w:r>
      <w:r w:rsidR="006070ED">
        <w:rPr>
          <w:lang w:val="en-US"/>
        </w:rPr>
        <w:t>)</w:t>
      </w:r>
      <w:r w:rsidR="00DE000D">
        <w:rPr>
          <w:lang w:val="en-US"/>
        </w:rPr>
        <w:t>.</w:t>
      </w:r>
    </w:p>
    <w:p w14:paraId="5630088F" w14:textId="546D5F5C" w:rsidR="00345BCE" w:rsidRDefault="004A48F5" w:rsidP="004A48F5">
      <w:pPr>
        <w:rPr>
          <w:lang w:val="en-US"/>
        </w:rPr>
      </w:pPr>
      <w:r w:rsidRPr="004A48F5">
        <w:rPr>
          <w:lang w:val="en-US"/>
        </w:rPr>
        <w:t xml:space="preserve">Until now, the described actors are </w:t>
      </w:r>
      <w:r w:rsidR="0025296B">
        <w:rPr>
          <w:lang w:val="en-US"/>
        </w:rPr>
        <w:t xml:space="preserve">at least somewhat </w:t>
      </w:r>
      <w:r w:rsidRPr="004A48F5">
        <w:rPr>
          <w:lang w:val="en-US"/>
        </w:rPr>
        <w:t>recogni</w:t>
      </w:r>
      <w:r w:rsidR="00D6705A">
        <w:rPr>
          <w:lang w:val="en-US"/>
        </w:rPr>
        <w:t>z</w:t>
      </w:r>
      <w:r w:rsidRPr="004A48F5">
        <w:rPr>
          <w:lang w:val="en-US"/>
        </w:rPr>
        <w:t xml:space="preserve">ed </w:t>
      </w:r>
      <w:r>
        <w:rPr>
          <w:lang w:val="en-US"/>
        </w:rPr>
        <w:t xml:space="preserve">in debates on SEA effectiveness. But our system </w:t>
      </w:r>
      <w:r w:rsidR="0025296B">
        <w:rPr>
          <w:lang w:val="en-US"/>
        </w:rPr>
        <w:t xml:space="preserve">of actors </w:t>
      </w:r>
      <w:r>
        <w:rPr>
          <w:lang w:val="en-US"/>
        </w:rPr>
        <w:t xml:space="preserve">is not completed. </w:t>
      </w:r>
      <w:r w:rsidR="006070ED">
        <w:rPr>
          <w:lang w:val="en-US"/>
        </w:rPr>
        <w:t>W</w:t>
      </w:r>
      <w:r w:rsidR="003B4E99">
        <w:rPr>
          <w:lang w:val="en-US"/>
        </w:rPr>
        <w:t xml:space="preserve">e must not forget </w:t>
      </w:r>
      <w:r w:rsidRPr="004A48F5">
        <w:rPr>
          <w:lang w:val="en-US"/>
        </w:rPr>
        <w:t xml:space="preserve">the bicycle mechanics and the </w:t>
      </w:r>
      <w:r w:rsidR="00345BCE" w:rsidRPr="004A48F5">
        <w:rPr>
          <w:lang w:val="en-US"/>
        </w:rPr>
        <w:t xml:space="preserve">masseurs. </w:t>
      </w:r>
      <w:r>
        <w:rPr>
          <w:lang w:val="en-US"/>
        </w:rPr>
        <w:t xml:space="preserve">The masseurs are highly important for keeping the cyclist fit for the race, and the bicycle mechanics for keeping the cycle fit for purpose. Who are they, when comparing with SEA effectiveness? </w:t>
      </w:r>
      <w:r w:rsidR="00733593">
        <w:rPr>
          <w:lang w:val="en-US"/>
        </w:rPr>
        <w:t xml:space="preserve">The masseurs may be the family and friends of the SEA practitioners; those that make the practitioner relax after a hard day of work and brings energy into the life of the practitioners. </w:t>
      </w:r>
      <w:r w:rsidRPr="00733593">
        <w:rPr>
          <w:lang w:val="en-US"/>
        </w:rPr>
        <w:t xml:space="preserve">The bicycle mechanics may be the </w:t>
      </w:r>
      <w:r w:rsidR="00733593" w:rsidRPr="00733593">
        <w:rPr>
          <w:lang w:val="en-US"/>
        </w:rPr>
        <w:t xml:space="preserve">team of </w:t>
      </w:r>
      <w:r w:rsidR="00733593">
        <w:rPr>
          <w:lang w:val="en-US"/>
        </w:rPr>
        <w:t>specialists, who makes sure the SEA (the cycle) is ready for the next stage. That may entail programmers refining the software we use, data experts providing data for the SEA analyses, etc. If they do a sloppy job, it is much more difficult to make a change as SEA practitioner.</w:t>
      </w:r>
    </w:p>
    <w:p w14:paraId="0DC9183C" w14:textId="0D9EB9FD" w:rsidR="003B4E99" w:rsidRPr="003B4E99" w:rsidRDefault="006070ED" w:rsidP="004A48F5">
      <w:pPr>
        <w:rPr>
          <w:lang w:val="en-US"/>
        </w:rPr>
      </w:pPr>
      <w:r>
        <w:rPr>
          <w:lang w:val="en-US"/>
        </w:rPr>
        <w:t>Furthermore, j</w:t>
      </w:r>
      <w:r w:rsidR="003B4E99" w:rsidRPr="003B4E99">
        <w:rPr>
          <w:lang w:val="en-US"/>
        </w:rPr>
        <w:t xml:space="preserve">ournalists and communication play an important role in the Tour. They ensure communication of the progression of the tour and cyclists, and they ensure transparency in terms of team composition, rules of the game, </w:t>
      </w:r>
      <w:r>
        <w:rPr>
          <w:lang w:val="en-US"/>
        </w:rPr>
        <w:t xml:space="preserve">performance, </w:t>
      </w:r>
      <w:r w:rsidR="003B4E99" w:rsidRPr="003B4E99">
        <w:rPr>
          <w:lang w:val="en-US"/>
        </w:rPr>
        <w:t>etc., so that everyone is informed.</w:t>
      </w:r>
      <w:r w:rsidR="003B4E99">
        <w:rPr>
          <w:lang w:val="en-US"/>
        </w:rPr>
        <w:t xml:space="preserve"> </w:t>
      </w:r>
      <w:r w:rsidR="007F4CE1">
        <w:rPr>
          <w:lang w:val="en-US"/>
        </w:rPr>
        <w:t xml:space="preserve">SEA effectiveness literature emphasize communicative capacities among the SEA practitioners (Sheate and Partidário, 2010), but the importance of journalists and other communicators </w:t>
      </w:r>
      <w:r w:rsidR="003B4E99">
        <w:rPr>
          <w:lang w:val="en-US"/>
        </w:rPr>
        <w:t>seem</w:t>
      </w:r>
      <w:r w:rsidR="007F4CE1">
        <w:rPr>
          <w:lang w:val="en-US"/>
        </w:rPr>
        <w:t>s</w:t>
      </w:r>
      <w:r w:rsidR="003B4E99">
        <w:rPr>
          <w:lang w:val="en-US"/>
        </w:rPr>
        <w:t xml:space="preserve"> underexplored in terms of SEA effectiveness.</w:t>
      </w:r>
    </w:p>
    <w:p w14:paraId="17F039F3" w14:textId="77777777" w:rsidR="003B4E99" w:rsidRDefault="003B4E99" w:rsidP="004A48F5">
      <w:pPr>
        <w:rPr>
          <w:b/>
          <w:lang w:val="en-US"/>
        </w:rPr>
      </w:pPr>
    </w:p>
    <w:p w14:paraId="2F549B2C" w14:textId="4BA51A56" w:rsidR="00817EEC" w:rsidRPr="00817EEC" w:rsidRDefault="00817EEC" w:rsidP="004A48F5">
      <w:pPr>
        <w:rPr>
          <w:b/>
          <w:lang w:val="en-US"/>
        </w:rPr>
      </w:pPr>
      <w:r w:rsidRPr="00817EEC">
        <w:rPr>
          <w:b/>
          <w:lang w:val="en-US"/>
        </w:rPr>
        <w:t>Learning from the analogy</w:t>
      </w:r>
    </w:p>
    <w:p w14:paraId="79E33643" w14:textId="6EF5DF57" w:rsidR="002B6759" w:rsidRDefault="0025296B" w:rsidP="004A48F5">
      <w:pPr>
        <w:rPr>
          <w:lang w:val="en-US"/>
        </w:rPr>
      </w:pPr>
      <w:r>
        <w:rPr>
          <w:lang w:val="en-US"/>
        </w:rPr>
        <w:lastRenderedPageBreak/>
        <w:t xml:space="preserve">The </w:t>
      </w:r>
      <w:r w:rsidR="00673853">
        <w:rPr>
          <w:lang w:val="en-US"/>
        </w:rPr>
        <w:t>analogy</w:t>
      </w:r>
      <w:r>
        <w:rPr>
          <w:lang w:val="en-US"/>
        </w:rPr>
        <w:t xml:space="preserve"> of Tour de France shed lights on the ‘hidden’ actors that are important for achieving a goal. It shows that it is relevant to discuss effectiveness of one element to optimize it (e.g. the instruments of the bicycle or the SEA), but a far broader focus is needed to be successful in achieving goals that is depending on a broader range of actors.</w:t>
      </w:r>
      <w:r w:rsidR="00DC12D5">
        <w:rPr>
          <w:lang w:val="en-US"/>
        </w:rPr>
        <w:t xml:space="preserve"> We argue, based on the </w:t>
      </w:r>
      <w:r w:rsidR="00673853">
        <w:rPr>
          <w:lang w:val="en-US"/>
        </w:rPr>
        <w:t>analogy</w:t>
      </w:r>
      <w:r w:rsidR="00DC12D5">
        <w:rPr>
          <w:lang w:val="en-US"/>
        </w:rPr>
        <w:t xml:space="preserve">, that our efforts on SEA effectiveness in itself will have a minor role in efforts of achieving sustainability and SDGs. </w:t>
      </w:r>
      <w:r w:rsidR="00817EEC">
        <w:rPr>
          <w:lang w:val="en-US"/>
        </w:rPr>
        <w:t xml:space="preserve">SEA itself cannot make ‘substantive outcomes’, as often called for (e.g. Bond and Dusik 2020). </w:t>
      </w:r>
      <w:r w:rsidR="002B6759">
        <w:rPr>
          <w:lang w:val="en-US"/>
        </w:rPr>
        <w:t xml:space="preserve">This becomes clear, when looking at different forms of effectiveness (Cashmore </w:t>
      </w:r>
      <w:r w:rsidR="007F4CE1">
        <w:rPr>
          <w:lang w:val="en-US"/>
        </w:rPr>
        <w:t>et al. 2004</w:t>
      </w:r>
      <w:r w:rsidR="002B6759">
        <w:rPr>
          <w:lang w:val="en-US"/>
        </w:rPr>
        <w:t>):</w:t>
      </w:r>
    </w:p>
    <w:p w14:paraId="14F05109" w14:textId="7215BF56" w:rsidR="002B6759" w:rsidRDefault="002B6759" w:rsidP="00DB4E16">
      <w:pPr>
        <w:numPr>
          <w:ilvl w:val="0"/>
          <w:numId w:val="1"/>
        </w:numPr>
        <w:spacing w:after="0" w:line="240" w:lineRule="auto"/>
        <w:rPr>
          <w:rFonts w:eastAsia="Times New Roman"/>
          <w:lang w:val="en-US"/>
        </w:rPr>
      </w:pPr>
      <w:r w:rsidRPr="002B6759">
        <w:rPr>
          <w:rFonts w:eastAsia="Times New Roman"/>
          <w:lang w:val="en-US"/>
        </w:rPr>
        <w:t xml:space="preserve">Low substantive effect of SEA may be </w:t>
      </w:r>
      <w:r>
        <w:rPr>
          <w:rFonts w:eastAsia="Times New Roman"/>
          <w:lang w:val="en-US"/>
        </w:rPr>
        <w:t xml:space="preserve">perfectly </w:t>
      </w:r>
      <w:r w:rsidRPr="002B6759">
        <w:rPr>
          <w:rFonts w:eastAsia="Times New Roman"/>
          <w:lang w:val="en-US"/>
        </w:rPr>
        <w:t>fine, if it means that planners and decision-makers already make</w:t>
      </w:r>
      <w:r>
        <w:rPr>
          <w:rFonts w:eastAsia="Times New Roman"/>
          <w:lang w:val="en-US"/>
        </w:rPr>
        <w:t xml:space="preserve"> decisions that promote SDGs.</w:t>
      </w:r>
    </w:p>
    <w:p w14:paraId="475A2E05" w14:textId="4B4F9FBF" w:rsidR="002B6759" w:rsidRDefault="002B6759" w:rsidP="00DB4E16">
      <w:pPr>
        <w:numPr>
          <w:ilvl w:val="0"/>
          <w:numId w:val="1"/>
        </w:numPr>
        <w:spacing w:after="0" w:line="240" w:lineRule="auto"/>
        <w:rPr>
          <w:rFonts w:eastAsia="Times New Roman"/>
          <w:lang w:val="en-US"/>
        </w:rPr>
      </w:pPr>
      <w:r>
        <w:rPr>
          <w:rFonts w:eastAsia="Times New Roman"/>
          <w:lang w:val="en-US"/>
        </w:rPr>
        <w:t>Low procedural effectiveness of SEA may be perfectly fine, if it means that the process already and more flexible takes place in collaborative governance processes with involvement and commitment.</w:t>
      </w:r>
    </w:p>
    <w:p w14:paraId="59CED262" w14:textId="2038F582" w:rsidR="002B6759" w:rsidRPr="002B6759" w:rsidRDefault="00673853" w:rsidP="00C16F40">
      <w:pPr>
        <w:numPr>
          <w:ilvl w:val="0"/>
          <w:numId w:val="1"/>
        </w:numPr>
        <w:spacing w:after="0" w:line="240" w:lineRule="auto"/>
        <w:rPr>
          <w:rFonts w:eastAsia="Times New Roman"/>
          <w:lang w:val="en-US"/>
        </w:rPr>
      </w:pPr>
      <w:r>
        <w:rPr>
          <w:rFonts w:eastAsia="Times New Roman"/>
          <w:lang w:val="en-US"/>
        </w:rPr>
        <w:t>Low t</w:t>
      </w:r>
      <w:r w:rsidR="002B6759" w:rsidRPr="002B6759">
        <w:rPr>
          <w:rFonts w:eastAsia="Times New Roman"/>
          <w:lang w:val="en-US"/>
        </w:rPr>
        <w:t xml:space="preserve">ransformative effectiveness may be perfectly fine, if the role of supporting transformation is better rooted through other processes or arenas. </w:t>
      </w:r>
    </w:p>
    <w:p w14:paraId="222E4209" w14:textId="77777777" w:rsidR="007C3E4B" w:rsidRDefault="007C3E4B" w:rsidP="002B6759">
      <w:pPr>
        <w:rPr>
          <w:lang w:val="en-US"/>
        </w:rPr>
      </w:pPr>
    </w:p>
    <w:p w14:paraId="218F2502" w14:textId="3AEB59D3" w:rsidR="006070ED" w:rsidRDefault="00242CA8" w:rsidP="002B6759">
      <w:pPr>
        <w:rPr>
          <w:lang w:val="en-US"/>
        </w:rPr>
      </w:pPr>
      <w:r>
        <w:rPr>
          <w:lang w:val="en-US"/>
        </w:rPr>
        <w:t>Similarly, high effectiveness of SEA may not necessarily mean much unless we now the ‘starting point’ of the system’s performance. As an example, f</w:t>
      </w:r>
      <w:r w:rsidR="007C3E4B">
        <w:rPr>
          <w:lang w:val="en-US"/>
        </w:rPr>
        <w:t>indings in SEA effectiveness literature such as SEA leading “to fine-tuning of plan policy wording</w:t>
      </w:r>
      <w:r w:rsidR="00DA6D01" w:rsidRPr="00DA6D01">
        <w:rPr>
          <w:lang w:val="en-US"/>
        </w:rPr>
        <w:t xml:space="preserve"> and a more robust choice of development sites, but to only limited wider influence on the plan</w:t>
      </w:r>
      <w:r w:rsidR="007C3E4B">
        <w:rPr>
          <w:lang w:val="en-US"/>
        </w:rPr>
        <w:t>” (Thérivel 2019</w:t>
      </w:r>
      <w:r w:rsidR="001178F1">
        <w:rPr>
          <w:lang w:val="en-US"/>
        </w:rPr>
        <w:t>, p. 266</w:t>
      </w:r>
      <w:r w:rsidR="007C3E4B">
        <w:rPr>
          <w:lang w:val="en-US"/>
        </w:rPr>
        <w:t xml:space="preserve">), does not say much about efforts of making </w:t>
      </w:r>
      <w:r w:rsidR="00EC1756">
        <w:rPr>
          <w:lang w:val="en-US"/>
        </w:rPr>
        <w:t xml:space="preserve">societal </w:t>
      </w:r>
      <w:bookmarkStart w:id="3" w:name="_GoBack"/>
      <w:bookmarkEnd w:id="3"/>
      <w:r w:rsidR="007C3E4B">
        <w:rPr>
          <w:lang w:val="en-US"/>
        </w:rPr>
        <w:t xml:space="preserve">change, unless a broader system thinking is applied. </w:t>
      </w:r>
    </w:p>
    <w:p w14:paraId="3F6B2545" w14:textId="66998EEB" w:rsidR="002B6759" w:rsidRDefault="002B6759" w:rsidP="002B6759">
      <w:pPr>
        <w:rPr>
          <w:lang w:val="en-US"/>
        </w:rPr>
      </w:pPr>
      <w:r>
        <w:rPr>
          <w:lang w:val="en-US"/>
        </w:rPr>
        <w:t>Worst case is that we as a SEA community focus so much on a narrow SEA effectiveness that we suboptimise the contribution of the system towards the SDGs! Second worst is that we invest our resources on the part of the system that has less potential for improvement.</w:t>
      </w:r>
      <w:r w:rsidR="00091878">
        <w:rPr>
          <w:lang w:val="en-US"/>
        </w:rPr>
        <w:t xml:space="preserve"> </w:t>
      </w:r>
      <w:r w:rsidR="006070ED">
        <w:rPr>
          <w:lang w:val="en-US"/>
        </w:rPr>
        <w:t xml:space="preserve">Are we aware if </w:t>
      </w:r>
      <w:r w:rsidR="00091878">
        <w:rPr>
          <w:lang w:val="en-US"/>
        </w:rPr>
        <w:t xml:space="preserve">our narrow focus on SEA effectiveness has already </w:t>
      </w:r>
      <w:r w:rsidR="00A06B48">
        <w:rPr>
          <w:lang w:val="en-US"/>
        </w:rPr>
        <w:t>led</w:t>
      </w:r>
      <w:r w:rsidR="00091878">
        <w:rPr>
          <w:lang w:val="en-US"/>
        </w:rPr>
        <w:t xml:space="preserve"> to such unwanted consequences?</w:t>
      </w:r>
    </w:p>
    <w:p w14:paraId="7CEF8CA5" w14:textId="77777777" w:rsidR="007C3E4B" w:rsidRDefault="007C3E4B" w:rsidP="007C3E4B">
      <w:pPr>
        <w:rPr>
          <w:lang w:val="en-US"/>
        </w:rPr>
      </w:pPr>
      <w:r>
        <w:rPr>
          <w:lang w:val="en-US"/>
        </w:rPr>
        <w:t>The Tour analogy may also inspire us to have attention to how many actors needs to be aligned to win the Tour and changing society to become more sustainable. The many actors must have a common interest and motivation for contributing to the same overall goal of change.</w:t>
      </w:r>
    </w:p>
    <w:p w14:paraId="59620EC8" w14:textId="19A0EAE8" w:rsidR="00673853" w:rsidRDefault="007C3E4B" w:rsidP="007C3E4B">
      <w:pPr>
        <w:rPr>
          <w:lang w:val="en-US"/>
        </w:rPr>
      </w:pPr>
      <w:r>
        <w:rPr>
          <w:lang w:val="en-US"/>
        </w:rPr>
        <w:t xml:space="preserve"> </w:t>
      </w:r>
      <w:r w:rsidR="00DC12D5">
        <w:rPr>
          <w:lang w:val="en-US"/>
        </w:rPr>
        <w:t xml:space="preserve">If we, as a SEA community, wants to make a change, we need to go beyond </w:t>
      </w:r>
      <w:r w:rsidR="00091878">
        <w:rPr>
          <w:lang w:val="en-US"/>
        </w:rPr>
        <w:t xml:space="preserve">our well-established focus on </w:t>
      </w:r>
      <w:r w:rsidR="00DC12D5">
        <w:rPr>
          <w:lang w:val="en-US"/>
        </w:rPr>
        <w:t>the optimization of SEA and have a broader system perspective</w:t>
      </w:r>
      <w:r w:rsidR="0006669B">
        <w:rPr>
          <w:lang w:val="en-US"/>
        </w:rPr>
        <w:t xml:space="preserve"> – recognizing that many things goes on ‘outside’ the SEA</w:t>
      </w:r>
      <w:r w:rsidR="00DC12D5">
        <w:rPr>
          <w:lang w:val="en-US"/>
        </w:rPr>
        <w:t>. We need to</w:t>
      </w:r>
      <w:r w:rsidR="00091878">
        <w:rPr>
          <w:lang w:val="en-US"/>
        </w:rPr>
        <w:t xml:space="preserve"> think out of the box to</w:t>
      </w:r>
      <w:r w:rsidR="00DC12D5">
        <w:rPr>
          <w:lang w:val="en-US"/>
        </w:rPr>
        <w:t xml:space="preserve"> explore ways to improve our engagement with </w:t>
      </w:r>
      <w:r w:rsidR="006070ED">
        <w:rPr>
          <w:lang w:val="en-US"/>
        </w:rPr>
        <w:t>a series of actors as outlined in the analogy</w:t>
      </w:r>
      <w:r w:rsidR="00817EEC">
        <w:rPr>
          <w:lang w:val="en-US"/>
        </w:rPr>
        <w:t xml:space="preserve">. Some would perhaps argue that practice has always been broader than SEA effectiveness, and that SEA effectiveness is somewhat isolated theoretical </w:t>
      </w:r>
      <w:r w:rsidR="002B6759">
        <w:rPr>
          <w:lang w:val="en-US"/>
        </w:rPr>
        <w:t xml:space="preserve">and perhaps </w:t>
      </w:r>
      <w:r w:rsidR="00A06B48">
        <w:rPr>
          <w:lang w:val="en-US"/>
        </w:rPr>
        <w:t>self-centered</w:t>
      </w:r>
      <w:r w:rsidR="002B6759">
        <w:rPr>
          <w:lang w:val="en-US"/>
        </w:rPr>
        <w:t xml:space="preserve"> </w:t>
      </w:r>
      <w:r w:rsidR="00817EEC">
        <w:rPr>
          <w:lang w:val="en-US"/>
        </w:rPr>
        <w:t>concept.</w:t>
      </w:r>
      <w:r w:rsidR="003B4E99">
        <w:rPr>
          <w:lang w:val="en-US"/>
        </w:rPr>
        <w:t xml:space="preserve"> </w:t>
      </w:r>
      <w:r w:rsidR="00673853">
        <w:rPr>
          <w:lang w:val="en-US"/>
        </w:rPr>
        <w:t xml:space="preserve">Perhaps this </w:t>
      </w:r>
      <w:r w:rsidR="003B4E99">
        <w:rPr>
          <w:lang w:val="en-US"/>
        </w:rPr>
        <w:t xml:space="preserve">critique </w:t>
      </w:r>
      <w:r w:rsidR="00673853">
        <w:rPr>
          <w:lang w:val="en-US"/>
        </w:rPr>
        <w:t xml:space="preserve">reflects a shift in mindset and literature from a time in which the SEA community was building identity and therefore had a need to look inwards, to a time in which the SEA community is sufficiently strong to go beyond the narrow focus on SEA </w:t>
      </w:r>
      <w:r w:rsidR="006070ED">
        <w:rPr>
          <w:lang w:val="en-US"/>
        </w:rPr>
        <w:t xml:space="preserve">effectiveness </w:t>
      </w:r>
      <w:r w:rsidR="00673853">
        <w:rPr>
          <w:lang w:val="en-US"/>
        </w:rPr>
        <w:t>to enhance the contribution to sustainability.</w:t>
      </w:r>
    </w:p>
    <w:p w14:paraId="441BCED0" w14:textId="7F68B267" w:rsidR="00F42DA1" w:rsidRDefault="00F42DA1">
      <w:pPr>
        <w:rPr>
          <w:lang w:val="en-US"/>
        </w:rPr>
      </w:pPr>
      <w:r w:rsidRPr="00F42DA1">
        <w:rPr>
          <w:lang w:val="en-US"/>
        </w:rPr>
        <w:t>Of course, SEA is not about winning a race</w:t>
      </w:r>
      <w:r w:rsidR="003B4E99">
        <w:rPr>
          <w:lang w:val="en-US"/>
        </w:rPr>
        <w:t xml:space="preserve">, and luckily making </w:t>
      </w:r>
      <w:r w:rsidR="00A06B48">
        <w:rPr>
          <w:lang w:val="en-US"/>
        </w:rPr>
        <w:t>a</w:t>
      </w:r>
      <w:r w:rsidR="003B4E99">
        <w:rPr>
          <w:lang w:val="en-US"/>
        </w:rPr>
        <w:t xml:space="preserve"> </w:t>
      </w:r>
      <w:r w:rsidR="00733593">
        <w:rPr>
          <w:lang w:val="en-US"/>
        </w:rPr>
        <w:t xml:space="preserve">SEA is </w:t>
      </w:r>
      <w:r w:rsidR="003B4E99">
        <w:rPr>
          <w:lang w:val="en-US"/>
        </w:rPr>
        <w:t xml:space="preserve">normally </w:t>
      </w:r>
      <w:r w:rsidR="00733593">
        <w:rPr>
          <w:lang w:val="en-US"/>
        </w:rPr>
        <w:t xml:space="preserve">a </w:t>
      </w:r>
      <w:r w:rsidR="003B4E99">
        <w:rPr>
          <w:lang w:val="en-US"/>
        </w:rPr>
        <w:t xml:space="preserve">less demanding task </w:t>
      </w:r>
      <w:r w:rsidR="00733593">
        <w:rPr>
          <w:lang w:val="en-US"/>
        </w:rPr>
        <w:t>than completing a Tour de France stage</w:t>
      </w:r>
      <w:r w:rsidR="003B4E99">
        <w:rPr>
          <w:lang w:val="en-US"/>
        </w:rPr>
        <w:t xml:space="preserve"> (or at least the full Tour)</w:t>
      </w:r>
      <w:r w:rsidR="00733593">
        <w:rPr>
          <w:lang w:val="en-US"/>
        </w:rPr>
        <w:t>.</w:t>
      </w:r>
      <w:r w:rsidR="003B4E99">
        <w:rPr>
          <w:lang w:val="en-US"/>
        </w:rPr>
        <w:t xml:space="preserve"> Although the </w:t>
      </w:r>
      <w:r w:rsidR="00673853">
        <w:rPr>
          <w:lang w:val="en-US"/>
        </w:rPr>
        <w:t>analogy</w:t>
      </w:r>
      <w:r>
        <w:rPr>
          <w:lang w:val="en-US"/>
        </w:rPr>
        <w:t xml:space="preserve"> </w:t>
      </w:r>
      <w:r w:rsidR="003B4E99">
        <w:rPr>
          <w:lang w:val="en-US"/>
        </w:rPr>
        <w:t xml:space="preserve">is not </w:t>
      </w:r>
      <w:r>
        <w:rPr>
          <w:lang w:val="en-US"/>
        </w:rPr>
        <w:t xml:space="preserve">perfect, it is sufficient for our purpose: To inspire the SEA community, and especially people concerned with </w:t>
      </w:r>
      <w:r w:rsidR="004E2EF3">
        <w:rPr>
          <w:lang w:val="en-US"/>
        </w:rPr>
        <w:t xml:space="preserve">SDGs, to go beyond </w:t>
      </w:r>
      <w:r>
        <w:rPr>
          <w:lang w:val="en-US"/>
        </w:rPr>
        <w:t>SEA effectiveness</w:t>
      </w:r>
      <w:r w:rsidR="004E2EF3">
        <w:rPr>
          <w:lang w:val="en-US"/>
        </w:rPr>
        <w:t xml:space="preserve"> and employ </w:t>
      </w:r>
      <w:r>
        <w:rPr>
          <w:lang w:val="en-US"/>
        </w:rPr>
        <w:t>a broader system perspective on SEA effectiveness</w:t>
      </w:r>
      <w:r w:rsidR="004E2EF3">
        <w:rPr>
          <w:lang w:val="en-US"/>
        </w:rPr>
        <w:t>.</w:t>
      </w:r>
    </w:p>
    <w:p w14:paraId="1FAD9599" w14:textId="0B1E9227" w:rsidR="00DC12D5" w:rsidRDefault="00DC12D5">
      <w:pPr>
        <w:rPr>
          <w:lang w:val="en-US"/>
        </w:rPr>
      </w:pPr>
    </w:p>
    <w:p w14:paraId="2ED9A621" w14:textId="0F505BAD" w:rsidR="00C95866" w:rsidRPr="00C95866" w:rsidRDefault="00C95866">
      <w:pPr>
        <w:rPr>
          <w:b/>
          <w:lang w:val="en-US"/>
        </w:rPr>
      </w:pPr>
      <w:r w:rsidRPr="00C95866">
        <w:rPr>
          <w:b/>
          <w:lang w:val="en-US"/>
        </w:rPr>
        <w:t>References</w:t>
      </w:r>
    </w:p>
    <w:p w14:paraId="19D78112" w14:textId="77777777" w:rsidR="00603D2A" w:rsidRPr="006A509A" w:rsidRDefault="00603D2A" w:rsidP="00603D2A">
      <w:pPr>
        <w:rPr>
          <w:lang w:val="en-US"/>
        </w:rPr>
      </w:pPr>
      <w:r w:rsidRPr="00DA6D01">
        <w:rPr>
          <w:lang w:val="en-US"/>
        </w:rPr>
        <w:lastRenderedPageBreak/>
        <w:t xml:space="preserve">Arts, J., Runhaar, H., Fischer, T., Jha-Thakur, U., Van Laerhoven, F., Driessen, P.P.J. Onyango, V. 2013. </w:t>
      </w:r>
      <w:r w:rsidRPr="006A509A">
        <w:rPr>
          <w:lang w:val="en-US"/>
        </w:rPr>
        <w:t xml:space="preserve">The Effectiveness of EIA as an Instrument for Environmental Governance: Reflecting on 25 Years of EIA Practice in the Netherlands and the UK. Journal of Environmental Assessment Policy and Management. 14. </w:t>
      </w:r>
    </w:p>
    <w:p w14:paraId="7B7F604F" w14:textId="77777777" w:rsidR="00603D2A" w:rsidRPr="006A509A" w:rsidRDefault="00603D2A" w:rsidP="00603D2A">
      <w:pPr>
        <w:rPr>
          <w:lang w:val="en-US"/>
        </w:rPr>
      </w:pPr>
      <w:r w:rsidRPr="006A509A">
        <w:rPr>
          <w:lang w:val="en-US"/>
        </w:rPr>
        <w:t>Cashmore M, Gwilliam R, Morgan R, Cobb D, Bond A. 2004. The interminable issue of effectiveness: substantive purposes, outcomes and research challenges in the advancement of environmental impact assessment theory. Impact Assess Proj Apprais (22), 295–310.</w:t>
      </w:r>
    </w:p>
    <w:p w14:paraId="609EAF8F" w14:textId="77777777" w:rsidR="00603D2A" w:rsidRPr="006A509A" w:rsidRDefault="00603D2A" w:rsidP="00603D2A">
      <w:pPr>
        <w:rPr>
          <w:lang w:val="en-US"/>
        </w:rPr>
      </w:pPr>
      <w:r w:rsidRPr="006A509A">
        <w:rPr>
          <w:lang w:val="en-US"/>
        </w:rPr>
        <w:t>Cashmore, M., Hilding-Rydevik, T., Smutny, M., Stephansson, E. 2020. Remaking science-policy interfaces in the quest for effectiveness. Impact Assessment and Project Appraisal, 38 (2), 172-177.</w:t>
      </w:r>
    </w:p>
    <w:p w14:paraId="42C1DA57" w14:textId="77777777" w:rsidR="00603D2A" w:rsidRPr="006A509A" w:rsidRDefault="00603D2A" w:rsidP="00603D2A">
      <w:pPr>
        <w:rPr>
          <w:rStyle w:val="Hyperlink"/>
          <w:lang w:val="en-US"/>
        </w:rPr>
      </w:pPr>
      <w:r w:rsidRPr="006A509A">
        <w:rPr>
          <w:lang w:val="en-US"/>
        </w:rPr>
        <w:t>Bond, A., and Dusik, J. 2020, Impact assessment for the twenty-first century – rising to the challenge. Impact Assessment and Project Appraisal, 38 (2), 94-99.</w:t>
      </w:r>
    </w:p>
    <w:p w14:paraId="21E209D5"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González Del Campo, A., Gazzola, P, Onyango, V., 2020. The mutualism of strategic environmental assessment and sustainable development goals. Environ. Impact Assess. Rev. 82, 106383, 1-9</w:t>
      </w:r>
    </w:p>
    <w:p w14:paraId="779FFC21"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Kørnøv, L, Lyhne, I, and Davila, JG. 2020. Linking the UN SDGs and environmental assessment: Towards a conceptual framework. Environmental Impact Assessment Review, 85</w:t>
      </w:r>
    </w:p>
    <w:p w14:paraId="4F987054"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Kørnøv, L, Zhang, J, Christensen, P. 2015. The influence of street level bureaucracy on the implementation of Strategic Environmental Assessment, Journal of Environmental Planning and Management, 28, 598-615.</w:t>
      </w:r>
    </w:p>
    <w:p w14:paraId="261A278D" w14:textId="77777777" w:rsidR="00603D2A" w:rsidRDefault="00603D2A" w:rsidP="00603D2A">
      <w:pPr>
        <w:tabs>
          <w:tab w:val="left" w:pos="427"/>
        </w:tabs>
        <w:spacing w:line="276" w:lineRule="auto"/>
        <w:rPr>
          <w:rFonts w:cstheme="minorHAnsi"/>
          <w:w w:val="105"/>
          <w:lang w:val="en-US"/>
        </w:rPr>
      </w:pPr>
      <w:r w:rsidRPr="006A509A">
        <w:rPr>
          <w:rFonts w:cstheme="minorHAnsi"/>
          <w:w w:val="105"/>
        </w:rPr>
        <w:t xml:space="preserve">Lyhne, I., Cashmore, M. A., Runhaar, H., &amp; van Laerhoven, F. (2015). </w:t>
      </w:r>
      <w:r w:rsidRPr="006A509A">
        <w:rPr>
          <w:rFonts w:cstheme="minorHAnsi"/>
          <w:w w:val="105"/>
          <w:lang w:val="en-US"/>
        </w:rPr>
        <w:t xml:space="preserve">Quality Control for Environmental Policy Appraisal Tools: An Empirical Investigation of Relations Between Quality, Quality Control and Effectiveness. Journal of Environmental Policy and Planning, 18(1), 121-140. </w:t>
      </w:r>
    </w:p>
    <w:p w14:paraId="546C0850" w14:textId="77777777" w:rsidR="00603D2A" w:rsidRPr="006A509A" w:rsidRDefault="00603D2A" w:rsidP="00603D2A">
      <w:pPr>
        <w:tabs>
          <w:tab w:val="left" w:pos="427"/>
        </w:tabs>
        <w:spacing w:line="276" w:lineRule="auto"/>
        <w:rPr>
          <w:rFonts w:cstheme="minorHAnsi"/>
          <w:w w:val="105"/>
          <w:lang w:val="en-US"/>
        </w:rPr>
      </w:pPr>
      <w:r w:rsidRPr="00DA6D01">
        <w:rPr>
          <w:rFonts w:cstheme="minorHAnsi"/>
          <w:w w:val="105"/>
        </w:rPr>
        <w:t xml:space="preserve">Lyhne, I., van Laerhoven, F., Cashmore, M. A., &amp; Runhaar, H. (2017). </w:t>
      </w:r>
      <w:r w:rsidRPr="006A509A">
        <w:rPr>
          <w:rFonts w:cstheme="minorHAnsi"/>
          <w:w w:val="105"/>
          <w:lang w:val="en-US"/>
        </w:rPr>
        <w:t>Theorising EIA effectiveness: A contribution based on the Danish system . Environmental Impact Assessment Review, 62, 240-249.</w:t>
      </w:r>
    </w:p>
    <w:p w14:paraId="4F87D8D3"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Noble, B.F. 2009. Promise and dismay: the state of strategic environmental assessment systems and practices in Canada, 29, 66-75.</w:t>
      </w:r>
    </w:p>
    <w:p w14:paraId="299608D8"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Retief, F, Jones, C, Jay, S. 2008. The emperor’s new clothes – Reflections on strategic environmental assessment within the South Africa context. Environmental Impact Assessment Review, 27, 84-100.</w:t>
      </w:r>
    </w:p>
    <w:p w14:paraId="7BDE1969"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Runhaar H, Driessen PPJ. 2007. What makes strategic environmental assessment successful environmental assessment? The role of context in the contribution of SEA to decision-making. Impact Assess Proj Apprais, 25, 2-14.</w:t>
      </w:r>
    </w:p>
    <w:p w14:paraId="1281D446"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 xml:space="preserve">Sadler B. 1996. Environmental assessment in a changing world: evaluating practice to improve performance. Ottawa: Minister of Supply and Services Canada. </w:t>
      </w:r>
    </w:p>
    <w:p w14:paraId="19B9301D"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Sheate WR, Partidário MR. Strategic approaches and assessment techniques – Potential for knowledge brokerage towards sustainability. Environ Impact Assess Rev 2010;30:278–88.</w:t>
      </w:r>
    </w:p>
    <w:p w14:paraId="7077823A" w14:textId="77777777" w:rsidR="00603D2A" w:rsidRPr="006A509A" w:rsidRDefault="00603D2A" w:rsidP="00603D2A">
      <w:pPr>
        <w:tabs>
          <w:tab w:val="left" w:pos="427"/>
        </w:tabs>
        <w:spacing w:line="276" w:lineRule="auto"/>
        <w:rPr>
          <w:rFonts w:cstheme="minorHAnsi"/>
          <w:w w:val="105"/>
          <w:lang w:val="en-US"/>
        </w:rPr>
      </w:pPr>
      <w:r w:rsidRPr="00DA6D01">
        <w:rPr>
          <w:rFonts w:cstheme="minorHAnsi"/>
          <w:w w:val="105"/>
        </w:rPr>
        <w:t xml:space="preserve">Stoeglehner, G, Brown, A.L., Kørnøv, L. 2009. </w:t>
      </w:r>
      <w:r w:rsidRPr="006A509A">
        <w:rPr>
          <w:rFonts w:cstheme="minorHAnsi"/>
          <w:w w:val="105"/>
          <w:lang w:val="en-US"/>
        </w:rPr>
        <w:t>SEA and planning: ‘Ownership’ of strategic environmental assessment by the planners is the key to its effectiveness. Impact Assessment and Project Appraisal, 27(2), 111-120.</w:t>
      </w:r>
    </w:p>
    <w:p w14:paraId="0D9401B1" w14:textId="77777777" w:rsidR="00242CA8" w:rsidRPr="006A509A" w:rsidRDefault="00242CA8" w:rsidP="00242CA8">
      <w:pPr>
        <w:tabs>
          <w:tab w:val="left" w:pos="427"/>
        </w:tabs>
        <w:spacing w:line="276" w:lineRule="auto"/>
        <w:rPr>
          <w:rFonts w:cstheme="minorHAnsi"/>
          <w:w w:val="105"/>
          <w:lang w:val="en-US"/>
        </w:rPr>
      </w:pPr>
      <w:r>
        <w:rPr>
          <w:rFonts w:cstheme="minorHAnsi"/>
          <w:w w:val="105"/>
          <w:lang w:val="en-US"/>
        </w:rPr>
        <w:lastRenderedPageBreak/>
        <w:t xml:space="preserve">Therivel, R. 2019, </w:t>
      </w:r>
      <w:r w:rsidRPr="00242CA8">
        <w:rPr>
          <w:rFonts w:cstheme="minorHAnsi"/>
          <w:w w:val="105"/>
          <w:lang w:val="en-US"/>
        </w:rPr>
        <w:t>Effectiveness of English local plan SA/SEAs</w:t>
      </w:r>
      <w:r>
        <w:rPr>
          <w:rFonts w:cstheme="minorHAnsi"/>
          <w:w w:val="105"/>
          <w:lang w:val="en-US"/>
        </w:rPr>
        <w:t xml:space="preserve">. </w:t>
      </w:r>
      <w:r w:rsidRPr="00242CA8">
        <w:rPr>
          <w:rFonts w:cstheme="minorHAnsi"/>
          <w:w w:val="105"/>
          <w:lang w:val="en-US"/>
        </w:rPr>
        <w:t>Impact Assessment and Project Apprai</w:t>
      </w:r>
      <w:r>
        <w:rPr>
          <w:rFonts w:cstheme="minorHAnsi"/>
          <w:w w:val="105"/>
          <w:lang w:val="en-US"/>
        </w:rPr>
        <w:t xml:space="preserve">sal, </w:t>
      </w:r>
      <w:r w:rsidRPr="00242CA8">
        <w:rPr>
          <w:rFonts w:cstheme="minorHAnsi"/>
          <w:w w:val="105"/>
          <w:lang w:val="en-US"/>
        </w:rPr>
        <w:t>37</w:t>
      </w:r>
      <w:r>
        <w:rPr>
          <w:rFonts w:cstheme="minorHAnsi"/>
          <w:w w:val="105"/>
          <w:lang w:val="en-US"/>
        </w:rPr>
        <w:t xml:space="preserve"> (</w:t>
      </w:r>
      <w:r w:rsidRPr="00242CA8">
        <w:rPr>
          <w:rFonts w:cstheme="minorHAnsi"/>
          <w:w w:val="105"/>
          <w:lang w:val="en-US"/>
        </w:rPr>
        <w:t>3-4</w:t>
      </w:r>
      <w:r>
        <w:rPr>
          <w:rFonts w:cstheme="minorHAnsi"/>
          <w:w w:val="105"/>
          <w:lang w:val="en-US"/>
        </w:rPr>
        <w:t>), 266-278</w:t>
      </w:r>
    </w:p>
    <w:p w14:paraId="33CBE607" w14:textId="70B38B7F" w:rsidR="00603D2A" w:rsidRDefault="00603D2A" w:rsidP="00242CA8">
      <w:pPr>
        <w:tabs>
          <w:tab w:val="left" w:pos="427"/>
        </w:tabs>
        <w:spacing w:line="276" w:lineRule="auto"/>
        <w:rPr>
          <w:rFonts w:cstheme="minorHAnsi"/>
          <w:w w:val="105"/>
          <w:lang w:val="en-US"/>
        </w:rPr>
      </w:pPr>
      <w:r w:rsidRPr="006A509A">
        <w:rPr>
          <w:rFonts w:cstheme="minorHAnsi"/>
          <w:w w:val="105"/>
          <w:lang w:val="en-US"/>
        </w:rPr>
        <w:t>Therivel, R. González, A. 2019. Editorial: Introducing SEA effectiveness. Impact Assessment and Project Appraisal, 37 (3-4), 181-187</w:t>
      </w:r>
    </w:p>
    <w:p w14:paraId="3044773B"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Thérivel R, Minas P. Ensuring effective sustainability appraisal. Impact Assess Proj Apprais 2002;20:81–91.</w:t>
      </w:r>
    </w:p>
    <w:p w14:paraId="4D9EE05C"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UNECE, 2017. Role of Environmental Assessments emphazised as key to SDG and climate change action at Minsk meeting. Press release, 21. June 2017. http://www.unece.org/info/media/presscurrent-press-h/environment/2017/role-of-environment-assessments-emphasized-as-key-to-sdg-and-climate-change-action-at-minsk-meeting/doc.html</w:t>
      </w:r>
    </w:p>
    <w:p w14:paraId="6311FFAA"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Van Buuren A, Nooteboom S. Evaluating strategic environmental assessment in the Netherlands: content, process and procedure as indissoluble criteria for effectiveness. Impact Assess Proj Apprais 2009;27:145–54.</w:t>
      </w:r>
    </w:p>
    <w:p w14:paraId="4489F938" w14:textId="77777777" w:rsidR="00603D2A" w:rsidRPr="006A509A" w:rsidRDefault="00603D2A" w:rsidP="00603D2A">
      <w:pPr>
        <w:tabs>
          <w:tab w:val="left" w:pos="427"/>
        </w:tabs>
        <w:spacing w:line="276" w:lineRule="auto"/>
        <w:rPr>
          <w:rFonts w:cstheme="minorHAnsi"/>
          <w:w w:val="105"/>
          <w:lang w:val="en-US"/>
        </w:rPr>
      </w:pPr>
      <w:r w:rsidRPr="006A509A">
        <w:rPr>
          <w:rFonts w:cstheme="minorHAnsi"/>
          <w:w w:val="105"/>
          <w:lang w:val="en-US"/>
        </w:rPr>
        <w:t>Weick, K.E. 2001. Making Sense of the Organization. Blackwell publishing: Berlin.</w:t>
      </w:r>
    </w:p>
    <w:p w14:paraId="7C2AB8B9" w14:textId="77777777" w:rsidR="00603D2A" w:rsidRPr="006A509A" w:rsidRDefault="00603D2A" w:rsidP="00603D2A">
      <w:pPr>
        <w:tabs>
          <w:tab w:val="left" w:pos="427"/>
        </w:tabs>
        <w:spacing w:line="276" w:lineRule="auto"/>
        <w:rPr>
          <w:rFonts w:cstheme="minorHAnsi"/>
          <w:w w:val="105"/>
          <w:lang w:val="en-US"/>
        </w:rPr>
      </w:pPr>
      <w:r w:rsidRPr="00603D2A">
        <w:rPr>
          <w:rFonts w:cstheme="minorHAnsi"/>
          <w:w w:val="105"/>
          <w:lang w:val="en-US"/>
        </w:rPr>
        <w:t xml:space="preserve">Zhang, J, Christensen, P., Kørnøv, L. 2013. </w:t>
      </w:r>
      <w:r w:rsidRPr="006A509A">
        <w:rPr>
          <w:rFonts w:cstheme="minorHAnsi"/>
          <w:w w:val="105"/>
          <w:lang w:val="en-US"/>
        </w:rPr>
        <w:t>Review of critical factors for SEA implementation, Environmental Impact Assessment Review, 38, 88-98.</w:t>
      </w:r>
    </w:p>
    <w:p w14:paraId="76754E59" w14:textId="52FBB2AB" w:rsidR="00F84319" w:rsidRPr="00603D2A" w:rsidRDefault="00603D2A" w:rsidP="00603D2A">
      <w:pPr>
        <w:rPr>
          <w:lang w:val="en-US"/>
        </w:rPr>
      </w:pPr>
      <w:r w:rsidRPr="006A509A">
        <w:t xml:space="preserve">Zhang, J., Kørnøv, L. &amp; Christensen, P., 2018. </w:t>
      </w:r>
      <w:r w:rsidRPr="006A509A">
        <w:rPr>
          <w:lang w:val="en-US"/>
        </w:rPr>
        <w:t>The discretionary power of the environmental assessment practitioner. Environmental Impact Assessment Review. 72, 25-32</w:t>
      </w:r>
    </w:p>
    <w:sectPr w:rsidR="00F84319" w:rsidRPr="00603D2A">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var Lyhne" w:date="2020-09-30T08:34:00Z" w:initials="IL">
    <w:p w14:paraId="4AEA16E4" w14:textId="77777777" w:rsidR="00744DD2" w:rsidRDefault="00F46549">
      <w:pPr>
        <w:pStyle w:val="Kommentartekst"/>
        <w:rPr>
          <w:lang w:val="en-US"/>
        </w:rPr>
      </w:pPr>
      <w:r>
        <w:rPr>
          <w:rStyle w:val="Kommentarhenvisning"/>
        </w:rPr>
        <w:annotationRef/>
      </w:r>
      <w:r w:rsidRPr="00F46549">
        <w:rPr>
          <w:lang w:val="en-US"/>
        </w:rPr>
        <w:t>Perhaps also clarify what the ’plan’ is in this analogy</w:t>
      </w:r>
      <w:r>
        <w:rPr>
          <w:lang w:val="en-US"/>
        </w:rPr>
        <w:t xml:space="preserve">? </w:t>
      </w:r>
    </w:p>
    <w:p w14:paraId="0596D7E1" w14:textId="77777777" w:rsidR="00744DD2" w:rsidRDefault="00744DD2">
      <w:pPr>
        <w:pStyle w:val="Kommentartekst"/>
        <w:rPr>
          <w:lang w:val="en-US"/>
        </w:rPr>
      </w:pPr>
    </w:p>
    <w:p w14:paraId="6F114CCA" w14:textId="6DC418E6" w:rsidR="0051149D" w:rsidRPr="00F46549" w:rsidRDefault="00744DD2">
      <w:pPr>
        <w:pStyle w:val="Kommentartekst"/>
        <w:rPr>
          <w:lang w:val="en-US"/>
        </w:rPr>
      </w:pPr>
      <w:r>
        <w:rPr>
          <w:lang w:val="en-US"/>
        </w:rPr>
        <w:t xml:space="preserve">A thought: </w:t>
      </w:r>
      <w:r w:rsidR="00F46549">
        <w:rPr>
          <w:lang w:val="en-US"/>
        </w:rPr>
        <w:t>Could the other cycling teams be a metaphor for other interests, or does it then overdo the competition among interest in decision-making? (of course there could be coalitions among cyclists in the race)</w:t>
      </w:r>
      <w:r w:rsidR="0051149D">
        <w:rPr>
          <w:lang w:val="en-US"/>
        </w:rPr>
        <w:t>. It is not that important for the analogy as it is written now.</w:t>
      </w:r>
    </w:p>
  </w:comment>
  <w:comment w:id="1" w:author="Ivar Lyhne" w:date="2020-09-30T08:09:00Z" w:initials="IL">
    <w:p w14:paraId="09288179" w14:textId="3A722E0B" w:rsidR="007F4CE1" w:rsidRPr="00D06297" w:rsidRDefault="007F4CE1">
      <w:pPr>
        <w:pStyle w:val="Kommentartekst"/>
        <w:rPr>
          <w:lang w:val="en-US"/>
        </w:rPr>
      </w:pPr>
      <w:r>
        <w:rPr>
          <w:rStyle w:val="Kommentarhenvisning"/>
        </w:rPr>
        <w:annotationRef/>
      </w:r>
      <w:r w:rsidR="00D06297" w:rsidRPr="00D06297">
        <w:rPr>
          <w:rStyle w:val="Kommentarhenvisning"/>
          <w:lang w:val="en-US"/>
        </w:rPr>
        <w:t xml:space="preserve">Perhaps the analogy could be interesting for unfolding people involved in </w:t>
      </w:r>
      <w:r w:rsidR="00D06297">
        <w:rPr>
          <w:rStyle w:val="Kommentarhenvisning"/>
          <w:lang w:val="en-US"/>
        </w:rPr>
        <w:t>SEA choices</w:t>
      </w:r>
    </w:p>
    <w:p w14:paraId="7F9740C9" w14:textId="22F24705" w:rsidR="00D06297" w:rsidRDefault="00D06297" w:rsidP="007F4CE1">
      <w:pPr>
        <w:pStyle w:val="Kommentartekst"/>
        <w:numPr>
          <w:ilvl w:val="0"/>
          <w:numId w:val="3"/>
        </w:numPr>
        <w:rPr>
          <w:lang w:val="en-US"/>
        </w:rPr>
      </w:pPr>
      <w:r>
        <w:rPr>
          <w:lang w:val="en-US"/>
        </w:rPr>
        <w:t>The captain among the cyclists – as the SEA project manager making choices and taking the lead</w:t>
      </w:r>
    </w:p>
    <w:p w14:paraId="24D8B207" w14:textId="3AB85EBC" w:rsidR="007F4CE1" w:rsidRDefault="00D06297" w:rsidP="007F4CE1">
      <w:pPr>
        <w:pStyle w:val="Kommentartekst"/>
        <w:numPr>
          <w:ilvl w:val="0"/>
          <w:numId w:val="3"/>
        </w:numPr>
        <w:rPr>
          <w:lang w:val="en-US"/>
        </w:rPr>
      </w:pPr>
      <w:r>
        <w:rPr>
          <w:lang w:val="en-US"/>
        </w:rPr>
        <w:t>The m</w:t>
      </w:r>
      <w:r w:rsidR="007F4CE1">
        <w:rPr>
          <w:lang w:val="en-US"/>
        </w:rPr>
        <w:t>anager in the car</w:t>
      </w:r>
      <w:r w:rsidR="00201D86">
        <w:rPr>
          <w:lang w:val="en-US"/>
        </w:rPr>
        <w:t xml:space="preserve"> – </w:t>
      </w:r>
      <w:r>
        <w:rPr>
          <w:lang w:val="en-US"/>
        </w:rPr>
        <w:t>as the closest personnel manager/superior (having a key role in making choices in the Tour, but not well described in SEA effectiveness literature!?)</w:t>
      </w:r>
    </w:p>
    <w:p w14:paraId="4242F4A5" w14:textId="2B6EFD68" w:rsidR="007F4CE1" w:rsidRPr="007F4CE1" w:rsidRDefault="00D06297" w:rsidP="007F4CE1">
      <w:pPr>
        <w:pStyle w:val="Kommentartekst"/>
        <w:numPr>
          <w:ilvl w:val="0"/>
          <w:numId w:val="3"/>
        </w:numPr>
        <w:rPr>
          <w:lang w:val="en-US"/>
        </w:rPr>
      </w:pPr>
      <w:r>
        <w:rPr>
          <w:lang w:val="en-US"/>
        </w:rPr>
        <w:t xml:space="preserve">The </w:t>
      </w:r>
      <w:r w:rsidR="00201D86">
        <w:rPr>
          <w:lang w:val="en-US"/>
        </w:rPr>
        <w:t xml:space="preserve">Cycling Team owner </w:t>
      </w:r>
      <w:r>
        <w:rPr>
          <w:lang w:val="en-US"/>
        </w:rPr>
        <w:t>– as the distant, but powerful director of the department?</w:t>
      </w:r>
      <w:r w:rsidR="00C53EE8">
        <w:rPr>
          <w:lang w:val="en-US"/>
        </w:rPr>
        <w:t xml:space="preserve"> (not well described in SEA effectiveness literature..)</w:t>
      </w:r>
    </w:p>
  </w:comment>
  <w:comment w:id="2" w:author="Runhaar, H.A.C. (Hens)" w:date="2020-09-30T10:29:00Z" w:initials="RH(">
    <w:p w14:paraId="4CA25E68" w14:textId="77777777" w:rsidR="00DA6FAA" w:rsidRPr="00014867" w:rsidRDefault="00DA6FAA">
      <w:pPr>
        <w:pStyle w:val="Kommentartekst"/>
        <w:rPr>
          <w:lang w:val="en-US"/>
        </w:rPr>
      </w:pPr>
      <w:r>
        <w:rPr>
          <w:rStyle w:val="Kommentarhenvisning"/>
        </w:rPr>
        <w:annotationRef/>
      </w:r>
      <w:r w:rsidRPr="00014867">
        <w:rPr>
          <w:lang w:val="en-US"/>
        </w:rPr>
        <w:t>I would link these roles to explicit actors involved in SEA</w:t>
      </w:r>
    </w:p>
    <w:p w14:paraId="5B41D602" w14:textId="77777777" w:rsidR="00DA6FAA" w:rsidRPr="00014867" w:rsidRDefault="00DA6FAA">
      <w:pPr>
        <w:pStyle w:val="Kommentartekst"/>
        <w:rPr>
          <w:lang w:val="en-US"/>
        </w:rPr>
      </w:pPr>
    </w:p>
    <w:p w14:paraId="046A68CD" w14:textId="7A90CF16" w:rsidR="00DA6FAA" w:rsidRPr="00014867" w:rsidRDefault="00DA6FAA">
      <w:pPr>
        <w:pStyle w:val="Kommentartekst"/>
        <w:rPr>
          <w:lang w:val="en-US"/>
        </w:rPr>
      </w:pPr>
      <w:r w:rsidRPr="00014867">
        <w:rPr>
          <w:lang w:val="en-US"/>
        </w:rPr>
        <w:t xml:space="preserve">Manager </w:t>
      </w:r>
      <w:r>
        <w:sym w:font="Wingdings" w:char="F0E0"/>
      </w:r>
      <w:r w:rsidRPr="00014867">
        <w:rPr>
          <w:lang w:val="en-US"/>
        </w:rPr>
        <w:t xml:space="preserve"> competent authority?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14CCA" w15:done="0"/>
  <w15:commentEx w15:paraId="4242F4A5" w15:done="0"/>
  <w15:commentEx w15:paraId="046A68CD" w15:paraIdParent="4242F4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6E03" w16cex:dateUtc="2020-09-28T12:13:00Z"/>
  <w16cex:commentExtensible w16cex:durableId="231E1D70" w16cex:dateUtc="2020-09-29T18:54:00Z"/>
  <w16cex:commentExtensible w16cex:durableId="231E1519" w16cex:dateUtc="2020-09-29T18:18:00Z"/>
  <w16cex:commentExtensible w16cex:durableId="231E156F" w16cex:dateUtc="2020-09-29T18:19:00Z"/>
  <w16cex:commentExtensible w16cex:durableId="231E1839" w16cex:dateUtc="2020-09-29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76A0A" w16cid:durableId="231EDA70"/>
  <w16cid:commentId w16cid:paraId="1A400BC2" w16cid:durableId="231EDB30"/>
  <w16cid:commentId w16cid:paraId="4297B2E9" w16cid:durableId="231EDBE3"/>
  <w16cid:commentId w16cid:paraId="6F114CCA" w16cid:durableId="231EDA71"/>
  <w16cid:commentId w16cid:paraId="79EADB9C" w16cid:durableId="231EDBA7"/>
  <w16cid:commentId w16cid:paraId="16C458C3" w16cid:durableId="231EDC01"/>
  <w16cid:commentId w16cid:paraId="2E29F534" w16cid:durableId="231EDC6C"/>
  <w16cid:commentId w16cid:paraId="4242F4A5" w16cid:durableId="231EDA72"/>
  <w16cid:commentId w16cid:paraId="046A68CD" w16cid:durableId="231EDC7F"/>
  <w16cid:commentId w16cid:paraId="28E76AAE" w16cid:durableId="231EDCCC"/>
  <w16cid:commentId w16cid:paraId="4C595F12" w16cid:durableId="231EDD06"/>
  <w16cid:commentId w16cid:paraId="0B985A55" w16cid:durableId="231C6D53"/>
  <w16cid:commentId w16cid:paraId="71D4D163" w16cid:durableId="231C6D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785"/>
    <w:multiLevelType w:val="hybridMultilevel"/>
    <w:tmpl w:val="E9BC5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C5978"/>
    <w:multiLevelType w:val="hybridMultilevel"/>
    <w:tmpl w:val="97DC7D98"/>
    <w:lvl w:ilvl="0" w:tplc="C6CABEA0">
      <w:start w:val="5"/>
      <w:numFmt w:val="bullet"/>
      <w:lvlText w:val="-"/>
      <w:lvlJc w:val="left"/>
      <w:pPr>
        <w:ind w:left="408" w:hanging="360"/>
      </w:pPr>
      <w:rPr>
        <w:rFonts w:ascii="Calibri" w:eastAsiaTheme="minorHAnsi" w:hAnsi="Calibri" w:cstheme="minorBid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 w15:restartNumberingAfterBreak="0">
    <w:nsid w:val="5D9D0A33"/>
    <w:multiLevelType w:val="hybridMultilevel"/>
    <w:tmpl w:val="18E6A140"/>
    <w:lvl w:ilvl="0" w:tplc="77069A26">
      <w:start w:val="1400"/>
      <w:numFmt w:val="bullet"/>
      <w:lvlText w:val="-"/>
      <w:lvlJc w:val="left"/>
      <w:pPr>
        <w:ind w:left="408" w:hanging="360"/>
      </w:pPr>
      <w:rPr>
        <w:rFonts w:ascii="Calibri" w:eastAsia="Calibri" w:hAnsi="Calibri" w:cs="Calibri" w:hint="default"/>
      </w:rPr>
    </w:lvl>
    <w:lvl w:ilvl="1" w:tplc="04060003">
      <w:start w:val="1"/>
      <w:numFmt w:val="bullet"/>
      <w:lvlText w:val="o"/>
      <w:lvlJc w:val="left"/>
      <w:pPr>
        <w:ind w:left="1128" w:hanging="360"/>
      </w:pPr>
      <w:rPr>
        <w:rFonts w:ascii="Courier New" w:hAnsi="Courier New" w:cs="Courier New" w:hint="default"/>
      </w:rPr>
    </w:lvl>
    <w:lvl w:ilvl="2" w:tplc="04060005">
      <w:start w:val="1"/>
      <w:numFmt w:val="bullet"/>
      <w:lvlText w:val=""/>
      <w:lvlJc w:val="left"/>
      <w:pPr>
        <w:ind w:left="1848" w:hanging="360"/>
      </w:pPr>
      <w:rPr>
        <w:rFonts w:ascii="Wingdings" w:hAnsi="Wingdings" w:hint="default"/>
      </w:rPr>
    </w:lvl>
    <w:lvl w:ilvl="3" w:tplc="04060001">
      <w:start w:val="1"/>
      <w:numFmt w:val="bullet"/>
      <w:lvlText w:val=""/>
      <w:lvlJc w:val="left"/>
      <w:pPr>
        <w:ind w:left="2568" w:hanging="360"/>
      </w:pPr>
      <w:rPr>
        <w:rFonts w:ascii="Symbol" w:hAnsi="Symbol" w:hint="default"/>
      </w:rPr>
    </w:lvl>
    <w:lvl w:ilvl="4" w:tplc="04060003">
      <w:start w:val="1"/>
      <w:numFmt w:val="bullet"/>
      <w:lvlText w:val="o"/>
      <w:lvlJc w:val="left"/>
      <w:pPr>
        <w:ind w:left="3288" w:hanging="360"/>
      </w:pPr>
      <w:rPr>
        <w:rFonts w:ascii="Courier New" w:hAnsi="Courier New" w:cs="Courier New" w:hint="default"/>
      </w:rPr>
    </w:lvl>
    <w:lvl w:ilvl="5" w:tplc="04060005">
      <w:start w:val="1"/>
      <w:numFmt w:val="bullet"/>
      <w:lvlText w:val=""/>
      <w:lvlJc w:val="left"/>
      <w:pPr>
        <w:ind w:left="4008" w:hanging="360"/>
      </w:pPr>
      <w:rPr>
        <w:rFonts w:ascii="Wingdings" w:hAnsi="Wingdings" w:hint="default"/>
      </w:rPr>
    </w:lvl>
    <w:lvl w:ilvl="6" w:tplc="04060001">
      <w:start w:val="1"/>
      <w:numFmt w:val="bullet"/>
      <w:lvlText w:val=""/>
      <w:lvlJc w:val="left"/>
      <w:pPr>
        <w:ind w:left="4728" w:hanging="360"/>
      </w:pPr>
      <w:rPr>
        <w:rFonts w:ascii="Symbol" w:hAnsi="Symbol" w:hint="default"/>
      </w:rPr>
    </w:lvl>
    <w:lvl w:ilvl="7" w:tplc="04060003">
      <w:start w:val="1"/>
      <w:numFmt w:val="bullet"/>
      <w:lvlText w:val="o"/>
      <w:lvlJc w:val="left"/>
      <w:pPr>
        <w:ind w:left="5448" w:hanging="360"/>
      </w:pPr>
      <w:rPr>
        <w:rFonts w:ascii="Courier New" w:hAnsi="Courier New" w:cs="Courier New" w:hint="default"/>
      </w:rPr>
    </w:lvl>
    <w:lvl w:ilvl="8" w:tplc="04060005">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r Lyhne">
    <w15:presenceInfo w15:providerId="AD" w15:userId="S-1-5-21-1069803621-3914932194-1005546127-1364"/>
  </w15:person>
  <w15:person w15:author="Runhaar, H.A.C. (Hens)">
    <w15:presenceInfo w15:providerId="AD" w15:userId="S::h.a.c.runhaar@uu.nl::3c700772-162a-4a7a-a9a5-12349099f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E"/>
    <w:rsid w:val="00014867"/>
    <w:rsid w:val="0006669B"/>
    <w:rsid w:val="00091878"/>
    <w:rsid w:val="000A46F4"/>
    <w:rsid w:val="000E5E1C"/>
    <w:rsid w:val="001104D7"/>
    <w:rsid w:val="00111C58"/>
    <w:rsid w:val="00112B63"/>
    <w:rsid w:val="001178AD"/>
    <w:rsid w:val="001178F1"/>
    <w:rsid w:val="00154D1A"/>
    <w:rsid w:val="001E75C3"/>
    <w:rsid w:val="00201D86"/>
    <w:rsid w:val="00242CA8"/>
    <w:rsid w:val="002462BE"/>
    <w:rsid w:val="0025296B"/>
    <w:rsid w:val="002B6759"/>
    <w:rsid w:val="00345BCE"/>
    <w:rsid w:val="0039309E"/>
    <w:rsid w:val="003B4E99"/>
    <w:rsid w:val="003B6A33"/>
    <w:rsid w:val="00475A61"/>
    <w:rsid w:val="00486E30"/>
    <w:rsid w:val="004A48F5"/>
    <w:rsid w:val="004E2EF3"/>
    <w:rsid w:val="00506A49"/>
    <w:rsid w:val="0051149D"/>
    <w:rsid w:val="00517C44"/>
    <w:rsid w:val="005473B8"/>
    <w:rsid w:val="005E71D1"/>
    <w:rsid w:val="005F3903"/>
    <w:rsid w:val="00603D2A"/>
    <w:rsid w:val="006070ED"/>
    <w:rsid w:val="00673853"/>
    <w:rsid w:val="00686661"/>
    <w:rsid w:val="006A3BB7"/>
    <w:rsid w:val="00733593"/>
    <w:rsid w:val="00744DD2"/>
    <w:rsid w:val="00774DE3"/>
    <w:rsid w:val="007C3E4B"/>
    <w:rsid w:val="007F4CE1"/>
    <w:rsid w:val="00817EEC"/>
    <w:rsid w:val="0082343A"/>
    <w:rsid w:val="00866B2E"/>
    <w:rsid w:val="0089341F"/>
    <w:rsid w:val="008C7DC0"/>
    <w:rsid w:val="008E5C3B"/>
    <w:rsid w:val="00920B15"/>
    <w:rsid w:val="009473F5"/>
    <w:rsid w:val="009639A5"/>
    <w:rsid w:val="00993A99"/>
    <w:rsid w:val="009B6E59"/>
    <w:rsid w:val="00A06B48"/>
    <w:rsid w:val="00A6331A"/>
    <w:rsid w:val="00A77FC9"/>
    <w:rsid w:val="00B05399"/>
    <w:rsid w:val="00B6119B"/>
    <w:rsid w:val="00B65073"/>
    <w:rsid w:val="00C1027E"/>
    <w:rsid w:val="00C27B1F"/>
    <w:rsid w:val="00C53EE8"/>
    <w:rsid w:val="00C95866"/>
    <w:rsid w:val="00D06297"/>
    <w:rsid w:val="00D16083"/>
    <w:rsid w:val="00D6705A"/>
    <w:rsid w:val="00DA32B3"/>
    <w:rsid w:val="00DA6D01"/>
    <w:rsid w:val="00DA6FAA"/>
    <w:rsid w:val="00DB4E16"/>
    <w:rsid w:val="00DC12D5"/>
    <w:rsid w:val="00DE000D"/>
    <w:rsid w:val="00DE410E"/>
    <w:rsid w:val="00EC1756"/>
    <w:rsid w:val="00ED02B7"/>
    <w:rsid w:val="00F42DA1"/>
    <w:rsid w:val="00F46549"/>
    <w:rsid w:val="00F84319"/>
    <w:rsid w:val="00FC7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B509"/>
  <w15:chartTrackingRefBased/>
  <w15:docId w15:val="{50D4EEC2-2868-4677-90B4-491299D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C7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A77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45BCE"/>
    <w:rPr>
      <w:color w:val="0563C1" w:themeColor="hyperlink"/>
      <w:u w:val="single"/>
    </w:rPr>
  </w:style>
  <w:style w:type="character" w:styleId="Kommentarhenvisning">
    <w:name w:val="annotation reference"/>
    <w:basedOn w:val="Standardskrifttypeiafsnit"/>
    <w:uiPriority w:val="99"/>
    <w:semiHidden/>
    <w:unhideWhenUsed/>
    <w:rsid w:val="0025296B"/>
    <w:rPr>
      <w:sz w:val="16"/>
      <w:szCs w:val="16"/>
    </w:rPr>
  </w:style>
  <w:style w:type="paragraph" w:styleId="Kommentartekst">
    <w:name w:val="annotation text"/>
    <w:basedOn w:val="Normal"/>
    <w:link w:val="KommentartekstTegn"/>
    <w:uiPriority w:val="99"/>
    <w:semiHidden/>
    <w:unhideWhenUsed/>
    <w:rsid w:val="0025296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296B"/>
    <w:rPr>
      <w:sz w:val="20"/>
      <w:szCs w:val="20"/>
    </w:rPr>
  </w:style>
  <w:style w:type="paragraph" w:styleId="Kommentaremne">
    <w:name w:val="annotation subject"/>
    <w:basedOn w:val="Kommentartekst"/>
    <w:next w:val="Kommentartekst"/>
    <w:link w:val="KommentaremneTegn"/>
    <w:uiPriority w:val="99"/>
    <w:semiHidden/>
    <w:unhideWhenUsed/>
    <w:rsid w:val="0025296B"/>
    <w:rPr>
      <w:b/>
      <w:bCs/>
    </w:rPr>
  </w:style>
  <w:style w:type="character" w:customStyle="1" w:styleId="KommentaremneTegn">
    <w:name w:val="Kommentaremne Tegn"/>
    <w:basedOn w:val="KommentartekstTegn"/>
    <w:link w:val="Kommentaremne"/>
    <w:uiPriority w:val="99"/>
    <w:semiHidden/>
    <w:rsid w:val="0025296B"/>
    <w:rPr>
      <w:b/>
      <w:bCs/>
      <w:sz w:val="20"/>
      <w:szCs w:val="20"/>
    </w:rPr>
  </w:style>
  <w:style w:type="paragraph" w:styleId="Markeringsbobletekst">
    <w:name w:val="Balloon Text"/>
    <w:basedOn w:val="Normal"/>
    <w:link w:val="MarkeringsbobletekstTegn"/>
    <w:uiPriority w:val="99"/>
    <w:semiHidden/>
    <w:unhideWhenUsed/>
    <w:rsid w:val="0025296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296B"/>
    <w:rPr>
      <w:rFonts w:ascii="Segoe UI" w:hAnsi="Segoe UI" w:cs="Segoe UI"/>
      <w:sz w:val="18"/>
      <w:szCs w:val="18"/>
    </w:rPr>
  </w:style>
  <w:style w:type="paragraph" w:styleId="Listeafsnit">
    <w:name w:val="List Paragraph"/>
    <w:basedOn w:val="Normal"/>
    <w:uiPriority w:val="1"/>
    <w:qFormat/>
    <w:rsid w:val="008C7DC0"/>
    <w:pPr>
      <w:widowControl w:val="0"/>
      <w:autoSpaceDE w:val="0"/>
      <w:autoSpaceDN w:val="0"/>
      <w:spacing w:after="0" w:line="240" w:lineRule="auto"/>
      <w:ind w:left="350" w:right="308" w:hanging="236"/>
      <w:jc w:val="both"/>
    </w:pPr>
    <w:rPr>
      <w:rFonts w:ascii="Century" w:eastAsia="Century" w:hAnsi="Century" w:cs="Century"/>
      <w:lang w:val="en-US"/>
    </w:rPr>
  </w:style>
  <w:style w:type="character" w:customStyle="1" w:styleId="Overskrift1Tegn">
    <w:name w:val="Overskrift 1 Tegn"/>
    <w:basedOn w:val="Standardskrifttypeiafsnit"/>
    <w:link w:val="Overskrift1"/>
    <w:uiPriority w:val="9"/>
    <w:rsid w:val="008C7DC0"/>
    <w:rPr>
      <w:rFonts w:ascii="Times New Roman" w:eastAsia="Times New Roman" w:hAnsi="Times New Roman" w:cs="Times New Roman"/>
      <w:b/>
      <w:bCs/>
      <w:kern w:val="36"/>
      <w:sz w:val="48"/>
      <w:szCs w:val="48"/>
      <w:lang w:eastAsia="da-DK"/>
    </w:rPr>
  </w:style>
  <w:style w:type="character" w:customStyle="1" w:styleId="a-size-extra-large">
    <w:name w:val="a-size-extra-large"/>
    <w:basedOn w:val="Standardskrifttypeiafsnit"/>
    <w:rsid w:val="008C7DC0"/>
  </w:style>
  <w:style w:type="character" w:customStyle="1" w:styleId="a-size-base">
    <w:name w:val="a-size-base"/>
    <w:basedOn w:val="Standardskrifttypeiafsnit"/>
    <w:rsid w:val="008C7DC0"/>
  </w:style>
  <w:style w:type="character" w:customStyle="1" w:styleId="searchnone">
    <w:name w:val="searchnone"/>
    <w:basedOn w:val="Standardskrifttypeiafsnit"/>
    <w:rsid w:val="00A77FC9"/>
  </w:style>
  <w:style w:type="character" w:customStyle="1" w:styleId="Overskrift2Tegn">
    <w:name w:val="Overskrift 2 Tegn"/>
    <w:basedOn w:val="Standardskrifttypeiafsnit"/>
    <w:link w:val="Overskrift2"/>
    <w:uiPriority w:val="9"/>
    <w:semiHidden/>
    <w:rsid w:val="00A77FC9"/>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Standardskrifttypeiafsnit"/>
    <w:rsid w:val="00DE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392">
      <w:bodyDiv w:val="1"/>
      <w:marLeft w:val="0"/>
      <w:marRight w:val="0"/>
      <w:marTop w:val="0"/>
      <w:marBottom w:val="0"/>
      <w:divBdr>
        <w:top w:val="none" w:sz="0" w:space="0" w:color="auto"/>
        <w:left w:val="none" w:sz="0" w:space="0" w:color="auto"/>
        <w:bottom w:val="none" w:sz="0" w:space="0" w:color="auto"/>
        <w:right w:val="none" w:sz="0" w:space="0" w:color="auto"/>
      </w:divBdr>
    </w:div>
    <w:div w:id="347753343">
      <w:bodyDiv w:val="1"/>
      <w:marLeft w:val="0"/>
      <w:marRight w:val="0"/>
      <w:marTop w:val="0"/>
      <w:marBottom w:val="0"/>
      <w:divBdr>
        <w:top w:val="none" w:sz="0" w:space="0" w:color="auto"/>
        <w:left w:val="none" w:sz="0" w:space="0" w:color="auto"/>
        <w:bottom w:val="none" w:sz="0" w:space="0" w:color="auto"/>
        <w:right w:val="none" w:sz="0" w:space="0" w:color="auto"/>
      </w:divBdr>
      <w:divsChild>
        <w:div w:id="753235863">
          <w:marLeft w:val="0"/>
          <w:marRight w:val="0"/>
          <w:marTop w:val="0"/>
          <w:marBottom w:val="0"/>
          <w:divBdr>
            <w:top w:val="none" w:sz="0" w:space="0" w:color="auto"/>
            <w:left w:val="none" w:sz="0" w:space="0" w:color="auto"/>
            <w:bottom w:val="none" w:sz="0" w:space="0" w:color="auto"/>
            <w:right w:val="none" w:sz="0" w:space="0" w:color="auto"/>
          </w:divBdr>
          <w:divsChild>
            <w:div w:id="2867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150">
      <w:bodyDiv w:val="1"/>
      <w:marLeft w:val="0"/>
      <w:marRight w:val="0"/>
      <w:marTop w:val="0"/>
      <w:marBottom w:val="0"/>
      <w:divBdr>
        <w:top w:val="none" w:sz="0" w:space="0" w:color="auto"/>
        <w:left w:val="none" w:sz="0" w:space="0" w:color="auto"/>
        <w:bottom w:val="none" w:sz="0" w:space="0" w:color="auto"/>
        <w:right w:val="none" w:sz="0" w:space="0" w:color="auto"/>
      </w:divBdr>
      <w:divsChild>
        <w:div w:id="2083915707">
          <w:marLeft w:val="0"/>
          <w:marRight w:val="0"/>
          <w:marTop w:val="0"/>
          <w:marBottom w:val="0"/>
          <w:divBdr>
            <w:top w:val="none" w:sz="0" w:space="0" w:color="auto"/>
            <w:left w:val="none" w:sz="0" w:space="0" w:color="auto"/>
            <w:bottom w:val="none" w:sz="0" w:space="0" w:color="auto"/>
            <w:right w:val="none" w:sz="0" w:space="0" w:color="auto"/>
          </w:divBdr>
          <w:divsChild>
            <w:div w:id="887374876">
              <w:marLeft w:val="0"/>
              <w:marRight w:val="0"/>
              <w:marTop w:val="0"/>
              <w:marBottom w:val="0"/>
              <w:divBdr>
                <w:top w:val="none" w:sz="0" w:space="0" w:color="auto"/>
                <w:left w:val="none" w:sz="0" w:space="0" w:color="auto"/>
                <w:bottom w:val="none" w:sz="0" w:space="0" w:color="auto"/>
                <w:right w:val="none" w:sz="0" w:space="0" w:color="auto"/>
              </w:divBdr>
              <w:divsChild>
                <w:div w:id="280496380">
                  <w:marLeft w:val="0"/>
                  <w:marRight w:val="0"/>
                  <w:marTop w:val="0"/>
                  <w:marBottom w:val="0"/>
                  <w:divBdr>
                    <w:top w:val="none" w:sz="0" w:space="0" w:color="auto"/>
                    <w:left w:val="none" w:sz="0" w:space="0" w:color="auto"/>
                    <w:bottom w:val="none" w:sz="0" w:space="0" w:color="auto"/>
                    <w:right w:val="none" w:sz="0" w:space="0" w:color="auto"/>
                  </w:divBdr>
                  <w:divsChild>
                    <w:div w:id="3713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221">
          <w:marLeft w:val="0"/>
          <w:marRight w:val="0"/>
          <w:marTop w:val="0"/>
          <w:marBottom w:val="0"/>
          <w:divBdr>
            <w:top w:val="none" w:sz="0" w:space="0" w:color="auto"/>
            <w:left w:val="none" w:sz="0" w:space="0" w:color="auto"/>
            <w:bottom w:val="none" w:sz="0" w:space="0" w:color="auto"/>
            <w:right w:val="none" w:sz="0" w:space="0" w:color="auto"/>
          </w:divBdr>
          <w:divsChild>
            <w:div w:id="415516048">
              <w:marLeft w:val="0"/>
              <w:marRight w:val="0"/>
              <w:marTop w:val="0"/>
              <w:marBottom w:val="0"/>
              <w:divBdr>
                <w:top w:val="none" w:sz="0" w:space="0" w:color="auto"/>
                <w:left w:val="none" w:sz="0" w:space="0" w:color="auto"/>
                <w:bottom w:val="none" w:sz="0" w:space="0" w:color="auto"/>
                <w:right w:val="none" w:sz="0" w:space="0" w:color="auto"/>
              </w:divBdr>
              <w:divsChild>
                <w:div w:id="487793060">
                  <w:marLeft w:val="0"/>
                  <w:marRight w:val="0"/>
                  <w:marTop w:val="0"/>
                  <w:marBottom w:val="0"/>
                  <w:divBdr>
                    <w:top w:val="none" w:sz="0" w:space="0" w:color="auto"/>
                    <w:left w:val="none" w:sz="0" w:space="0" w:color="auto"/>
                    <w:bottom w:val="none" w:sz="0" w:space="0" w:color="auto"/>
                    <w:right w:val="none" w:sz="0" w:space="0" w:color="auto"/>
                  </w:divBdr>
                  <w:divsChild>
                    <w:div w:id="397017586">
                      <w:marLeft w:val="0"/>
                      <w:marRight w:val="0"/>
                      <w:marTop w:val="0"/>
                      <w:marBottom w:val="0"/>
                      <w:divBdr>
                        <w:top w:val="none" w:sz="0" w:space="0" w:color="auto"/>
                        <w:left w:val="none" w:sz="0" w:space="0" w:color="auto"/>
                        <w:bottom w:val="none" w:sz="0" w:space="0" w:color="auto"/>
                        <w:right w:val="none" w:sz="0" w:space="0" w:color="auto"/>
                      </w:divBdr>
                      <w:divsChild>
                        <w:div w:id="1292201872">
                          <w:marLeft w:val="0"/>
                          <w:marRight w:val="0"/>
                          <w:marTop w:val="0"/>
                          <w:marBottom w:val="0"/>
                          <w:divBdr>
                            <w:top w:val="none" w:sz="0" w:space="0" w:color="auto"/>
                            <w:left w:val="none" w:sz="0" w:space="0" w:color="auto"/>
                            <w:bottom w:val="none" w:sz="0" w:space="0" w:color="auto"/>
                            <w:right w:val="none" w:sz="0" w:space="0" w:color="auto"/>
                          </w:divBdr>
                          <w:divsChild>
                            <w:div w:id="851533786">
                              <w:marLeft w:val="0"/>
                              <w:marRight w:val="0"/>
                              <w:marTop w:val="0"/>
                              <w:marBottom w:val="0"/>
                              <w:divBdr>
                                <w:top w:val="none" w:sz="0" w:space="0" w:color="auto"/>
                                <w:left w:val="none" w:sz="0" w:space="0" w:color="auto"/>
                                <w:bottom w:val="none" w:sz="0" w:space="0" w:color="auto"/>
                                <w:right w:val="none" w:sz="0" w:space="0" w:color="auto"/>
                              </w:divBdr>
                              <w:divsChild>
                                <w:div w:id="1223099937">
                                  <w:marLeft w:val="0"/>
                                  <w:marRight w:val="0"/>
                                  <w:marTop w:val="0"/>
                                  <w:marBottom w:val="0"/>
                                  <w:divBdr>
                                    <w:top w:val="none" w:sz="0" w:space="0" w:color="auto"/>
                                    <w:left w:val="none" w:sz="0" w:space="0" w:color="auto"/>
                                    <w:bottom w:val="none" w:sz="0" w:space="0" w:color="auto"/>
                                    <w:right w:val="none" w:sz="0" w:space="0" w:color="auto"/>
                                  </w:divBdr>
                                  <w:divsChild>
                                    <w:div w:id="311374089">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
                                        <w:div w:id="742416218">
                                          <w:marLeft w:val="0"/>
                                          <w:marRight w:val="0"/>
                                          <w:marTop w:val="0"/>
                                          <w:marBottom w:val="0"/>
                                          <w:divBdr>
                                            <w:top w:val="none" w:sz="0" w:space="0" w:color="auto"/>
                                            <w:left w:val="none" w:sz="0" w:space="0" w:color="auto"/>
                                            <w:bottom w:val="none" w:sz="0" w:space="0" w:color="auto"/>
                                            <w:right w:val="none" w:sz="0" w:space="0" w:color="auto"/>
                                          </w:divBdr>
                                          <w:divsChild>
                                            <w:div w:id="232392762">
                                              <w:marLeft w:val="0"/>
                                              <w:marRight w:val="0"/>
                                              <w:marTop w:val="0"/>
                                              <w:marBottom w:val="0"/>
                                              <w:divBdr>
                                                <w:top w:val="none" w:sz="0" w:space="0" w:color="auto"/>
                                                <w:left w:val="none" w:sz="0" w:space="0" w:color="auto"/>
                                                <w:bottom w:val="none" w:sz="0" w:space="0" w:color="auto"/>
                                                <w:right w:val="none" w:sz="0" w:space="0" w:color="auto"/>
                                              </w:divBdr>
                                              <w:divsChild>
                                                <w:div w:id="2561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8280">
      <w:bodyDiv w:val="1"/>
      <w:marLeft w:val="0"/>
      <w:marRight w:val="0"/>
      <w:marTop w:val="0"/>
      <w:marBottom w:val="0"/>
      <w:divBdr>
        <w:top w:val="none" w:sz="0" w:space="0" w:color="auto"/>
        <w:left w:val="none" w:sz="0" w:space="0" w:color="auto"/>
        <w:bottom w:val="none" w:sz="0" w:space="0" w:color="auto"/>
        <w:right w:val="none" w:sz="0" w:space="0" w:color="auto"/>
      </w:divBdr>
    </w:div>
    <w:div w:id="1314333626">
      <w:bodyDiv w:val="1"/>
      <w:marLeft w:val="0"/>
      <w:marRight w:val="0"/>
      <w:marTop w:val="0"/>
      <w:marBottom w:val="0"/>
      <w:divBdr>
        <w:top w:val="none" w:sz="0" w:space="0" w:color="auto"/>
        <w:left w:val="none" w:sz="0" w:space="0" w:color="auto"/>
        <w:bottom w:val="none" w:sz="0" w:space="0" w:color="auto"/>
        <w:right w:val="none" w:sz="0" w:space="0" w:color="auto"/>
      </w:divBdr>
    </w:div>
    <w:div w:id="1452749741">
      <w:bodyDiv w:val="1"/>
      <w:marLeft w:val="0"/>
      <w:marRight w:val="0"/>
      <w:marTop w:val="0"/>
      <w:marBottom w:val="0"/>
      <w:divBdr>
        <w:top w:val="none" w:sz="0" w:space="0" w:color="auto"/>
        <w:left w:val="none" w:sz="0" w:space="0" w:color="auto"/>
        <w:bottom w:val="none" w:sz="0" w:space="0" w:color="auto"/>
        <w:right w:val="none" w:sz="0" w:space="0" w:color="auto"/>
      </w:divBdr>
    </w:div>
    <w:div w:id="1660386219">
      <w:bodyDiv w:val="1"/>
      <w:marLeft w:val="0"/>
      <w:marRight w:val="0"/>
      <w:marTop w:val="0"/>
      <w:marBottom w:val="0"/>
      <w:divBdr>
        <w:top w:val="none" w:sz="0" w:space="0" w:color="auto"/>
        <w:left w:val="none" w:sz="0" w:space="0" w:color="auto"/>
        <w:bottom w:val="none" w:sz="0" w:space="0" w:color="auto"/>
        <w:right w:val="none" w:sz="0" w:space="0" w:color="auto"/>
      </w:divBdr>
    </w:div>
    <w:div w:id="1903785994">
      <w:bodyDiv w:val="1"/>
      <w:marLeft w:val="0"/>
      <w:marRight w:val="0"/>
      <w:marTop w:val="0"/>
      <w:marBottom w:val="0"/>
      <w:divBdr>
        <w:top w:val="none" w:sz="0" w:space="0" w:color="auto"/>
        <w:left w:val="none" w:sz="0" w:space="0" w:color="auto"/>
        <w:bottom w:val="none" w:sz="0" w:space="0" w:color="auto"/>
        <w:right w:val="none" w:sz="0" w:space="0" w:color="auto"/>
      </w:divBdr>
    </w:div>
    <w:div w:id="21076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CF0C71F34A3C4E947F18B56310E837" ma:contentTypeVersion="13" ma:contentTypeDescription="Opret et nyt dokument." ma:contentTypeScope="" ma:versionID="b91d3fb0c279ea4dd704b00f1aa08b84">
  <xsd:schema xmlns:xsd="http://www.w3.org/2001/XMLSchema" xmlns:xs="http://www.w3.org/2001/XMLSchema" xmlns:p="http://schemas.microsoft.com/office/2006/metadata/properties" xmlns:ns3="8ec8f80e-5250-4c5e-9350-55c34e6f8f9a" xmlns:ns4="415e5320-9a77-43ab-ae22-217f8fd3ea02" targetNamespace="http://schemas.microsoft.com/office/2006/metadata/properties" ma:root="true" ma:fieldsID="bb07a0deeb019afd20403c006879bfba" ns3:_="" ns4:_="">
    <xsd:import namespace="8ec8f80e-5250-4c5e-9350-55c34e6f8f9a"/>
    <xsd:import namespace="415e5320-9a77-43ab-ae22-217f8fd3ea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f80e-5250-4c5e-9350-55c34e6f8f9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e5320-9a77-43ab-ae22-217f8fd3ea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E8970-F677-47E6-929B-A52DDB7C3329}">
  <ds:schemaRefs>
    <ds:schemaRef ds:uri="http://purl.org/dc/elements/1.1/"/>
    <ds:schemaRef ds:uri="http://purl.org/dc/dcmitype/"/>
    <ds:schemaRef ds:uri="http://schemas.microsoft.com/office/infopath/2007/PartnerControls"/>
    <ds:schemaRef ds:uri="8ec8f80e-5250-4c5e-9350-55c34e6f8f9a"/>
    <ds:schemaRef ds:uri="http://purl.org/dc/terms/"/>
    <ds:schemaRef ds:uri="http://schemas.microsoft.com/office/2006/metadata/properties"/>
    <ds:schemaRef ds:uri="http://schemas.microsoft.com/office/2006/documentManagement/types"/>
    <ds:schemaRef ds:uri="415e5320-9a77-43ab-ae22-217f8fd3ea0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3E48B3-3F77-406D-BC14-AFA114DC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f80e-5250-4c5e-9350-55c34e6f8f9a"/>
    <ds:schemaRef ds:uri="415e5320-9a77-43ab-ae22-217f8fd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86ADA-34F0-4029-8210-8348281D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2133</Words>
  <Characters>13017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Lyhne</dc:creator>
  <cp:keywords/>
  <dc:description/>
  <cp:lastModifiedBy>Ivar Lyhne</cp:lastModifiedBy>
  <cp:revision>7</cp:revision>
  <dcterms:created xsi:type="dcterms:W3CDTF">2020-09-30T08:39:00Z</dcterms:created>
  <dcterms:modified xsi:type="dcterms:W3CDTF">2020-10-05T07:13:00Z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0x010100C8CF0C71F34A3C4E947F18B56310E837</vt:lpwstr>
  </property>
</Properties>
</file>