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4AB" w:rsidRDefault="008A64AB" w:rsidP="00CD121A">
      <w:pPr>
        <w:rPr>
          <w:rFonts w:ascii="Arial" w:hAnsi="Arial" w:cs="Arial"/>
          <w:b/>
        </w:rPr>
      </w:pPr>
    </w:p>
    <w:p w:rsidR="00EB20F2" w:rsidRPr="00EB20F2" w:rsidRDefault="00EB20F2" w:rsidP="00EB20F2">
      <w:pPr>
        <w:rPr>
          <w:rFonts w:ascii="Arial" w:hAnsi="Arial" w:cs="Arial"/>
          <w:b/>
          <w:bCs/>
        </w:rPr>
      </w:pPr>
      <w:r>
        <w:rPr>
          <w:rFonts w:ascii="Arial" w:hAnsi="Arial" w:cs="Arial"/>
          <w:b/>
          <w:bCs/>
        </w:rPr>
        <w:t>Influence of m</w:t>
      </w:r>
      <w:r w:rsidRPr="00EB20F2">
        <w:rPr>
          <w:rFonts w:ascii="Arial" w:hAnsi="Arial" w:cs="Arial"/>
          <w:b/>
          <w:bCs/>
        </w:rPr>
        <w:t xml:space="preserve">icrobial </w:t>
      </w:r>
      <w:r>
        <w:rPr>
          <w:rFonts w:ascii="Arial" w:hAnsi="Arial" w:cs="Arial"/>
          <w:b/>
          <w:bCs/>
        </w:rPr>
        <w:t>community composition on activated s</w:t>
      </w:r>
      <w:r w:rsidRPr="00EB20F2">
        <w:rPr>
          <w:rFonts w:ascii="Arial" w:hAnsi="Arial" w:cs="Arial"/>
          <w:b/>
          <w:bCs/>
        </w:rPr>
        <w:t xml:space="preserve">ludge </w:t>
      </w:r>
      <w:r>
        <w:rPr>
          <w:rFonts w:ascii="Arial" w:hAnsi="Arial" w:cs="Arial"/>
          <w:b/>
          <w:bCs/>
        </w:rPr>
        <w:t>floc p</w:t>
      </w:r>
      <w:r w:rsidRPr="00EB20F2">
        <w:rPr>
          <w:rFonts w:ascii="Arial" w:hAnsi="Arial" w:cs="Arial"/>
          <w:b/>
          <w:bCs/>
        </w:rPr>
        <w:t>roperties</w:t>
      </w:r>
      <w:r>
        <w:rPr>
          <w:rFonts w:ascii="Arial" w:hAnsi="Arial" w:cs="Arial"/>
          <w:b/>
          <w:bCs/>
        </w:rPr>
        <w:t xml:space="preserve"> and d</w:t>
      </w:r>
      <w:r w:rsidRPr="00EB20F2">
        <w:rPr>
          <w:rFonts w:ascii="Arial" w:hAnsi="Arial" w:cs="Arial"/>
          <w:b/>
          <w:bCs/>
        </w:rPr>
        <w:t>ewaterability</w:t>
      </w:r>
    </w:p>
    <w:p w:rsidR="000B1A9F" w:rsidRPr="00CD121A" w:rsidRDefault="000B1A9F" w:rsidP="00CD121A"/>
    <w:p w:rsidR="000B1A9F" w:rsidRPr="004267F2" w:rsidRDefault="004267F2" w:rsidP="00CD121A">
      <w:pPr>
        <w:rPr>
          <w:rFonts w:ascii="Arial" w:hAnsi="Arial" w:cs="Arial"/>
          <w:b/>
          <w:sz w:val="20"/>
          <w:lang w:val="da-DK"/>
        </w:rPr>
      </w:pPr>
      <w:r w:rsidRPr="004267F2">
        <w:rPr>
          <w:rFonts w:ascii="Arial" w:hAnsi="Arial" w:cs="Arial"/>
          <w:b/>
          <w:sz w:val="20"/>
          <w:lang w:val="da-DK"/>
        </w:rPr>
        <w:t>Hansen, S</w:t>
      </w:r>
      <w:r w:rsidR="00F1640D" w:rsidRPr="004267F2">
        <w:rPr>
          <w:rFonts w:ascii="Arial" w:hAnsi="Arial" w:cs="Arial"/>
          <w:b/>
          <w:sz w:val="20"/>
          <w:lang w:val="da-DK"/>
        </w:rPr>
        <w:t>.</w:t>
      </w:r>
      <w:r w:rsidRPr="004267F2">
        <w:rPr>
          <w:rFonts w:ascii="Arial" w:hAnsi="Arial" w:cs="Arial"/>
          <w:b/>
          <w:sz w:val="20"/>
          <w:lang w:val="da-DK"/>
        </w:rPr>
        <w:t xml:space="preserve"> H.</w:t>
      </w:r>
      <w:r w:rsidR="000B1A9F" w:rsidRPr="004267F2">
        <w:rPr>
          <w:rFonts w:ascii="Arial" w:hAnsi="Arial" w:cs="Arial"/>
          <w:b/>
          <w:sz w:val="20"/>
          <w:lang w:val="da-DK"/>
        </w:rPr>
        <w:t xml:space="preserve">*, </w:t>
      </w:r>
      <w:r w:rsidRPr="004267F2">
        <w:rPr>
          <w:rFonts w:ascii="Arial" w:hAnsi="Arial" w:cs="Arial"/>
          <w:b/>
          <w:sz w:val="20"/>
          <w:lang w:val="da-DK"/>
        </w:rPr>
        <w:t>Nierychlo, M</w:t>
      </w:r>
      <w:r>
        <w:rPr>
          <w:rFonts w:ascii="Arial" w:hAnsi="Arial" w:cs="Arial"/>
          <w:b/>
          <w:sz w:val="20"/>
          <w:lang w:val="da-DK"/>
        </w:rPr>
        <w:t>.</w:t>
      </w:r>
      <w:r w:rsidR="00A56C9D" w:rsidRPr="004267F2">
        <w:rPr>
          <w:rFonts w:ascii="Arial" w:hAnsi="Arial" w:cs="Arial"/>
          <w:b/>
          <w:sz w:val="20"/>
          <w:lang w:val="da-DK"/>
        </w:rPr>
        <w:t>*</w:t>
      </w:r>
      <w:r w:rsidR="00287637">
        <w:rPr>
          <w:rFonts w:ascii="Arial" w:hAnsi="Arial" w:cs="Arial"/>
          <w:b/>
          <w:sz w:val="20"/>
          <w:lang w:val="da-DK"/>
        </w:rPr>
        <w:t>, Jiang, C.*</w:t>
      </w:r>
      <w:bookmarkStart w:id="0" w:name="_GoBack"/>
      <w:bookmarkEnd w:id="0"/>
      <w:r w:rsidR="00A56C9D" w:rsidRPr="004267F2">
        <w:rPr>
          <w:rFonts w:ascii="Arial" w:hAnsi="Arial" w:cs="Arial"/>
          <w:b/>
          <w:sz w:val="20"/>
          <w:lang w:val="da-DK"/>
        </w:rPr>
        <w:t xml:space="preserve"> and </w:t>
      </w:r>
      <w:r w:rsidRPr="004267F2">
        <w:rPr>
          <w:rFonts w:ascii="Arial" w:hAnsi="Arial" w:cs="Arial"/>
          <w:b/>
          <w:sz w:val="20"/>
          <w:lang w:val="da-DK"/>
        </w:rPr>
        <w:t>Nielsen, P</w:t>
      </w:r>
      <w:r w:rsidR="00A56C9D" w:rsidRPr="004267F2">
        <w:rPr>
          <w:rFonts w:ascii="Arial" w:hAnsi="Arial" w:cs="Arial"/>
          <w:b/>
          <w:sz w:val="20"/>
          <w:lang w:val="da-DK"/>
        </w:rPr>
        <w:t>.</w:t>
      </w:r>
      <w:r>
        <w:rPr>
          <w:rFonts w:ascii="Arial" w:hAnsi="Arial" w:cs="Arial"/>
          <w:b/>
          <w:sz w:val="20"/>
          <w:lang w:val="da-DK"/>
        </w:rPr>
        <w:t xml:space="preserve"> H.</w:t>
      </w:r>
      <w:r w:rsidR="00A56C9D" w:rsidRPr="004267F2">
        <w:rPr>
          <w:rFonts w:ascii="Arial" w:hAnsi="Arial" w:cs="Arial"/>
          <w:b/>
          <w:sz w:val="20"/>
          <w:lang w:val="da-DK"/>
        </w:rPr>
        <w:t>*</w:t>
      </w:r>
    </w:p>
    <w:p w:rsidR="000B1A9F" w:rsidRPr="00C1181C" w:rsidRDefault="000B1A9F" w:rsidP="00CD121A">
      <w:pPr>
        <w:rPr>
          <w:rFonts w:ascii="Arial" w:hAnsi="Arial" w:cs="Arial"/>
          <w:sz w:val="18"/>
        </w:rPr>
      </w:pPr>
      <w:r w:rsidRPr="00C1181C">
        <w:rPr>
          <w:rFonts w:ascii="Arial" w:hAnsi="Arial" w:cs="Arial"/>
          <w:sz w:val="18"/>
        </w:rPr>
        <w:t>*</w:t>
      </w:r>
      <w:r w:rsidR="004267F2" w:rsidRPr="004267F2">
        <w:t xml:space="preserve"> </w:t>
      </w:r>
      <w:proofErr w:type="spellStart"/>
      <w:r w:rsidR="004267F2" w:rsidRPr="004267F2">
        <w:rPr>
          <w:rFonts w:ascii="Arial" w:hAnsi="Arial" w:cs="Arial"/>
          <w:sz w:val="18"/>
        </w:rPr>
        <w:t>Center</w:t>
      </w:r>
      <w:proofErr w:type="spellEnd"/>
      <w:r w:rsidR="004267F2" w:rsidRPr="004267F2">
        <w:rPr>
          <w:rFonts w:ascii="Arial" w:hAnsi="Arial" w:cs="Arial"/>
          <w:sz w:val="18"/>
        </w:rPr>
        <w:t xml:space="preserve"> for M</w:t>
      </w:r>
      <w:r w:rsidR="00A928E4">
        <w:rPr>
          <w:rFonts w:ascii="Arial" w:hAnsi="Arial" w:cs="Arial"/>
          <w:sz w:val="18"/>
        </w:rPr>
        <w:t>icrobial Communities</w:t>
      </w:r>
      <w:r w:rsidR="004267F2" w:rsidRPr="004267F2">
        <w:rPr>
          <w:rFonts w:ascii="Arial" w:hAnsi="Arial" w:cs="Arial"/>
          <w:sz w:val="18"/>
        </w:rPr>
        <w:t xml:space="preserve">, Department of Chemistry and Bioscience, Aalborg University, Fredrik </w:t>
      </w:r>
      <w:proofErr w:type="spellStart"/>
      <w:r w:rsidR="004267F2" w:rsidRPr="004267F2">
        <w:rPr>
          <w:rFonts w:ascii="Arial" w:hAnsi="Arial" w:cs="Arial"/>
          <w:sz w:val="18"/>
        </w:rPr>
        <w:t>Bajers</w:t>
      </w:r>
      <w:proofErr w:type="spellEnd"/>
      <w:r w:rsidR="004267F2" w:rsidRPr="004267F2">
        <w:rPr>
          <w:rFonts w:ascii="Arial" w:hAnsi="Arial" w:cs="Arial"/>
          <w:sz w:val="18"/>
        </w:rPr>
        <w:t xml:space="preserve"> </w:t>
      </w:r>
      <w:proofErr w:type="spellStart"/>
      <w:r w:rsidR="004267F2" w:rsidRPr="004267F2">
        <w:rPr>
          <w:rFonts w:ascii="Arial" w:hAnsi="Arial" w:cs="Arial"/>
          <w:sz w:val="18"/>
        </w:rPr>
        <w:t>Vej</w:t>
      </w:r>
      <w:proofErr w:type="spellEnd"/>
      <w:r w:rsidR="004267F2" w:rsidRPr="004267F2">
        <w:rPr>
          <w:rFonts w:ascii="Arial" w:hAnsi="Arial" w:cs="Arial"/>
          <w:sz w:val="18"/>
        </w:rPr>
        <w:t xml:space="preserve"> 7H, DK-9220 Aalborg </w:t>
      </w:r>
    </w:p>
    <w:p w:rsidR="008A64AB" w:rsidRDefault="008A64AB" w:rsidP="00CD121A">
      <w:pPr>
        <w:rPr>
          <w:rFonts w:ascii="Arial" w:hAnsi="Arial" w:cs="Arial"/>
          <w:b/>
          <w:sz w:val="20"/>
        </w:rPr>
      </w:pPr>
    </w:p>
    <w:p w:rsidR="000B1A9F" w:rsidRPr="00CF5BC8" w:rsidRDefault="000B1A9F" w:rsidP="00CD121A">
      <w:pPr>
        <w:rPr>
          <w:rFonts w:ascii="Arial" w:hAnsi="Arial" w:cs="Arial"/>
          <w:sz w:val="20"/>
        </w:rPr>
      </w:pPr>
      <w:r w:rsidRPr="00CF5BC8">
        <w:rPr>
          <w:rFonts w:ascii="Arial" w:hAnsi="Arial" w:cs="Arial"/>
          <w:b/>
          <w:sz w:val="20"/>
        </w:rPr>
        <w:t>Keywords:</w:t>
      </w:r>
      <w:r w:rsidRPr="00CF5BC8">
        <w:rPr>
          <w:rFonts w:ascii="Arial" w:hAnsi="Arial" w:cs="Arial"/>
          <w:sz w:val="20"/>
        </w:rPr>
        <w:t xml:space="preserve"> </w:t>
      </w:r>
      <w:r w:rsidR="003A192E" w:rsidRPr="003A192E">
        <w:rPr>
          <w:rFonts w:ascii="Arial" w:hAnsi="Arial" w:cs="Arial"/>
          <w:sz w:val="20"/>
        </w:rPr>
        <w:t>Activated sludge; Sludge floc properties; Microbial communities</w:t>
      </w:r>
    </w:p>
    <w:p w:rsidR="000B1A9F" w:rsidRPr="00CD121A" w:rsidRDefault="00CA158A" w:rsidP="00CA158A">
      <w:pPr>
        <w:tabs>
          <w:tab w:val="left" w:pos="6420"/>
        </w:tabs>
      </w:pPr>
      <w:r>
        <w:tab/>
      </w:r>
    </w:p>
    <w:p w:rsidR="00F01853" w:rsidRPr="002A55F9" w:rsidRDefault="00F01853" w:rsidP="002A55F9">
      <w:pPr>
        <w:spacing w:after="120"/>
        <w:rPr>
          <w:rFonts w:ascii="Arial" w:hAnsi="Arial" w:cs="Arial"/>
          <w:b/>
          <w:sz w:val="20"/>
        </w:rPr>
      </w:pPr>
      <w:r w:rsidRPr="002A55F9">
        <w:rPr>
          <w:rFonts w:ascii="Arial" w:hAnsi="Arial" w:cs="Arial"/>
          <w:b/>
          <w:sz w:val="20"/>
        </w:rPr>
        <w:t>Summary of key findings</w:t>
      </w:r>
    </w:p>
    <w:p w:rsidR="00F01853" w:rsidRDefault="00EB20F2" w:rsidP="00623C42">
      <w:pPr>
        <w:rPr>
          <w:bCs/>
          <w:sz w:val="22"/>
        </w:rPr>
      </w:pPr>
      <w:r w:rsidRPr="00EB20F2">
        <w:rPr>
          <w:bCs/>
          <w:sz w:val="22"/>
        </w:rPr>
        <w:t>By linking the microbial community structure of different sludge fractions to the sludge properties</w:t>
      </w:r>
      <w:r w:rsidR="00623C42">
        <w:rPr>
          <w:bCs/>
          <w:sz w:val="22"/>
        </w:rPr>
        <w:t xml:space="preserve"> in a survey</w:t>
      </w:r>
      <w:r w:rsidR="006F5041">
        <w:rPr>
          <w:bCs/>
          <w:sz w:val="22"/>
        </w:rPr>
        <w:t xml:space="preserve"> of full-scale wastewater treatment plants</w:t>
      </w:r>
      <w:r w:rsidR="00203921">
        <w:rPr>
          <w:bCs/>
          <w:sz w:val="22"/>
        </w:rPr>
        <w:t xml:space="preserve"> with nutrient removal</w:t>
      </w:r>
      <w:r w:rsidR="00623C42">
        <w:rPr>
          <w:bCs/>
          <w:sz w:val="22"/>
        </w:rPr>
        <w:t xml:space="preserve"> in </w:t>
      </w:r>
      <w:proofErr w:type="gramStart"/>
      <w:r w:rsidR="00623C42">
        <w:rPr>
          <w:bCs/>
          <w:sz w:val="22"/>
        </w:rPr>
        <w:t>Denmark</w:t>
      </w:r>
      <w:proofErr w:type="gramEnd"/>
      <w:r w:rsidRPr="00EB20F2">
        <w:rPr>
          <w:bCs/>
          <w:sz w:val="22"/>
        </w:rPr>
        <w:t xml:space="preserve"> </w:t>
      </w:r>
      <w:r w:rsidR="00623C42">
        <w:rPr>
          <w:bCs/>
          <w:sz w:val="22"/>
        </w:rPr>
        <w:t>w</w:t>
      </w:r>
      <w:r w:rsidR="00623C42" w:rsidRPr="00B11B53">
        <w:rPr>
          <w:sz w:val="22"/>
        </w:rPr>
        <w:t>e found that the composition of microbial communities differs between different sludge fractions</w:t>
      </w:r>
      <w:r w:rsidR="006F5041">
        <w:rPr>
          <w:sz w:val="22"/>
        </w:rPr>
        <w:t>.</w:t>
      </w:r>
      <w:r w:rsidR="00203921">
        <w:rPr>
          <w:sz w:val="22"/>
        </w:rPr>
        <w:t xml:space="preserve"> </w:t>
      </w:r>
      <w:r w:rsidR="006F5041">
        <w:rPr>
          <w:sz w:val="22"/>
        </w:rPr>
        <w:t>S</w:t>
      </w:r>
      <w:r w:rsidR="00623C42" w:rsidRPr="00B11B53">
        <w:rPr>
          <w:sz w:val="22"/>
        </w:rPr>
        <w:t>pecific bacteria were enriched in the bulk water fraction and in the fraction loosely bound to the floc</w:t>
      </w:r>
      <w:r w:rsidR="006F5041">
        <w:rPr>
          <w:sz w:val="22"/>
        </w:rPr>
        <w:t>s</w:t>
      </w:r>
      <w:r w:rsidR="00623C42" w:rsidRPr="00B11B53">
        <w:rPr>
          <w:sz w:val="22"/>
        </w:rPr>
        <w:t xml:space="preserve"> and could therefore be characterized as poor floc formers.</w:t>
      </w:r>
      <w:r w:rsidRPr="00EB20F2">
        <w:rPr>
          <w:bCs/>
          <w:sz w:val="22"/>
        </w:rPr>
        <w:t xml:space="preserve"> The genera </w:t>
      </w:r>
      <w:proofErr w:type="spellStart"/>
      <w:r w:rsidRPr="00EB20F2">
        <w:rPr>
          <w:bCs/>
          <w:i/>
          <w:sz w:val="22"/>
        </w:rPr>
        <w:t>Acrobacter</w:t>
      </w:r>
      <w:proofErr w:type="spellEnd"/>
      <w:r w:rsidRPr="00EB20F2">
        <w:rPr>
          <w:bCs/>
          <w:sz w:val="22"/>
        </w:rPr>
        <w:t xml:space="preserve"> and </w:t>
      </w:r>
      <w:proofErr w:type="spellStart"/>
      <w:r w:rsidRPr="00EB20F2">
        <w:rPr>
          <w:bCs/>
          <w:i/>
          <w:sz w:val="22"/>
        </w:rPr>
        <w:t>Acidovorax</w:t>
      </w:r>
      <w:proofErr w:type="spellEnd"/>
      <w:r w:rsidRPr="00EB20F2">
        <w:rPr>
          <w:bCs/>
          <w:sz w:val="22"/>
        </w:rPr>
        <w:t>, which have been associated with in</w:t>
      </w:r>
      <w:r w:rsidR="006F5041">
        <w:rPr>
          <w:bCs/>
          <w:sz w:val="22"/>
        </w:rPr>
        <w:t>f</w:t>
      </w:r>
      <w:r w:rsidRPr="00EB20F2">
        <w:rPr>
          <w:bCs/>
          <w:sz w:val="22"/>
        </w:rPr>
        <w:t>l</w:t>
      </w:r>
      <w:r w:rsidR="006F5041">
        <w:rPr>
          <w:bCs/>
          <w:sz w:val="22"/>
        </w:rPr>
        <w:t>u</w:t>
      </w:r>
      <w:r w:rsidRPr="00EB20F2">
        <w:rPr>
          <w:bCs/>
          <w:sz w:val="22"/>
        </w:rPr>
        <w:t>e</w:t>
      </w:r>
      <w:r w:rsidR="006F5041">
        <w:rPr>
          <w:bCs/>
          <w:sz w:val="22"/>
        </w:rPr>
        <w:t>n</w:t>
      </w:r>
      <w:r w:rsidRPr="00EB20F2">
        <w:rPr>
          <w:bCs/>
          <w:sz w:val="22"/>
        </w:rPr>
        <w:t xml:space="preserve">t wastewater, were found to be abundant in the water phase of sludge, whereas the well-known polyphosphate accumulating organism </w:t>
      </w:r>
      <w:r w:rsidRPr="00EB20F2">
        <w:rPr>
          <w:bCs/>
          <w:i/>
          <w:sz w:val="22"/>
        </w:rPr>
        <w:t xml:space="preserve">Tetrasphaera </w:t>
      </w:r>
      <w:r w:rsidRPr="00EB20F2">
        <w:rPr>
          <w:bCs/>
          <w:sz w:val="22"/>
        </w:rPr>
        <w:t xml:space="preserve">was found to be </w:t>
      </w:r>
      <w:r w:rsidR="006F5041" w:rsidRPr="00EB20F2">
        <w:rPr>
          <w:bCs/>
          <w:sz w:val="22"/>
        </w:rPr>
        <w:t>r</w:t>
      </w:r>
      <w:r w:rsidR="006F5041">
        <w:rPr>
          <w:bCs/>
          <w:sz w:val="22"/>
        </w:rPr>
        <w:t xml:space="preserve">esistant </w:t>
      </w:r>
      <w:r w:rsidRPr="00EB20F2">
        <w:rPr>
          <w:bCs/>
          <w:sz w:val="22"/>
        </w:rPr>
        <w:t xml:space="preserve">to shear and thereby </w:t>
      </w:r>
      <w:r w:rsidR="00203921">
        <w:rPr>
          <w:bCs/>
          <w:sz w:val="22"/>
        </w:rPr>
        <w:t>contributing to form</w:t>
      </w:r>
      <w:r w:rsidRPr="00EB20F2">
        <w:rPr>
          <w:bCs/>
          <w:sz w:val="22"/>
        </w:rPr>
        <w:t xml:space="preserve"> </w:t>
      </w:r>
      <w:r w:rsidR="00203921">
        <w:rPr>
          <w:bCs/>
          <w:sz w:val="22"/>
        </w:rPr>
        <w:t xml:space="preserve">large, </w:t>
      </w:r>
      <w:r w:rsidRPr="00EB20F2">
        <w:rPr>
          <w:bCs/>
          <w:sz w:val="22"/>
        </w:rPr>
        <w:t>strong flo</w:t>
      </w:r>
      <w:r w:rsidR="00203921">
        <w:rPr>
          <w:bCs/>
          <w:sz w:val="22"/>
        </w:rPr>
        <w:t>cs.</w:t>
      </w:r>
    </w:p>
    <w:p w:rsidR="00EB20F2" w:rsidRDefault="00EB20F2" w:rsidP="00C1181C"/>
    <w:p w:rsidR="002A55F9" w:rsidRPr="002A55F9" w:rsidRDefault="002A55F9" w:rsidP="002A55F9">
      <w:pPr>
        <w:spacing w:after="120"/>
        <w:rPr>
          <w:rFonts w:ascii="Arial" w:hAnsi="Arial" w:cs="Arial"/>
          <w:b/>
          <w:sz w:val="20"/>
        </w:rPr>
      </w:pPr>
      <w:r w:rsidRPr="002A55F9">
        <w:rPr>
          <w:rFonts w:ascii="Arial" w:hAnsi="Arial" w:cs="Arial"/>
          <w:b/>
          <w:sz w:val="20"/>
        </w:rPr>
        <w:t>Background and relevance</w:t>
      </w:r>
    </w:p>
    <w:p w:rsidR="002F7347" w:rsidRPr="002F7347" w:rsidRDefault="002F7347" w:rsidP="002F7347">
      <w:pPr>
        <w:rPr>
          <w:sz w:val="22"/>
        </w:rPr>
      </w:pPr>
      <w:r w:rsidRPr="002F7347">
        <w:rPr>
          <w:sz w:val="22"/>
        </w:rPr>
        <w:t>The activated sludge process is key in modern wastewater treatment</w:t>
      </w:r>
      <w:r w:rsidR="00203921">
        <w:rPr>
          <w:sz w:val="22"/>
        </w:rPr>
        <w:t xml:space="preserve"> with nutrient removal and recovery</w:t>
      </w:r>
      <w:r w:rsidRPr="002F7347">
        <w:rPr>
          <w:sz w:val="22"/>
        </w:rPr>
        <w:t>. The microbial community composition must be stable in order to maintain the desired nutrient removal. Bacterial morphology, mode of growth</w:t>
      </w:r>
      <w:r w:rsidR="00203921">
        <w:rPr>
          <w:sz w:val="22"/>
        </w:rPr>
        <w:t>,</w:t>
      </w:r>
      <w:r w:rsidRPr="002F7347">
        <w:rPr>
          <w:sz w:val="22"/>
        </w:rPr>
        <w:t xml:space="preserve"> and </w:t>
      </w:r>
      <w:r w:rsidR="00203921" w:rsidRPr="002F7347">
        <w:rPr>
          <w:sz w:val="22"/>
        </w:rPr>
        <w:t xml:space="preserve">composition </w:t>
      </w:r>
      <w:r w:rsidR="00203921">
        <w:rPr>
          <w:sz w:val="22"/>
        </w:rPr>
        <w:t xml:space="preserve">of </w:t>
      </w:r>
      <w:r w:rsidRPr="002F7347">
        <w:rPr>
          <w:sz w:val="22"/>
        </w:rPr>
        <w:t>extracellular polymeric substances (EPS) determine floc size, shape</w:t>
      </w:r>
      <w:r w:rsidR="00203921">
        <w:rPr>
          <w:sz w:val="22"/>
        </w:rPr>
        <w:t>,</w:t>
      </w:r>
      <w:r w:rsidRPr="002F7347">
        <w:rPr>
          <w:sz w:val="22"/>
        </w:rPr>
        <w:t xml:space="preserve"> and strength, which in turn influence important sludge properties. Optimal sludge properties are important for the wastewater treatment plant operation and eventually effluent quality. The aim of this study was to establish the link between the microbial community structure and </w:t>
      </w:r>
      <w:proofErr w:type="spellStart"/>
      <w:r w:rsidRPr="002F7347">
        <w:rPr>
          <w:sz w:val="22"/>
        </w:rPr>
        <w:t>physico</w:t>
      </w:r>
      <w:proofErr w:type="spellEnd"/>
      <w:r w:rsidRPr="002F7347">
        <w:rPr>
          <w:sz w:val="22"/>
        </w:rPr>
        <w:t>-chemical sludge characteristics and thereby provide a better understanding of the</w:t>
      </w:r>
      <w:r w:rsidR="006F5041">
        <w:rPr>
          <w:sz w:val="22"/>
        </w:rPr>
        <w:t xml:space="preserve"> lin</w:t>
      </w:r>
      <w:r w:rsidR="00203921">
        <w:rPr>
          <w:sz w:val="22"/>
        </w:rPr>
        <w:t>k</w:t>
      </w:r>
      <w:r w:rsidR="006F5041">
        <w:rPr>
          <w:sz w:val="22"/>
        </w:rPr>
        <w:t xml:space="preserve"> between community structure and</w:t>
      </w:r>
      <w:r w:rsidRPr="002F7347">
        <w:rPr>
          <w:sz w:val="22"/>
        </w:rPr>
        <w:t xml:space="preserve"> activated sludge process</w:t>
      </w:r>
      <w:r w:rsidR="006F5041">
        <w:rPr>
          <w:sz w:val="22"/>
        </w:rPr>
        <w:t xml:space="preserve"> performance</w:t>
      </w:r>
      <w:r w:rsidRPr="002F7347">
        <w:rPr>
          <w:sz w:val="22"/>
        </w:rPr>
        <w:t>.</w:t>
      </w:r>
    </w:p>
    <w:p w:rsidR="002A55F9" w:rsidRDefault="002A55F9" w:rsidP="002A55F9"/>
    <w:p w:rsidR="002A55F9" w:rsidRPr="002A55F9" w:rsidRDefault="002A55F9" w:rsidP="002A55F9">
      <w:pPr>
        <w:spacing w:after="120"/>
        <w:rPr>
          <w:rFonts w:ascii="Arial" w:hAnsi="Arial" w:cs="Arial"/>
          <w:b/>
          <w:sz w:val="20"/>
        </w:rPr>
      </w:pPr>
      <w:r w:rsidRPr="002A55F9">
        <w:rPr>
          <w:rFonts w:ascii="Arial" w:hAnsi="Arial" w:cs="Arial"/>
          <w:b/>
          <w:sz w:val="20"/>
        </w:rPr>
        <w:t>Results</w:t>
      </w:r>
    </w:p>
    <w:p w:rsidR="00F04069" w:rsidRDefault="00F04069" w:rsidP="00F04069">
      <w:pPr>
        <w:rPr>
          <w:sz w:val="22"/>
        </w:rPr>
      </w:pPr>
      <w:r w:rsidRPr="00F04069">
        <w:rPr>
          <w:sz w:val="22"/>
        </w:rPr>
        <w:t xml:space="preserve">The investigations </w:t>
      </w:r>
      <w:proofErr w:type="gramStart"/>
      <w:r w:rsidRPr="00F04069">
        <w:rPr>
          <w:sz w:val="22"/>
        </w:rPr>
        <w:t>were carried out</w:t>
      </w:r>
      <w:proofErr w:type="gramEnd"/>
      <w:r w:rsidRPr="00F04069">
        <w:rPr>
          <w:sz w:val="22"/>
        </w:rPr>
        <w:t xml:space="preserve"> on </w:t>
      </w:r>
      <w:r w:rsidR="006F5041" w:rsidRPr="00F04069">
        <w:rPr>
          <w:sz w:val="22"/>
        </w:rPr>
        <w:t xml:space="preserve">activated sludge </w:t>
      </w:r>
      <w:r w:rsidR="006F5041">
        <w:rPr>
          <w:sz w:val="22"/>
        </w:rPr>
        <w:t>samples from</w:t>
      </w:r>
      <w:r w:rsidRPr="00F04069">
        <w:rPr>
          <w:sz w:val="22"/>
        </w:rPr>
        <w:t xml:space="preserve">19 full-scale wastewater treatment plants (WWTP) </w:t>
      </w:r>
      <w:r w:rsidR="00203921">
        <w:rPr>
          <w:sz w:val="22"/>
        </w:rPr>
        <w:t xml:space="preserve">with nutrient removal </w:t>
      </w:r>
      <w:r w:rsidRPr="00F04069">
        <w:rPr>
          <w:sz w:val="22"/>
        </w:rPr>
        <w:t>in Denmark</w:t>
      </w:r>
      <w:r w:rsidR="00623C42">
        <w:rPr>
          <w:sz w:val="22"/>
        </w:rPr>
        <w:t>.</w:t>
      </w:r>
      <w:r w:rsidRPr="00F04069">
        <w:rPr>
          <w:sz w:val="22"/>
        </w:rPr>
        <w:t xml:space="preserve"> </w:t>
      </w:r>
      <w:r w:rsidR="006F5041">
        <w:rPr>
          <w:sz w:val="22"/>
        </w:rPr>
        <w:t>Extensive analys</w:t>
      </w:r>
      <w:r w:rsidR="00203921">
        <w:rPr>
          <w:sz w:val="22"/>
        </w:rPr>
        <w:t>e</w:t>
      </w:r>
      <w:r w:rsidR="006F5041">
        <w:rPr>
          <w:sz w:val="22"/>
        </w:rPr>
        <w:t>s of p</w:t>
      </w:r>
      <w:r w:rsidRPr="00F04069">
        <w:rPr>
          <w:sz w:val="22"/>
        </w:rPr>
        <w:t>hysi</w:t>
      </w:r>
      <w:r w:rsidR="006F5041">
        <w:rPr>
          <w:sz w:val="22"/>
        </w:rPr>
        <w:t>c</w:t>
      </w:r>
      <w:r w:rsidRPr="00F04069">
        <w:rPr>
          <w:sz w:val="22"/>
        </w:rPr>
        <w:t xml:space="preserve">ochemical </w:t>
      </w:r>
      <w:r w:rsidR="0062414B">
        <w:rPr>
          <w:sz w:val="22"/>
        </w:rPr>
        <w:t>properties</w:t>
      </w:r>
      <w:r w:rsidR="0062414B" w:rsidRPr="00F04069">
        <w:rPr>
          <w:sz w:val="22"/>
        </w:rPr>
        <w:t xml:space="preserve"> </w:t>
      </w:r>
      <w:r w:rsidRPr="00F04069">
        <w:rPr>
          <w:sz w:val="22"/>
        </w:rPr>
        <w:t xml:space="preserve">and dewaterability </w:t>
      </w:r>
      <w:r w:rsidR="006F5041">
        <w:rPr>
          <w:sz w:val="22"/>
        </w:rPr>
        <w:t>of these sludge samples have been performed</w:t>
      </w:r>
      <w:r w:rsidR="00DA0394">
        <w:rPr>
          <w:sz w:val="22"/>
        </w:rPr>
        <w:t xml:space="preserve"> previously</w:t>
      </w:r>
      <w:r w:rsidRPr="00F04069">
        <w:rPr>
          <w:sz w:val="22"/>
        </w:rPr>
        <w:t xml:space="preserve"> </w:t>
      </w:r>
      <w:r w:rsidRPr="00F04069">
        <w:rPr>
          <w:sz w:val="22"/>
        </w:rPr>
        <w:fldChar w:fldCharType="begin" w:fldLock="1"/>
      </w:r>
      <w:r w:rsidRPr="00F04069">
        <w:rPr>
          <w:sz w:val="22"/>
        </w:rPr>
        <w:instrText>ADDIN CSL_CITATION {"citationItems":[{"id":"ITEM-1","itemData":{"DOI":"10.1016/j.watres.2017.04.056","ISSN":"18792448","abstract":"A range of parameters affecting floc characteristics, sludge composition and filtration properties was investigated by analyzing 29 sludge samples from municipal and industrial conventional activated sludge systems and municipal membrane bioreactors (MBR). Samples were characterized by physico-chemical parameters, composition of ions and EPS, degree of flocculation, settling properties, dewatering properties, and filtration properties. By analyzing the interplay between various metrics instead of single parameters, a unified understanding of the influence of sludge composition and characteristics was developed. From this, a conceptual model was proposed to describe the interplay between sludge composition, characteristics, and filtration properties. The article shows three major results contributing to describe the interplay between sludge characteristics and fouling propensity: First, the degree of flocculation could be quantified by the ratio between floc size and residual turbidity and was a key parameter to assess fouling propensity. Second, extracted EPS to polyvalent cations ratio was used as an indicator of the flocculation. A high ratio combined with a high concentration of EPS resulted in large, loosely bound, and weak flocs that were easily deformed, hence giving compressible fouling layers. Finally, high amounts of carbohydrates in both total and extracted EPS resulted in more pronounced fouling, which may be explained by carbohydrates forming poorer flocs than humic substances and proteins. Accordingly, samples with high humic content showed lower specific resistance to filtration due to better floc structure. The amount of carbohydrates in EPS correlated positively to the influent COD/N ratio, which may explain why systems with high influent COD/N ratio demonstrated higher fouling propensity.","author":[{"dropping-particle":"","family":"Jørgensen","given":"Mads Koustrup","non-dropping-particle":"","parse-names":false,"suffix":""},{"dropping-particle":"","family":"Nierychlo","given":"Marta","non-dropping-particle":"","parse-names":false,"suffix":""},{"dropping-particle":"","family":"Nielsen","given":"Asbjørn Haaning","non-dropping-particle":"","parse-names":false,"suffix":""},{"dropping-particle":"","family":"Larsen","given":"Poul","non-dropping-particle":"","parse-names":false,"suffix":""},{"dropping-particle":"","family":"Christensen","given":"Morten Lykkegaard","non-dropping-particle":"","parse-names":false,"suffix":""},{"dropping-particle":"","family":"Nielsen","given":"Per Halkjær","non-dropping-particle":"","parse-names":false,"suffix":""}],"container-title":"Water Research","id":"ITEM-1","issued":{"date-parts":[["2017"]]},"page":"117-132","title":"Unified understanding of physico-chemical properties of activated sludge and fouling propensity","type":"article-journal","volume":"120"},"uris":["http://www.mendeley.com/documents/?uuid=69141cbd-f750-4ff4-805f-f361d2b836eb"]}],"mendeley":{"formattedCitation":"(Jørgensen et al., 2017)","plainTextFormattedCitation":"(Jørgensen et al., 2017)","previouslyFormattedCitation":"(Jørgensen et al., 2017)"},"properties":{"noteIndex":0},"schema":"https://github.com/citation-style-language/schema/raw/master/csl-citation.json"}</w:instrText>
      </w:r>
      <w:r w:rsidRPr="00F04069">
        <w:rPr>
          <w:sz w:val="22"/>
        </w:rPr>
        <w:fldChar w:fldCharType="separate"/>
      </w:r>
      <w:r w:rsidRPr="00F04069">
        <w:rPr>
          <w:noProof/>
          <w:sz w:val="22"/>
        </w:rPr>
        <w:t>(Jørgensen et al., 2017)</w:t>
      </w:r>
      <w:r w:rsidRPr="00F04069">
        <w:rPr>
          <w:sz w:val="22"/>
        </w:rPr>
        <w:fldChar w:fldCharType="end"/>
      </w:r>
      <w:r w:rsidRPr="00F04069">
        <w:rPr>
          <w:sz w:val="22"/>
        </w:rPr>
        <w:t>. In continuation hereof</w:t>
      </w:r>
      <w:r w:rsidR="00203921">
        <w:rPr>
          <w:sz w:val="22"/>
        </w:rPr>
        <w:t>,</w:t>
      </w:r>
      <w:r w:rsidRPr="00F04069">
        <w:rPr>
          <w:sz w:val="22"/>
        </w:rPr>
        <w:t xml:space="preserve"> </w:t>
      </w:r>
      <w:r w:rsidR="00DA0394">
        <w:rPr>
          <w:sz w:val="22"/>
        </w:rPr>
        <w:t xml:space="preserve">activated </w:t>
      </w:r>
      <w:r w:rsidRPr="00F04069">
        <w:rPr>
          <w:sz w:val="22"/>
        </w:rPr>
        <w:t>sludge sample</w:t>
      </w:r>
      <w:r w:rsidR="00DA0394">
        <w:rPr>
          <w:sz w:val="22"/>
        </w:rPr>
        <w:t>s</w:t>
      </w:r>
      <w:r w:rsidRPr="00F04069">
        <w:rPr>
          <w:sz w:val="22"/>
        </w:rPr>
        <w:t xml:space="preserve"> w</w:t>
      </w:r>
      <w:r w:rsidR="00DA0394">
        <w:rPr>
          <w:sz w:val="22"/>
        </w:rPr>
        <w:t>ere</w:t>
      </w:r>
      <w:r w:rsidRPr="00F04069">
        <w:rPr>
          <w:sz w:val="22"/>
        </w:rPr>
        <w:t xml:space="preserve"> s</w:t>
      </w:r>
      <w:r w:rsidR="00DA0394">
        <w:rPr>
          <w:sz w:val="22"/>
        </w:rPr>
        <w:t>eparated</w:t>
      </w:r>
      <w:r w:rsidRPr="00F04069">
        <w:rPr>
          <w:sz w:val="22"/>
        </w:rPr>
        <w:t xml:space="preserve"> in</w:t>
      </w:r>
      <w:r w:rsidR="00DA0394">
        <w:rPr>
          <w:sz w:val="22"/>
        </w:rPr>
        <w:t>to</w:t>
      </w:r>
      <w:r w:rsidRPr="00F04069">
        <w:rPr>
          <w:sz w:val="22"/>
        </w:rPr>
        <w:t xml:space="preserve"> three fractions; total sludge (TS), supernatant (S), and supernatant after shear (SA). </w:t>
      </w:r>
      <w:r w:rsidR="00DA0394">
        <w:rPr>
          <w:sz w:val="22"/>
        </w:rPr>
        <w:t>M</w:t>
      </w:r>
      <w:r w:rsidR="00B11B53" w:rsidRPr="00B11B53">
        <w:rPr>
          <w:sz w:val="22"/>
        </w:rPr>
        <w:t xml:space="preserve">icrobial community composition of the three fractions was studied using 16S rRNA gene amplicon sequencing and the </w:t>
      </w:r>
      <w:proofErr w:type="spellStart"/>
      <w:r w:rsidR="00B11B53" w:rsidRPr="00B11B53">
        <w:rPr>
          <w:sz w:val="22"/>
        </w:rPr>
        <w:t>MiDAS</w:t>
      </w:r>
      <w:proofErr w:type="spellEnd"/>
      <w:r w:rsidR="00B11B53" w:rsidRPr="00B11B53">
        <w:rPr>
          <w:sz w:val="22"/>
        </w:rPr>
        <w:t xml:space="preserve"> ecosystem-specific taxonomy</w:t>
      </w:r>
      <w:r w:rsidR="0062414B">
        <w:rPr>
          <w:sz w:val="22"/>
        </w:rPr>
        <w:t xml:space="preserve"> </w:t>
      </w:r>
      <w:r w:rsidR="0062414B">
        <w:rPr>
          <w:sz w:val="22"/>
        </w:rPr>
        <w:fldChar w:fldCharType="begin" w:fldLock="1"/>
      </w:r>
      <w:r w:rsidR="0062414B">
        <w:rPr>
          <w:sz w:val="22"/>
        </w:rPr>
        <w:instrText>ADDIN CSL_CITATION {"citationItems":[{"id":"ITEM-1","itemData":{"DOI":"10.1101/672873","abstract":"High-throughput 16S rRNA gene amplicon sequencing is an indispensable method for studying the diversity and dynamics of microbial communities. However, this method is presently hampered by the lack of high-identity reference sequences for many environmental microbes in the public 16S rRNA gene reference databases, and by the lack of a systematic and comprehensive taxonomic classification for most environmental bacteria. Here we combine high-quality and high-throughput full-length 16S rRNA gene sequencing with a novel sequence identity-based approach for automated taxonomy assignment (AutoTax) to create robust, near-complete 16S rRNA gene databases for complex environmental ecosystems. To demonstrate the benefit of the approach, we created an ecosystem-specific database for wastewater treatment systems and anaerobic digesters. The novel approach allows consistent species-level classification of 16S rRNA amplicons sequence variants and the design of highly specific oligonucleotide probes for fluorescence in situ hybridization, which can reveal in situ properties of microbes at unprecedented taxonomic resolution.","author":[{"dropping-particle":"","family":"Dueholm","given":"Morten Simonsen","non-dropping-particle":"","parse-names":false,"suffix":""},{"dropping-particle":"","family":"Andersen","given":"Kasper Skytte","non-dropping-particle":"","parse-names":false,"suffix":""},{"dropping-particle":"","family":"Petriglieri","given":"Francesca","non-dropping-particle":"","parse-names":false,"suffix":""},{"dropping-particle":"","family":"McIlroy","given":"Simon Jon","non-dropping-particle":"","parse-names":false,"suffix":""},{"dropping-particle":"","family":"Nierychlo","given":"Marta","non-dropping-particle":"","parse-names":false,"suffix":""},{"dropping-particle":"","family":"Petersen","given":"Jette Fisher","non-dropping-particle":"","parse-names":false,"suffix":""},{"dropping-particle":"","family":"Kristensen","given":"Jannie Munk","non-dropping-particle":"","parse-names":false,"suffix":""},{"dropping-particle":"","family":"Yashiro","given":"Erika","non-dropping-particle":"","parse-names":false,"suffix":""},{"dropping-particle":"","family":"Karst","given":"Søren Michael","non-dropping-particle":"","parse-names":false,"suffix":""},{"dropping-particle":"","family":"Albertsen","given":"Mads","non-dropping-particle":"","parse-names":false,"suffix":""},{"dropping-particle":"","family":"Nielsen","given":"Per Halkjær","non-dropping-particle":"","parse-names":false,"suffix":""}],"container-title":"bioRxiv","id":"ITEM-1","issued":{"date-parts":[["2019"]]},"page":"672873","title":"Comprehensive ecosystem-specific 16S rRNA gene databases with automated taxonomy assignment (AutoTax) provide species-level resolution in microbial ecology","type":"article-journal"},"uris":["http://www.mendeley.com/documents/?uuid=cf449941-7cf2-3203-9c63-73876d57bd2d"]}],"mendeley":{"formattedCitation":"(Dueholm et al., 2019)","plainTextFormattedCitation":"(Dueholm et al., 2019)"},"properties":{"noteIndex":0},"schema":"https://github.com/citation-style-language/schema/raw/master/csl-citation.json"}</w:instrText>
      </w:r>
      <w:r w:rsidR="0062414B">
        <w:rPr>
          <w:sz w:val="22"/>
        </w:rPr>
        <w:fldChar w:fldCharType="separate"/>
      </w:r>
      <w:r w:rsidR="0062414B" w:rsidRPr="0062414B">
        <w:rPr>
          <w:noProof/>
          <w:sz w:val="22"/>
        </w:rPr>
        <w:t>(Dueholm et al., 2019)</w:t>
      </w:r>
      <w:r w:rsidR="0062414B">
        <w:rPr>
          <w:sz w:val="22"/>
        </w:rPr>
        <w:fldChar w:fldCharType="end"/>
      </w:r>
      <w:r w:rsidR="0062414B">
        <w:rPr>
          <w:sz w:val="22"/>
        </w:rPr>
        <w:t xml:space="preserve"> </w:t>
      </w:r>
      <w:r w:rsidR="00B11B53" w:rsidRPr="00B11B53">
        <w:rPr>
          <w:sz w:val="22"/>
        </w:rPr>
        <w:t>followed by multivariate statistics and correlation analysis</w:t>
      </w:r>
      <w:r w:rsidR="00623C42">
        <w:rPr>
          <w:sz w:val="22"/>
        </w:rPr>
        <w:t xml:space="preserve"> </w:t>
      </w:r>
      <w:r w:rsidR="00623C42" w:rsidRPr="00F04069">
        <w:rPr>
          <w:sz w:val="22"/>
        </w:rPr>
        <w:t>(Fig. 1</w:t>
      </w:r>
      <w:r w:rsidR="00623C42">
        <w:rPr>
          <w:sz w:val="22"/>
        </w:rPr>
        <w:t>.1</w:t>
      </w:r>
      <w:r w:rsidR="00623C42" w:rsidRPr="00F04069">
        <w:rPr>
          <w:sz w:val="22"/>
        </w:rPr>
        <w:t>).</w:t>
      </w:r>
    </w:p>
    <w:p w:rsidR="00203921" w:rsidRDefault="00203921" w:rsidP="00402EBA">
      <w:pPr>
        <w:rPr>
          <w:sz w:val="22"/>
        </w:rPr>
      </w:pPr>
    </w:p>
    <w:p w:rsidR="00402EBA" w:rsidRPr="00203921" w:rsidRDefault="00623C42" w:rsidP="00402EBA">
      <w:pPr>
        <w:rPr>
          <w:sz w:val="22"/>
          <w:szCs w:val="22"/>
        </w:rPr>
      </w:pPr>
      <w:r w:rsidRPr="00B11B53">
        <w:rPr>
          <w:sz w:val="22"/>
        </w:rPr>
        <w:t>We found that the composition of microbial communities differ</w:t>
      </w:r>
      <w:r w:rsidR="00DA0394">
        <w:rPr>
          <w:sz w:val="22"/>
        </w:rPr>
        <w:t>ed</w:t>
      </w:r>
      <w:r w:rsidRPr="00B11B53">
        <w:rPr>
          <w:sz w:val="22"/>
        </w:rPr>
        <w:t xml:space="preserve"> between different sludge fractions and that specific bacteria </w:t>
      </w:r>
      <w:proofErr w:type="gramStart"/>
      <w:r w:rsidRPr="00B11B53">
        <w:rPr>
          <w:sz w:val="22"/>
        </w:rPr>
        <w:t>were enriched</w:t>
      </w:r>
      <w:proofErr w:type="gramEnd"/>
      <w:r w:rsidRPr="00B11B53">
        <w:rPr>
          <w:sz w:val="22"/>
        </w:rPr>
        <w:t xml:space="preserve"> in the bulk water fraction and in the </w:t>
      </w:r>
      <w:r w:rsidRPr="00A023AD">
        <w:rPr>
          <w:sz w:val="22"/>
          <w:szCs w:val="22"/>
        </w:rPr>
        <w:t>fraction loosely bound to the floc (Fig. 1.2)</w:t>
      </w:r>
      <w:r w:rsidR="00A023AD" w:rsidRPr="00A023AD">
        <w:rPr>
          <w:sz w:val="22"/>
          <w:szCs w:val="22"/>
        </w:rPr>
        <w:t>.</w:t>
      </w:r>
      <w:r w:rsidRPr="00A023AD">
        <w:rPr>
          <w:sz w:val="22"/>
          <w:szCs w:val="22"/>
        </w:rPr>
        <w:t xml:space="preserve"> </w:t>
      </w:r>
      <w:r w:rsidR="00A023AD" w:rsidRPr="00A023AD">
        <w:rPr>
          <w:sz w:val="22"/>
          <w:szCs w:val="22"/>
        </w:rPr>
        <w:t>These</w:t>
      </w:r>
      <w:r w:rsidR="00203921">
        <w:rPr>
          <w:sz w:val="22"/>
          <w:szCs w:val="22"/>
        </w:rPr>
        <w:t xml:space="preserve"> </w:t>
      </w:r>
      <w:proofErr w:type="gramStart"/>
      <w:r w:rsidRPr="00A023AD">
        <w:rPr>
          <w:sz w:val="22"/>
          <w:szCs w:val="22"/>
        </w:rPr>
        <w:t>could therefore be characterized</w:t>
      </w:r>
      <w:proofErr w:type="gramEnd"/>
      <w:r w:rsidRPr="00A023AD">
        <w:rPr>
          <w:sz w:val="22"/>
          <w:szCs w:val="22"/>
        </w:rPr>
        <w:t xml:space="preserve"> as poor floc formers</w:t>
      </w:r>
      <w:r w:rsidR="00A023AD" w:rsidRPr="00A023AD">
        <w:rPr>
          <w:sz w:val="22"/>
          <w:szCs w:val="22"/>
        </w:rPr>
        <w:t xml:space="preserve"> and have a negative influence on </w:t>
      </w:r>
      <w:r w:rsidR="00203921">
        <w:rPr>
          <w:sz w:val="22"/>
          <w:szCs w:val="22"/>
        </w:rPr>
        <w:t>the effluent quality</w:t>
      </w:r>
      <w:r w:rsidRPr="00A023AD">
        <w:rPr>
          <w:sz w:val="22"/>
          <w:szCs w:val="22"/>
        </w:rPr>
        <w:t xml:space="preserve">. Interestingly, </w:t>
      </w:r>
      <w:proofErr w:type="spellStart"/>
      <w:r w:rsidRPr="00A023AD">
        <w:rPr>
          <w:i/>
          <w:sz w:val="22"/>
          <w:szCs w:val="22"/>
        </w:rPr>
        <w:t>A</w:t>
      </w:r>
      <w:r w:rsidR="00DA0394" w:rsidRPr="00A023AD">
        <w:rPr>
          <w:i/>
          <w:sz w:val="22"/>
          <w:szCs w:val="22"/>
        </w:rPr>
        <w:t>r</w:t>
      </w:r>
      <w:r w:rsidRPr="00A023AD">
        <w:rPr>
          <w:i/>
          <w:sz w:val="22"/>
          <w:szCs w:val="22"/>
        </w:rPr>
        <w:t>cobacter</w:t>
      </w:r>
      <w:proofErr w:type="spellEnd"/>
      <w:r w:rsidRPr="00B11B53">
        <w:rPr>
          <w:sz w:val="22"/>
        </w:rPr>
        <w:t xml:space="preserve"> and </w:t>
      </w:r>
      <w:proofErr w:type="spellStart"/>
      <w:r w:rsidRPr="00B11B53">
        <w:rPr>
          <w:i/>
          <w:sz w:val="22"/>
        </w:rPr>
        <w:t>Acidovorax</w:t>
      </w:r>
      <w:proofErr w:type="spellEnd"/>
      <w:r w:rsidRPr="00B11B53">
        <w:rPr>
          <w:sz w:val="22"/>
        </w:rPr>
        <w:t xml:space="preserve"> have been associated with in</w:t>
      </w:r>
      <w:r w:rsidR="00DA0394">
        <w:rPr>
          <w:sz w:val="22"/>
        </w:rPr>
        <w:t>f</w:t>
      </w:r>
      <w:r w:rsidRPr="00B11B53">
        <w:rPr>
          <w:sz w:val="22"/>
        </w:rPr>
        <w:t>l</w:t>
      </w:r>
      <w:r w:rsidR="00DA0394">
        <w:rPr>
          <w:sz w:val="22"/>
        </w:rPr>
        <w:t>u</w:t>
      </w:r>
      <w:r w:rsidRPr="00B11B53">
        <w:rPr>
          <w:sz w:val="22"/>
        </w:rPr>
        <w:t>e</w:t>
      </w:r>
      <w:r w:rsidR="00DA0394">
        <w:rPr>
          <w:sz w:val="22"/>
        </w:rPr>
        <w:t>n</w:t>
      </w:r>
      <w:r w:rsidRPr="00B11B53">
        <w:rPr>
          <w:sz w:val="22"/>
        </w:rPr>
        <w:t xml:space="preserve">t wastewater </w:t>
      </w:r>
      <w:r w:rsidRPr="00B11B53">
        <w:rPr>
          <w:sz w:val="22"/>
        </w:rPr>
        <w:fldChar w:fldCharType="begin" w:fldLock="1"/>
      </w:r>
      <w:r w:rsidR="0062414B">
        <w:rPr>
          <w:sz w:val="22"/>
        </w:rPr>
        <w:instrText>ADDIN CSL_CITATION {"citationItems":[{"id":"ITEM-1","itemData":{"DOI":"10.1038/ismej.2015.117","ISSN":"1751-7362","abstract":"The activated sludge ecosystem contains a core community of abundant organisms","author":[{"dropping-particle":"","family":"Saunders","given":"Aaron M","non-dropping-particle":"","parse-names":false,"suffix":""},{"dropping-particle":"","family":"Albertsen","given":"Mads","non-dropping-particle":"","parse-names":false,"suffix":""},{"dropping-particle":"","family":"Vollertsen","given":"Jes","non-dropping-particle":"","parse-names":false,"suffix":""},{"dropping-particle":"","family":"Nielsen","given":"Per H","non-dropping-particle":"","parse-names":false,"suffix":""}],"container-title":"The ISME Journal","id":"ITEM-1","issue":"1","issued":{"date-parts":[["2016","1","11"]]},"page":"11-20","publisher":"Nature Publishing Group","title":"The activated sludge ecosystem contains a core community of abundant organisms","type":"article-journal","volume":"10"},"uris":["http://www.mendeley.com/documents/?uuid=311342a5-345a-4452-a3d0-e2ac0c23a415"]}],"mendeley":{"formattedCitation":"(Saunders et al., 2016)","manualFormatting":"(Saunders et al., 2016)","plainTextFormattedCitation":"(Saunders et al., 2016)","previouslyFormattedCitation":"(Saunders, Albertsen, Vollertsen, &amp; Nielsen, 2016)"},"properties":{"noteIndex":0},"schema":"https://github.com/citation-style-language/schema/raw/master/csl-citation.json"}</w:instrText>
      </w:r>
      <w:r w:rsidRPr="00B11B53">
        <w:rPr>
          <w:sz w:val="22"/>
        </w:rPr>
        <w:fldChar w:fldCharType="separate"/>
      </w:r>
      <w:r w:rsidRPr="00B11B53">
        <w:rPr>
          <w:noProof/>
          <w:sz w:val="22"/>
        </w:rPr>
        <w:t>(Saunders et al., 2016)</w:t>
      </w:r>
      <w:r w:rsidRPr="00B11B53">
        <w:rPr>
          <w:sz w:val="22"/>
        </w:rPr>
        <w:fldChar w:fldCharType="end"/>
      </w:r>
      <w:r w:rsidR="00DA0394">
        <w:rPr>
          <w:sz w:val="22"/>
        </w:rPr>
        <w:t>.</w:t>
      </w:r>
      <w:r w:rsidR="00203921">
        <w:rPr>
          <w:sz w:val="22"/>
        </w:rPr>
        <w:t xml:space="preserve"> </w:t>
      </w:r>
      <w:r w:rsidR="00DA0394">
        <w:rPr>
          <w:sz w:val="22"/>
        </w:rPr>
        <w:t>T</w:t>
      </w:r>
      <w:r w:rsidRPr="00B11B53">
        <w:rPr>
          <w:sz w:val="22"/>
        </w:rPr>
        <w:t xml:space="preserve">heir presence outside the sludge flocs may indicate poor flocculation and removal of influent microbes, which </w:t>
      </w:r>
      <w:r w:rsidR="00203921">
        <w:rPr>
          <w:sz w:val="22"/>
        </w:rPr>
        <w:t>needs</w:t>
      </w:r>
      <w:r w:rsidRPr="00B11B53">
        <w:rPr>
          <w:sz w:val="22"/>
        </w:rPr>
        <w:t xml:space="preserve"> further investigation</w:t>
      </w:r>
      <w:r w:rsidR="00DA0394">
        <w:rPr>
          <w:sz w:val="22"/>
        </w:rPr>
        <w:t>s and</w:t>
      </w:r>
      <w:r w:rsidR="00DA0394" w:rsidRPr="00DA0394">
        <w:rPr>
          <w:sz w:val="22"/>
        </w:rPr>
        <w:t xml:space="preserve"> </w:t>
      </w:r>
      <w:r w:rsidR="00DA0394">
        <w:rPr>
          <w:sz w:val="22"/>
        </w:rPr>
        <w:t>consideration</w:t>
      </w:r>
      <w:r w:rsidR="0062414B">
        <w:rPr>
          <w:sz w:val="22"/>
        </w:rPr>
        <w:t>s</w:t>
      </w:r>
      <w:r w:rsidR="00DA0394">
        <w:rPr>
          <w:sz w:val="22"/>
        </w:rPr>
        <w:t xml:space="preserve"> in terms of</w:t>
      </w:r>
      <w:r w:rsidRPr="00F13BC3">
        <w:rPr>
          <w:sz w:val="22"/>
          <w:szCs w:val="22"/>
        </w:rPr>
        <w:t xml:space="preserve"> plant design and operation. </w:t>
      </w:r>
      <w:r w:rsidRPr="00F13BC3">
        <w:rPr>
          <w:iCs/>
          <w:sz w:val="22"/>
          <w:szCs w:val="22"/>
        </w:rPr>
        <w:t>On the other hand</w:t>
      </w:r>
      <w:r w:rsidRPr="00F13BC3">
        <w:rPr>
          <w:i/>
          <w:iCs/>
          <w:sz w:val="22"/>
          <w:szCs w:val="22"/>
        </w:rPr>
        <w:t xml:space="preserve">, </w:t>
      </w:r>
      <w:proofErr w:type="spellStart"/>
      <w:r w:rsidRPr="00F13BC3">
        <w:rPr>
          <w:i/>
          <w:iCs/>
          <w:sz w:val="22"/>
          <w:szCs w:val="22"/>
        </w:rPr>
        <w:t>Dechloromonas</w:t>
      </w:r>
      <w:proofErr w:type="spellEnd"/>
      <w:r w:rsidRPr="00F13BC3">
        <w:rPr>
          <w:sz w:val="22"/>
          <w:szCs w:val="22"/>
        </w:rPr>
        <w:t xml:space="preserve"> and </w:t>
      </w:r>
      <w:proofErr w:type="spellStart"/>
      <w:r w:rsidRPr="00F13BC3">
        <w:rPr>
          <w:i/>
          <w:iCs/>
          <w:sz w:val="22"/>
          <w:szCs w:val="22"/>
        </w:rPr>
        <w:t>Tetrasphaera</w:t>
      </w:r>
      <w:proofErr w:type="spellEnd"/>
      <w:r w:rsidRPr="00F13BC3">
        <w:rPr>
          <w:sz w:val="22"/>
          <w:szCs w:val="22"/>
        </w:rPr>
        <w:t xml:space="preserve"> abundances decreased in supernatants and could therefore be associated </w:t>
      </w:r>
      <w:r w:rsidR="00DA0394" w:rsidRPr="002C5B24">
        <w:rPr>
          <w:sz w:val="22"/>
          <w:szCs w:val="22"/>
        </w:rPr>
        <w:t>as</w:t>
      </w:r>
      <w:r w:rsidRPr="00203921">
        <w:rPr>
          <w:sz w:val="22"/>
          <w:szCs w:val="22"/>
        </w:rPr>
        <w:t xml:space="preserve"> potential strong floc formers. </w:t>
      </w:r>
    </w:p>
    <w:p w:rsidR="00203921" w:rsidRDefault="00203921" w:rsidP="00402EBA">
      <w:pPr>
        <w:rPr>
          <w:sz w:val="22"/>
          <w:szCs w:val="22"/>
        </w:rPr>
      </w:pPr>
    </w:p>
    <w:p w:rsidR="00402EBA" w:rsidRPr="00F83E89" w:rsidRDefault="00F13BC3" w:rsidP="00402EBA">
      <w:pPr>
        <w:rPr>
          <w:rFonts w:ascii="Arial" w:hAnsi="Arial" w:cs="Arial"/>
          <w:sz w:val="22"/>
          <w:szCs w:val="22"/>
        </w:rPr>
      </w:pPr>
      <w:r w:rsidRPr="00F83E89">
        <w:rPr>
          <w:sz w:val="22"/>
          <w:szCs w:val="22"/>
        </w:rPr>
        <w:t xml:space="preserve">Several parameters describing activated sludge characteristics </w:t>
      </w:r>
      <w:proofErr w:type="gramStart"/>
      <w:r w:rsidRPr="00F83E89">
        <w:rPr>
          <w:sz w:val="22"/>
          <w:szCs w:val="22"/>
        </w:rPr>
        <w:t>were found to be correlated</w:t>
      </w:r>
      <w:proofErr w:type="gramEnd"/>
      <w:r w:rsidRPr="00F83E89">
        <w:rPr>
          <w:sz w:val="22"/>
          <w:szCs w:val="22"/>
        </w:rPr>
        <w:t xml:space="preserve"> with the bacterial species composition (</w:t>
      </w:r>
      <w:proofErr w:type="spellStart"/>
      <w:r w:rsidRPr="00F83E89">
        <w:rPr>
          <w:sz w:val="22"/>
          <w:szCs w:val="22"/>
        </w:rPr>
        <w:t>e.g</w:t>
      </w:r>
      <w:proofErr w:type="spellEnd"/>
      <w:r w:rsidR="00203921" w:rsidRPr="00F83E89">
        <w:rPr>
          <w:sz w:val="22"/>
          <w:szCs w:val="22"/>
        </w:rPr>
        <w:t>,</w:t>
      </w:r>
      <w:r w:rsidRPr="00F83E89">
        <w:rPr>
          <w:sz w:val="22"/>
          <w:szCs w:val="22"/>
        </w:rPr>
        <w:t xml:space="preserve"> SVI, filament index, floc size, floc strength, content of cations</w:t>
      </w:r>
      <w:r w:rsidR="00203921" w:rsidRPr="00F83E89">
        <w:rPr>
          <w:sz w:val="22"/>
          <w:szCs w:val="22"/>
        </w:rPr>
        <w:t>,</w:t>
      </w:r>
      <w:r w:rsidRPr="00F83E89">
        <w:rPr>
          <w:sz w:val="22"/>
          <w:szCs w:val="22"/>
        </w:rPr>
        <w:t xml:space="preserve"> and amount of extracellular polymeric substances)</w:t>
      </w:r>
      <w:r w:rsidRPr="00F83E89">
        <w:rPr>
          <w:bCs/>
          <w:sz w:val="22"/>
          <w:szCs w:val="22"/>
          <w:lang w:val="en-US"/>
        </w:rPr>
        <w:t>. C</w:t>
      </w:r>
      <w:r w:rsidR="00402EBA" w:rsidRPr="00F83E89">
        <w:rPr>
          <w:bCs/>
          <w:sz w:val="22"/>
          <w:szCs w:val="22"/>
          <w:lang w:val="en-US"/>
        </w:rPr>
        <w:t>orrelation</w:t>
      </w:r>
      <w:r w:rsidRPr="00F83E89">
        <w:rPr>
          <w:bCs/>
          <w:sz w:val="22"/>
          <w:szCs w:val="22"/>
          <w:lang w:val="en-US"/>
        </w:rPr>
        <w:t xml:space="preserve"> analys</w:t>
      </w:r>
      <w:r w:rsidR="00203921" w:rsidRPr="00F83E89">
        <w:rPr>
          <w:bCs/>
          <w:sz w:val="22"/>
          <w:szCs w:val="22"/>
          <w:lang w:val="en-US"/>
        </w:rPr>
        <w:t>e</w:t>
      </w:r>
      <w:r w:rsidR="00402EBA" w:rsidRPr="00F83E89">
        <w:rPr>
          <w:bCs/>
          <w:sz w:val="22"/>
          <w:szCs w:val="22"/>
          <w:lang w:val="en-US"/>
        </w:rPr>
        <w:t>s</w:t>
      </w:r>
      <w:r w:rsidR="00402EBA" w:rsidRPr="00F83E89">
        <w:rPr>
          <w:sz w:val="22"/>
          <w:szCs w:val="22"/>
          <w:lang w:val="en-US"/>
        </w:rPr>
        <w:t xml:space="preserve"> of bacteria present in the different </w:t>
      </w:r>
      <w:r w:rsidR="00402EBA" w:rsidRPr="00F83E89">
        <w:rPr>
          <w:sz w:val="22"/>
          <w:szCs w:val="22"/>
          <w:lang w:val="en-US"/>
        </w:rPr>
        <w:lastRenderedPageBreak/>
        <w:t xml:space="preserve">sludge fractions showed for example that high abundance of </w:t>
      </w:r>
      <w:proofErr w:type="spellStart"/>
      <w:r w:rsidR="00402EBA" w:rsidRPr="00F83E89">
        <w:rPr>
          <w:i/>
          <w:iCs/>
          <w:sz w:val="22"/>
          <w:szCs w:val="22"/>
          <w:lang w:val="en-US"/>
        </w:rPr>
        <w:t>Sulfuritalea</w:t>
      </w:r>
      <w:proofErr w:type="spellEnd"/>
      <w:r w:rsidR="00402EBA" w:rsidRPr="00F83E89">
        <w:rPr>
          <w:sz w:val="22"/>
          <w:szCs w:val="22"/>
          <w:lang w:val="en-US"/>
        </w:rPr>
        <w:t xml:space="preserve"> </w:t>
      </w:r>
      <w:r w:rsidR="00DA0394" w:rsidRPr="00F83E89">
        <w:rPr>
          <w:sz w:val="22"/>
          <w:szCs w:val="22"/>
          <w:lang w:val="en-US"/>
        </w:rPr>
        <w:t xml:space="preserve">significantly </w:t>
      </w:r>
      <w:r w:rsidR="00402EBA" w:rsidRPr="00F83E89">
        <w:rPr>
          <w:sz w:val="22"/>
          <w:szCs w:val="22"/>
          <w:lang w:val="en-US"/>
        </w:rPr>
        <w:t>correlate</w:t>
      </w:r>
      <w:r w:rsidR="00203921" w:rsidRPr="00F83E89">
        <w:rPr>
          <w:sz w:val="22"/>
          <w:szCs w:val="22"/>
          <w:lang w:val="en-US"/>
        </w:rPr>
        <w:t>d</w:t>
      </w:r>
      <w:r w:rsidR="00402EBA" w:rsidRPr="00F83E89">
        <w:rPr>
          <w:sz w:val="22"/>
          <w:szCs w:val="22"/>
          <w:lang w:val="en-US"/>
        </w:rPr>
        <w:t xml:space="preserve"> with high shear sensitivity, whereas the presence of </w:t>
      </w:r>
      <w:proofErr w:type="spellStart"/>
      <w:r w:rsidR="00402EBA" w:rsidRPr="00F83E89">
        <w:rPr>
          <w:i/>
          <w:iCs/>
          <w:sz w:val="22"/>
          <w:szCs w:val="22"/>
          <w:lang w:val="en-US"/>
        </w:rPr>
        <w:t>Tetrasphaera</w:t>
      </w:r>
      <w:proofErr w:type="spellEnd"/>
      <w:r w:rsidR="00402EBA" w:rsidRPr="00F83E89">
        <w:rPr>
          <w:i/>
          <w:iCs/>
          <w:sz w:val="22"/>
          <w:szCs w:val="22"/>
          <w:lang w:val="en-US"/>
        </w:rPr>
        <w:t xml:space="preserve"> </w:t>
      </w:r>
      <w:r w:rsidR="00402EBA" w:rsidRPr="00F83E89">
        <w:rPr>
          <w:sz w:val="22"/>
          <w:szCs w:val="22"/>
          <w:lang w:val="en-US"/>
        </w:rPr>
        <w:t>correlate</w:t>
      </w:r>
      <w:r w:rsidR="00203921" w:rsidRPr="00F83E89">
        <w:rPr>
          <w:sz w:val="22"/>
          <w:szCs w:val="22"/>
          <w:lang w:val="en-US"/>
        </w:rPr>
        <w:t>d</w:t>
      </w:r>
      <w:r w:rsidR="00402EBA" w:rsidRPr="00F83E89">
        <w:rPr>
          <w:sz w:val="22"/>
          <w:szCs w:val="22"/>
          <w:lang w:val="en-US"/>
        </w:rPr>
        <w:t xml:space="preserve"> </w:t>
      </w:r>
      <w:r w:rsidR="00DA0394" w:rsidRPr="00F83E89">
        <w:rPr>
          <w:sz w:val="22"/>
          <w:szCs w:val="22"/>
          <w:lang w:val="en-US"/>
        </w:rPr>
        <w:t>with</w:t>
      </w:r>
      <w:r w:rsidR="00402EBA" w:rsidRPr="00F83E89">
        <w:rPr>
          <w:sz w:val="22"/>
          <w:szCs w:val="22"/>
          <w:lang w:val="en-US"/>
        </w:rPr>
        <w:t xml:space="preserve"> low shear sensitivity.</w:t>
      </w:r>
    </w:p>
    <w:p w:rsidR="002A55F9" w:rsidRPr="00402EBA" w:rsidRDefault="002A55F9" w:rsidP="00C1181C">
      <w:pPr>
        <w:rPr>
          <w:lang w:val="en-US"/>
        </w:rPr>
      </w:pPr>
    </w:p>
    <w:p w:rsidR="002A55F9" w:rsidRPr="002A55F9" w:rsidRDefault="00775A54" w:rsidP="002A55F9">
      <w:pPr>
        <w:spacing w:after="120"/>
        <w:rPr>
          <w:rFonts w:ascii="Arial" w:hAnsi="Arial" w:cs="Arial"/>
          <w:b/>
          <w:sz w:val="20"/>
        </w:rPr>
      </w:pPr>
      <w:r>
        <w:rPr>
          <w:rFonts w:ascii="Arial" w:hAnsi="Arial" w:cs="Arial"/>
          <w:b/>
          <w:sz w:val="20"/>
        </w:rPr>
        <w:t>Perspectives</w:t>
      </w:r>
    </w:p>
    <w:p w:rsidR="00B11B53" w:rsidRPr="00B11B53" w:rsidRDefault="00B11B53" w:rsidP="00B11B53">
      <w:pPr>
        <w:rPr>
          <w:sz w:val="22"/>
        </w:rPr>
      </w:pPr>
      <w:r w:rsidRPr="00B11B53">
        <w:rPr>
          <w:sz w:val="22"/>
        </w:rPr>
        <w:t xml:space="preserve">These findings contribute to the ongoing refinement of the ecosystem model of microbial communities in activated </w:t>
      </w:r>
      <w:proofErr w:type="spellStart"/>
      <w:r w:rsidRPr="00B11B53">
        <w:rPr>
          <w:sz w:val="22"/>
        </w:rPr>
        <w:t>sludge.</w:t>
      </w:r>
      <w:r w:rsidR="00A83C80">
        <w:rPr>
          <w:sz w:val="22"/>
        </w:rPr>
        <w:t>The</w:t>
      </w:r>
      <w:proofErr w:type="spellEnd"/>
      <w:r w:rsidR="00A83C80">
        <w:rPr>
          <w:sz w:val="22"/>
        </w:rPr>
        <w:t xml:space="preserve"> results indicate that generic properties of specific species in terms of flocculation properties exist across all nutrient removal plants,</w:t>
      </w:r>
      <w:r w:rsidRPr="00B11B53">
        <w:rPr>
          <w:sz w:val="22"/>
        </w:rPr>
        <w:t xml:space="preserve"> </w:t>
      </w:r>
      <w:r w:rsidR="00A83C80" w:rsidRPr="00B11B53">
        <w:rPr>
          <w:sz w:val="22"/>
        </w:rPr>
        <w:t xml:space="preserve">which in the future </w:t>
      </w:r>
      <w:r w:rsidR="00A83C80">
        <w:rPr>
          <w:sz w:val="22"/>
        </w:rPr>
        <w:t>will</w:t>
      </w:r>
      <w:r w:rsidR="00A83C80" w:rsidRPr="00B11B53">
        <w:rPr>
          <w:sz w:val="22"/>
        </w:rPr>
        <w:t xml:space="preserve"> be of key importance </w:t>
      </w:r>
      <w:r w:rsidR="00A83C80">
        <w:rPr>
          <w:sz w:val="22"/>
        </w:rPr>
        <w:t>assuming</w:t>
      </w:r>
      <w:r w:rsidR="00A83C80" w:rsidRPr="00B11B53">
        <w:rPr>
          <w:sz w:val="22"/>
        </w:rPr>
        <w:t xml:space="preserve"> </w:t>
      </w:r>
      <w:r w:rsidR="00A83C80">
        <w:rPr>
          <w:sz w:val="22"/>
        </w:rPr>
        <w:t>“</w:t>
      </w:r>
      <w:r w:rsidR="00A83C80" w:rsidRPr="00B11B53">
        <w:rPr>
          <w:sz w:val="22"/>
        </w:rPr>
        <w:t>online</w:t>
      </w:r>
      <w:r w:rsidR="00A83C80">
        <w:rPr>
          <w:sz w:val="22"/>
        </w:rPr>
        <w:t>”</w:t>
      </w:r>
      <w:r w:rsidR="00A83C80" w:rsidRPr="00B11B53">
        <w:rPr>
          <w:sz w:val="22"/>
        </w:rPr>
        <w:t xml:space="preserve"> </w:t>
      </w:r>
      <w:r w:rsidR="00A83C80">
        <w:rPr>
          <w:sz w:val="22"/>
        </w:rPr>
        <w:t xml:space="preserve">and real time </w:t>
      </w:r>
      <w:r w:rsidR="00A83C80" w:rsidRPr="00B11B53">
        <w:rPr>
          <w:sz w:val="22"/>
        </w:rPr>
        <w:t xml:space="preserve">monitoring </w:t>
      </w:r>
      <w:r w:rsidR="00A83C80">
        <w:rPr>
          <w:sz w:val="22"/>
        </w:rPr>
        <w:t xml:space="preserve">of microbial communities are </w:t>
      </w:r>
      <w:r w:rsidR="00A83C80" w:rsidRPr="00B11B53">
        <w:rPr>
          <w:sz w:val="22"/>
        </w:rPr>
        <w:t>within reach</w:t>
      </w:r>
      <w:r w:rsidR="00A83C80">
        <w:rPr>
          <w:sz w:val="22"/>
        </w:rPr>
        <w:t>.</w:t>
      </w:r>
    </w:p>
    <w:p w:rsidR="002A55F9" w:rsidRPr="00CD121A" w:rsidRDefault="002A55F9" w:rsidP="00C1181C"/>
    <w:p w:rsidR="000B1A9F" w:rsidRPr="00CD121A" w:rsidRDefault="000B1A9F" w:rsidP="00CD121A"/>
    <w:p w:rsidR="000B1A9F" w:rsidRPr="002A55F9" w:rsidRDefault="000B1A9F" w:rsidP="00CD121A">
      <w:pPr>
        <w:rPr>
          <w:rFonts w:ascii="Arial" w:hAnsi="Arial" w:cs="Arial"/>
          <w:b/>
          <w:sz w:val="18"/>
        </w:rPr>
      </w:pPr>
    </w:p>
    <w:p w:rsidR="000B1A9F" w:rsidRDefault="00F04069" w:rsidP="003A192E">
      <w:pPr>
        <w:jc w:val="center"/>
      </w:pPr>
      <w:r w:rsidRPr="00F04069">
        <w:rPr>
          <w:noProof/>
          <w:sz w:val="22"/>
          <w:lang w:val="en-US"/>
        </w:rPr>
        <w:drawing>
          <wp:inline distT="0" distB="0" distL="0" distR="0" wp14:anchorId="536A6198" wp14:editId="332EDDD6">
            <wp:extent cx="4492625" cy="230568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2625" cy="2305685"/>
                    </a:xfrm>
                    <a:prstGeom prst="rect">
                      <a:avLst/>
                    </a:prstGeom>
                    <a:noFill/>
                  </pic:spPr>
                </pic:pic>
              </a:graphicData>
            </a:graphic>
          </wp:inline>
        </w:drawing>
      </w:r>
    </w:p>
    <w:p w:rsidR="00F04069" w:rsidRDefault="00B11B53" w:rsidP="00CD121A">
      <w:pPr>
        <w:rPr>
          <w:rFonts w:ascii="Arial" w:hAnsi="Arial" w:cs="Arial"/>
          <w:b/>
          <w:sz w:val="18"/>
        </w:rPr>
      </w:pPr>
      <w:r w:rsidRPr="00B11B53">
        <w:rPr>
          <w:rFonts w:ascii="Arial" w:hAnsi="Arial" w:cs="Arial"/>
          <w:b/>
          <w:bCs/>
          <w:sz w:val="18"/>
        </w:rPr>
        <w:t>Figure 1.</w:t>
      </w:r>
      <w:r>
        <w:rPr>
          <w:rFonts w:ascii="Arial" w:hAnsi="Arial" w:cs="Arial"/>
          <w:b/>
          <w:bCs/>
          <w:sz w:val="18"/>
        </w:rPr>
        <w:t>1</w:t>
      </w:r>
      <w:r w:rsidRPr="00B11B53">
        <w:rPr>
          <w:rFonts w:ascii="Arial" w:hAnsi="Arial" w:cs="Arial"/>
          <w:b/>
          <w:sz w:val="18"/>
        </w:rPr>
        <w:t xml:space="preserve"> Experimental overview of study.</w:t>
      </w:r>
    </w:p>
    <w:p w:rsidR="00B11B53" w:rsidRDefault="00B11B53" w:rsidP="00CD121A"/>
    <w:p w:rsidR="00EA06AA" w:rsidRDefault="00402EBA" w:rsidP="00CD121A">
      <w:r>
        <w:rPr>
          <w:noProof/>
          <w:lang w:val="en-US"/>
        </w:rPr>
        <w:drawing>
          <wp:inline distT="0" distB="0" distL="0" distR="0">
            <wp:extent cx="5759450" cy="3550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3550920"/>
                    </a:xfrm>
                    <a:prstGeom prst="rect">
                      <a:avLst/>
                    </a:prstGeom>
                    <a:noFill/>
                    <a:ln>
                      <a:noFill/>
                    </a:ln>
                  </pic:spPr>
                </pic:pic>
              </a:graphicData>
            </a:graphic>
          </wp:inline>
        </w:drawing>
      </w:r>
    </w:p>
    <w:p w:rsidR="00B11B53" w:rsidRPr="00B11B53" w:rsidRDefault="00B11B53" w:rsidP="00B11B53">
      <w:pPr>
        <w:rPr>
          <w:rFonts w:ascii="Arial" w:hAnsi="Arial" w:cs="Arial"/>
          <w:b/>
          <w:sz w:val="18"/>
        </w:rPr>
      </w:pPr>
      <w:r>
        <w:rPr>
          <w:rFonts w:ascii="Arial" w:hAnsi="Arial" w:cs="Arial"/>
          <w:b/>
          <w:sz w:val="18"/>
        </w:rPr>
        <w:t>Figure 1.2</w:t>
      </w:r>
      <w:r w:rsidRPr="002A55F9">
        <w:rPr>
          <w:rFonts w:ascii="Arial" w:hAnsi="Arial" w:cs="Arial"/>
          <w:b/>
          <w:sz w:val="18"/>
        </w:rPr>
        <w:t xml:space="preserve"> </w:t>
      </w:r>
      <w:r w:rsidRPr="00B11B53">
        <w:rPr>
          <w:rFonts w:ascii="Arial" w:hAnsi="Arial" w:cs="Arial"/>
          <w:b/>
          <w:sz w:val="18"/>
        </w:rPr>
        <w:t>Principal Components Analysis (PCA) of 88 samples and 1751</w:t>
      </w:r>
      <w:r w:rsidR="003A192E">
        <w:rPr>
          <w:rFonts w:ascii="Arial" w:hAnsi="Arial" w:cs="Arial"/>
          <w:b/>
          <w:sz w:val="18"/>
        </w:rPr>
        <w:t xml:space="preserve"> A</w:t>
      </w:r>
      <w:r w:rsidR="00A023AD">
        <w:rPr>
          <w:rFonts w:ascii="Arial" w:hAnsi="Arial" w:cs="Arial"/>
          <w:b/>
          <w:sz w:val="18"/>
        </w:rPr>
        <w:t xml:space="preserve">mplicon </w:t>
      </w:r>
      <w:r w:rsidR="003A192E">
        <w:rPr>
          <w:rFonts w:ascii="Arial" w:hAnsi="Arial" w:cs="Arial"/>
          <w:b/>
          <w:sz w:val="18"/>
        </w:rPr>
        <w:t>S</w:t>
      </w:r>
      <w:r w:rsidR="00A023AD">
        <w:rPr>
          <w:rFonts w:ascii="Arial" w:hAnsi="Arial" w:cs="Arial"/>
          <w:b/>
          <w:sz w:val="18"/>
        </w:rPr>
        <w:t xml:space="preserve">equence </w:t>
      </w:r>
      <w:r w:rsidR="003A192E">
        <w:rPr>
          <w:rFonts w:ascii="Arial" w:hAnsi="Arial" w:cs="Arial"/>
          <w:b/>
          <w:sz w:val="18"/>
        </w:rPr>
        <w:t>V</w:t>
      </w:r>
      <w:r w:rsidR="00A023AD">
        <w:rPr>
          <w:rFonts w:ascii="Arial" w:hAnsi="Arial" w:cs="Arial"/>
          <w:b/>
          <w:sz w:val="18"/>
        </w:rPr>
        <w:t>ariant</w:t>
      </w:r>
      <w:r w:rsidRPr="00B11B53">
        <w:rPr>
          <w:rFonts w:ascii="Arial" w:hAnsi="Arial" w:cs="Arial"/>
          <w:b/>
          <w:sz w:val="18"/>
        </w:rPr>
        <w:t>s</w:t>
      </w:r>
      <w:r w:rsidR="00D278D0">
        <w:rPr>
          <w:rFonts w:ascii="Arial" w:hAnsi="Arial" w:cs="Arial"/>
          <w:b/>
          <w:sz w:val="18"/>
        </w:rPr>
        <w:t xml:space="preserve"> (ASVs)</w:t>
      </w:r>
      <w:r w:rsidR="00402EBA">
        <w:rPr>
          <w:rFonts w:ascii="Arial" w:hAnsi="Arial" w:cs="Arial"/>
          <w:b/>
          <w:sz w:val="18"/>
        </w:rPr>
        <w:t xml:space="preserve"> </w:t>
      </w:r>
      <w:r w:rsidR="00A023AD">
        <w:rPr>
          <w:rFonts w:ascii="Arial" w:hAnsi="Arial" w:cs="Arial"/>
          <w:b/>
          <w:sz w:val="18"/>
        </w:rPr>
        <w:t xml:space="preserve">showing </w:t>
      </w:r>
      <w:r w:rsidR="00402EBA">
        <w:rPr>
          <w:rFonts w:ascii="Arial" w:hAnsi="Arial" w:cs="Arial"/>
          <w:b/>
          <w:sz w:val="18"/>
        </w:rPr>
        <w:t>o</w:t>
      </w:r>
      <w:r w:rsidR="00402EBA" w:rsidRPr="00B11B53">
        <w:rPr>
          <w:rFonts w:ascii="Arial" w:hAnsi="Arial" w:cs="Arial"/>
          <w:b/>
          <w:sz w:val="18"/>
        </w:rPr>
        <w:t xml:space="preserve">verlay of </w:t>
      </w:r>
      <w:proofErr w:type="gramStart"/>
      <w:r w:rsidR="00D278D0">
        <w:rPr>
          <w:rFonts w:ascii="Arial" w:hAnsi="Arial" w:cs="Arial"/>
          <w:b/>
          <w:sz w:val="18"/>
        </w:rPr>
        <w:t>5</w:t>
      </w:r>
      <w:proofErr w:type="gramEnd"/>
      <w:r w:rsidR="00D278D0">
        <w:rPr>
          <w:rFonts w:ascii="Arial" w:hAnsi="Arial" w:cs="Arial"/>
          <w:b/>
          <w:sz w:val="18"/>
        </w:rPr>
        <w:t xml:space="preserve"> most </w:t>
      </w:r>
      <w:r w:rsidR="00A023AD">
        <w:rPr>
          <w:rFonts w:ascii="Arial" w:hAnsi="Arial" w:cs="Arial"/>
          <w:b/>
          <w:sz w:val="18"/>
        </w:rPr>
        <w:t>important genera</w:t>
      </w:r>
      <w:r w:rsidR="00D278D0">
        <w:rPr>
          <w:rFonts w:ascii="Arial" w:hAnsi="Arial" w:cs="Arial"/>
          <w:b/>
          <w:sz w:val="18"/>
        </w:rPr>
        <w:t xml:space="preserve"> contributing to the observed differences</w:t>
      </w:r>
      <w:r w:rsidR="00402EBA" w:rsidRPr="00B11B53">
        <w:rPr>
          <w:rFonts w:ascii="Arial" w:hAnsi="Arial" w:cs="Arial"/>
          <w:b/>
          <w:sz w:val="18"/>
        </w:rPr>
        <w:t xml:space="preserve">. </w:t>
      </w:r>
      <w:r w:rsidRPr="00B11B53">
        <w:rPr>
          <w:rFonts w:ascii="Arial" w:hAnsi="Arial" w:cs="Arial"/>
          <w:b/>
          <w:sz w:val="18"/>
        </w:rPr>
        <w:t xml:space="preserve"> Prior to the analysis, </w:t>
      </w:r>
      <w:r w:rsidR="00EA06AA">
        <w:rPr>
          <w:rFonts w:ascii="Arial" w:hAnsi="Arial" w:cs="Arial"/>
          <w:b/>
          <w:sz w:val="18"/>
        </w:rPr>
        <w:t>ASV</w:t>
      </w:r>
      <w:r w:rsidRPr="00B11B53">
        <w:rPr>
          <w:rFonts w:ascii="Arial" w:hAnsi="Arial" w:cs="Arial"/>
          <w:b/>
          <w:sz w:val="18"/>
        </w:rPr>
        <w:t xml:space="preserve">s in </w:t>
      </w:r>
      <w:r w:rsidR="00203921">
        <w:rPr>
          <w:rFonts w:ascii="Arial" w:hAnsi="Arial" w:cs="Arial"/>
          <w:b/>
          <w:sz w:val="18"/>
        </w:rPr>
        <w:t>less</w:t>
      </w:r>
      <w:r w:rsidR="00203921" w:rsidRPr="00B11B53">
        <w:rPr>
          <w:rFonts w:ascii="Arial" w:hAnsi="Arial" w:cs="Arial"/>
          <w:b/>
          <w:sz w:val="18"/>
        </w:rPr>
        <w:t xml:space="preserve"> </w:t>
      </w:r>
      <w:r w:rsidRPr="00B11B53">
        <w:rPr>
          <w:rFonts w:ascii="Arial" w:hAnsi="Arial" w:cs="Arial"/>
          <w:b/>
          <w:sz w:val="18"/>
        </w:rPr>
        <w:t xml:space="preserve">than 0.1% relative abundance in any sample </w:t>
      </w:r>
      <w:proofErr w:type="gramStart"/>
      <w:r w:rsidRPr="00B11B53">
        <w:rPr>
          <w:rFonts w:ascii="Arial" w:hAnsi="Arial" w:cs="Arial"/>
          <w:b/>
          <w:sz w:val="18"/>
        </w:rPr>
        <w:t>were removed</w:t>
      </w:r>
      <w:proofErr w:type="gramEnd"/>
      <w:r w:rsidRPr="00B11B53">
        <w:rPr>
          <w:rFonts w:ascii="Arial" w:hAnsi="Arial" w:cs="Arial"/>
          <w:b/>
          <w:sz w:val="18"/>
        </w:rPr>
        <w:t xml:space="preserve">. The data has been transformed by applying the </w:t>
      </w:r>
      <w:proofErr w:type="spellStart"/>
      <w:r w:rsidRPr="00B11B53">
        <w:rPr>
          <w:rFonts w:ascii="Arial" w:hAnsi="Arial" w:cs="Arial"/>
          <w:b/>
          <w:sz w:val="18"/>
        </w:rPr>
        <w:t>hellinger</w:t>
      </w:r>
      <w:proofErr w:type="spellEnd"/>
      <w:r w:rsidRPr="00B11B53">
        <w:rPr>
          <w:rFonts w:ascii="Arial" w:hAnsi="Arial" w:cs="Arial"/>
          <w:b/>
          <w:sz w:val="18"/>
        </w:rPr>
        <w:t xml:space="preserve"> transformation </w:t>
      </w:r>
      <w:r w:rsidRPr="00B11B53">
        <w:rPr>
          <w:rFonts w:ascii="Arial" w:hAnsi="Arial" w:cs="Arial"/>
          <w:b/>
          <w:sz w:val="18"/>
        </w:rPr>
        <w:fldChar w:fldCharType="begin" w:fldLock="1"/>
      </w:r>
      <w:r w:rsidR="0062414B">
        <w:rPr>
          <w:rFonts w:ascii="Arial" w:hAnsi="Arial" w:cs="Arial"/>
          <w:b/>
          <w:sz w:val="18"/>
        </w:rPr>
        <w:instrText>ADDIN CSL_CITATION {"citationItems":[{"id":"ITEM-1","itemData":{"DOI":"10.1007/s004420100716","ISSN":"0029-8549","PMID":"28547606","abstract":"This paper examines how to obtain species biplots in unconstrained or constrained ordination without resorting to the Euclidean distance [used in principal-component analysis (PCA) and redundancy analysis (RDA)] or the chi-square distance [preserved in correspondence analysis (CA) and canonical correspondence analysis (CCA)] which are not always appropriate for the analysis of community composition data. To achieve this goal, transformations are proposed for species data tables. They allow ecologists to use ordination methods such as PCA and RDA, which are Euclidean-based, for the analysis of community data, while circumventing the problems associated with the Euclidean distance, and avoiding CA and CCA which present problems of their own in some cases. This allows the use of the original (transformed) species data in RDA carried out to test for relationships with explanatory variables (i.e. environmental variables, or factors of a multifactorial analysis-of-variance model); ecologists can then draw biplots displaying the relationships of the species to the explanatory variables. Another application allows the use of species data in other methods of multivariate data analysis which optimize a least-squares loss function; an example is K-means partitioning.","author":[{"dropping-particle":"","family":"Legendre","given":"Pierre","non-dropping-particle":"","parse-names":false,"suffix":""},{"dropping-particle":"","family":"Gallagher","given":"Eugene D.","non-dropping-particle":"","parse-names":false,"suffix":""}],"container-title":"Oecologia","id":"ITEM-1","issue":"2","issued":{"date-parts":[["2001","10","1"]]},"page":"271-280","title":"Ecologically meaningful transformations for ordination of species data","type":"article-journal","volume":"129"},"uris":["http://www.mendeley.com/documents/?uuid=caf363b2-688f-3403-9da7-637477acb262"]}],"mendeley":{"formattedCitation":"(Legendre and Gallagher, 2001)","plainTextFormattedCitation":"(Legendre and Gallagher, 2001)","previouslyFormattedCitation":"(Legendre &amp; Gallagher, 2001)"},"properties":{"noteIndex":0},"schema":"https://github.com/citation-style-language/schema/raw/master/csl-citation.json"}</w:instrText>
      </w:r>
      <w:r w:rsidRPr="00B11B53">
        <w:rPr>
          <w:rFonts w:ascii="Arial" w:hAnsi="Arial" w:cs="Arial"/>
          <w:b/>
          <w:sz w:val="18"/>
        </w:rPr>
        <w:fldChar w:fldCharType="separate"/>
      </w:r>
      <w:r w:rsidR="0062414B" w:rsidRPr="0062414B">
        <w:rPr>
          <w:rFonts w:ascii="Arial" w:hAnsi="Arial" w:cs="Arial"/>
          <w:noProof/>
          <w:sz w:val="18"/>
        </w:rPr>
        <w:t>(Legendre and Gallagher, 2001)</w:t>
      </w:r>
      <w:r w:rsidRPr="00B11B53">
        <w:rPr>
          <w:rFonts w:ascii="Arial" w:hAnsi="Arial" w:cs="Arial"/>
          <w:b/>
          <w:sz w:val="18"/>
        </w:rPr>
        <w:fldChar w:fldCharType="end"/>
      </w:r>
      <w:r w:rsidRPr="00B11B53">
        <w:rPr>
          <w:rFonts w:ascii="Arial" w:hAnsi="Arial" w:cs="Arial"/>
          <w:b/>
          <w:sz w:val="18"/>
        </w:rPr>
        <w:t xml:space="preserve">. The relative contribution (eigenvalue) of each axis to the total inertia in the data is indicated in percent at the axis titles. </w:t>
      </w:r>
    </w:p>
    <w:p w:rsidR="00B11B53" w:rsidRDefault="00B11B53" w:rsidP="00CD121A"/>
    <w:p w:rsidR="00F04069" w:rsidRPr="00CD121A" w:rsidRDefault="00F04069" w:rsidP="00CD121A"/>
    <w:p w:rsidR="000B1A9F" w:rsidRPr="00287637" w:rsidRDefault="000B1A9F" w:rsidP="00D778F2">
      <w:pPr>
        <w:spacing w:after="120"/>
        <w:rPr>
          <w:rFonts w:ascii="Arial" w:hAnsi="Arial" w:cs="Arial"/>
          <w:b/>
          <w:sz w:val="20"/>
        </w:rPr>
      </w:pPr>
      <w:r w:rsidRPr="00287637">
        <w:rPr>
          <w:rFonts w:ascii="Arial" w:hAnsi="Arial" w:cs="Arial"/>
          <w:b/>
          <w:sz w:val="20"/>
        </w:rPr>
        <w:t>References</w:t>
      </w:r>
    </w:p>
    <w:p w:rsidR="0062414B" w:rsidRPr="0062414B" w:rsidRDefault="00E355B4" w:rsidP="0062414B">
      <w:pPr>
        <w:widowControl w:val="0"/>
        <w:autoSpaceDE w:val="0"/>
        <w:autoSpaceDN w:val="0"/>
        <w:adjustRightInd w:val="0"/>
        <w:spacing w:after="120"/>
        <w:ind w:left="480" w:hanging="480"/>
        <w:rPr>
          <w:noProof/>
          <w:sz w:val="18"/>
        </w:rPr>
      </w:pPr>
      <w:r w:rsidRPr="00E355B4">
        <w:rPr>
          <w:sz w:val="18"/>
        </w:rPr>
        <w:fldChar w:fldCharType="begin" w:fldLock="1"/>
      </w:r>
      <w:r w:rsidRPr="00287637">
        <w:rPr>
          <w:sz w:val="18"/>
        </w:rPr>
        <w:instrText xml:space="preserve">ADDIN Mendeley Bibliography CSL_BIBLIOGRAPHY </w:instrText>
      </w:r>
      <w:r w:rsidRPr="00E355B4">
        <w:rPr>
          <w:sz w:val="18"/>
        </w:rPr>
        <w:fldChar w:fldCharType="separate"/>
      </w:r>
      <w:r w:rsidR="0062414B" w:rsidRPr="0062414B">
        <w:rPr>
          <w:noProof/>
          <w:sz w:val="18"/>
        </w:rPr>
        <w:t>Dueholm, M.S., Andersen, K.S., Petriglieri, F., McIlroy, S.J., Nierychlo, M., Petersen, J.F., Kristensen, J.M., Yashiro, E., Karst, S.M., Albertsen, M., Nielsen, P.H., 2019. Comprehensive ecosystem-specific 16S rRNA gene databases with automated taxonomy assignment (AutoTax) provide species-level resolution in microbial ecology. bioRxiv 672873. https://doi.org/10.1101/672873</w:t>
      </w:r>
    </w:p>
    <w:p w:rsidR="0062414B" w:rsidRPr="0062414B" w:rsidRDefault="0062414B" w:rsidP="0062414B">
      <w:pPr>
        <w:widowControl w:val="0"/>
        <w:autoSpaceDE w:val="0"/>
        <w:autoSpaceDN w:val="0"/>
        <w:adjustRightInd w:val="0"/>
        <w:spacing w:after="120"/>
        <w:ind w:left="480" w:hanging="480"/>
        <w:rPr>
          <w:noProof/>
          <w:sz w:val="18"/>
        </w:rPr>
      </w:pPr>
      <w:r w:rsidRPr="00287637">
        <w:rPr>
          <w:noProof/>
          <w:sz w:val="18"/>
          <w:lang w:val="da-DK"/>
        </w:rPr>
        <w:t xml:space="preserve">Jørgensen, M.K., Nierychlo, M., Nielsen, A.H., Larsen, P., Christensen, M.L., Nielsen, P.H., 2017. </w:t>
      </w:r>
      <w:r w:rsidRPr="0062414B">
        <w:rPr>
          <w:noProof/>
          <w:sz w:val="18"/>
        </w:rPr>
        <w:t>Unified understanding of physico-chemical properties of activated sludge and fouling propensity. Water Res. 120, 117–132. https://doi.org/10.1016/j.watres.2017.04.056</w:t>
      </w:r>
    </w:p>
    <w:p w:rsidR="0062414B" w:rsidRPr="0062414B" w:rsidRDefault="0062414B" w:rsidP="0062414B">
      <w:pPr>
        <w:widowControl w:val="0"/>
        <w:autoSpaceDE w:val="0"/>
        <w:autoSpaceDN w:val="0"/>
        <w:adjustRightInd w:val="0"/>
        <w:spacing w:after="120"/>
        <w:ind w:left="480" w:hanging="480"/>
        <w:rPr>
          <w:noProof/>
          <w:sz w:val="18"/>
        </w:rPr>
      </w:pPr>
      <w:r w:rsidRPr="0062414B">
        <w:rPr>
          <w:noProof/>
          <w:sz w:val="18"/>
        </w:rPr>
        <w:t>Legendre, P., Gallagher, E.D., 2001. Ecologically meaningful transformations for ordination of species data. Oecologia 129, 271–280. https://doi.org/10.1007/s004420100716</w:t>
      </w:r>
    </w:p>
    <w:p w:rsidR="0062414B" w:rsidRPr="0062414B" w:rsidRDefault="0062414B" w:rsidP="0062414B">
      <w:pPr>
        <w:widowControl w:val="0"/>
        <w:autoSpaceDE w:val="0"/>
        <w:autoSpaceDN w:val="0"/>
        <w:adjustRightInd w:val="0"/>
        <w:spacing w:after="120"/>
        <w:ind w:left="480" w:hanging="480"/>
        <w:rPr>
          <w:noProof/>
          <w:sz w:val="18"/>
        </w:rPr>
      </w:pPr>
      <w:r w:rsidRPr="0062414B">
        <w:rPr>
          <w:noProof/>
          <w:sz w:val="18"/>
        </w:rPr>
        <w:t>Saunders, A.M., Albertsen, M., Vollertsen, J., Nielsen, P.H., 2016. The activated sludge ecosystem contains a core community of abundant organisms. ISME J. 10, 11–20. https://doi.org/10.1038/ismej.2015.117</w:t>
      </w:r>
    </w:p>
    <w:p w:rsidR="00E355B4" w:rsidRPr="00E355B4" w:rsidRDefault="00E355B4" w:rsidP="0062414B">
      <w:pPr>
        <w:spacing w:after="120"/>
        <w:rPr>
          <w:sz w:val="18"/>
        </w:rPr>
      </w:pPr>
      <w:r w:rsidRPr="00E355B4">
        <w:rPr>
          <w:sz w:val="18"/>
        </w:rPr>
        <w:fldChar w:fldCharType="end"/>
      </w:r>
    </w:p>
    <w:p w:rsidR="00D20B9E" w:rsidRDefault="00D20B9E" w:rsidP="00D20B9E">
      <w:pPr>
        <w:spacing w:after="120"/>
        <w:rPr>
          <w:sz w:val="18"/>
        </w:rPr>
      </w:pPr>
    </w:p>
    <w:p w:rsidR="00FB381A" w:rsidRPr="00D20B9E" w:rsidRDefault="00FB381A" w:rsidP="00D778F2">
      <w:pPr>
        <w:spacing w:after="120"/>
        <w:rPr>
          <w:sz w:val="18"/>
        </w:rPr>
      </w:pPr>
    </w:p>
    <w:p w:rsidR="00FB381A" w:rsidRPr="00FB381A" w:rsidRDefault="00FB381A" w:rsidP="00FB381A">
      <w:pPr>
        <w:spacing w:after="120"/>
        <w:rPr>
          <w:rFonts w:ascii="Arial" w:hAnsi="Arial" w:cs="Arial"/>
          <w:b/>
          <w:sz w:val="16"/>
        </w:rPr>
      </w:pPr>
      <w:r>
        <w:rPr>
          <w:rFonts w:ascii="Arial" w:hAnsi="Arial" w:cs="Arial"/>
          <w:b/>
          <w:sz w:val="20"/>
        </w:rPr>
        <w:t>Presenting Author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7525"/>
      </w:tblGrid>
      <w:tr w:rsidR="00FB381A" w:rsidRPr="00287637" w:rsidTr="00760048">
        <w:tc>
          <w:tcPr>
            <w:tcW w:w="1384" w:type="dxa"/>
            <w:vMerge w:val="restart"/>
            <w:shd w:val="clear" w:color="auto" w:fill="auto"/>
          </w:tcPr>
          <w:p w:rsidR="00FB381A" w:rsidRPr="00760048" w:rsidRDefault="004267F2" w:rsidP="00760048">
            <w:pPr>
              <w:spacing w:after="120"/>
              <w:rPr>
                <w:sz w:val="18"/>
                <w:lang w:val="en-AU"/>
              </w:rPr>
            </w:pPr>
            <w:r>
              <w:rPr>
                <w:noProof/>
                <w:sz w:val="18"/>
                <w:lang w:val="en-US"/>
              </w:rPr>
              <w:drawing>
                <wp:inline distT="0" distB="0" distL="0" distR="0">
                  <wp:extent cx="836620" cy="1080000"/>
                  <wp:effectExtent l="0" t="0" r="190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6627.JP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83662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903" w:type="dxa"/>
            <w:shd w:val="clear" w:color="auto" w:fill="auto"/>
          </w:tcPr>
          <w:p w:rsidR="00FB381A" w:rsidRPr="004267F2" w:rsidRDefault="004267F2" w:rsidP="004267F2">
            <w:pPr>
              <w:spacing w:after="120"/>
              <w:rPr>
                <w:sz w:val="18"/>
                <w:lang w:val="da-DK"/>
              </w:rPr>
            </w:pPr>
            <w:r w:rsidRPr="004267F2">
              <w:rPr>
                <w:rFonts w:ascii="Arial" w:hAnsi="Arial" w:cs="Arial"/>
                <w:b/>
                <w:sz w:val="20"/>
                <w:lang w:val="da-DK"/>
              </w:rPr>
              <w:t>Susan Hove Hansen, MSc, PhD</w:t>
            </w:r>
            <w:r w:rsidR="00FB381A" w:rsidRPr="004267F2">
              <w:rPr>
                <w:rFonts w:ascii="Arial" w:hAnsi="Arial" w:cs="Arial"/>
                <w:b/>
                <w:sz w:val="20"/>
                <w:lang w:val="da-DK"/>
              </w:rPr>
              <w:br/>
            </w:r>
            <w:r w:rsidRPr="004267F2">
              <w:rPr>
                <w:rFonts w:ascii="Arial" w:hAnsi="Arial" w:cs="Arial"/>
                <w:sz w:val="18"/>
                <w:lang w:val="da-DK"/>
              </w:rPr>
              <w:t>Aalborg University</w:t>
            </w:r>
          </w:p>
        </w:tc>
      </w:tr>
      <w:tr w:rsidR="00FB381A" w:rsidRPr="00760048" w:rsidTr="00760048">
        <w:tc>
          <w:tcPr>
            <w:tcW w:w="1384" w:type="dxa"/>
            <w:vMerge/>
            <w:shd w:val="clear" w:color="auto" w:fill="auto"/>
          </w:tcPr>
          <w:p w:rsidR="00FB381A" w:rsidRPr="004267F2" w:rsidRDefault="00FB381A" w:rsidP="00760048">
            <w:pPr>
              <w:spacing w:after="120"/>
              <w:rPr>
                <w:sz w:val="18"/>
                <w:lang w:val="da-DK"/>
              </w:rPr>
            </w:pPr>
          </w:p>
        </w:tc>
        <w:tc>
          <w:tcPr>
            <w:tcW w:w="7903" w:type="dxa"/>
            <w:shd w:val="clear" w:color="auto" w:fill="auto"/>
          </w:tcPr>
          <w:p w:rsidR="00FB381A" w:rsidRPr="00760048" w:rsidRDefault="00FB381A" w:rsidP="004267F2">
            <w:pPr>
              <w:spacing w:after="120"/>
              <w:rPr>
                <w:sz w:val="18"/>
                <w:lang w:val="en-AU"/>
              </w:rPr>
            </w:pPr>
            <w:r w:rsidRPr="00760048">
              <w:rPr>
                <w:rFonts w:ascii="Arial" w:hAnsi="Arial" w:cs="Arial"/>
                <w:b/>
                <w:sz w:val="20"/>
              </w:rPr>
              <w:t>Is the presenting author a</w:t>
            </w:r>
            <w:r w:rsidR="002A54C1">
              <w:rPr>
                <w:rFonts w:ascii="Arial" w:hAnsi="Arial" w:cs="Arial"/>
                <w:b/>
                <w:sz w:val="20"/>
              </w:rPr>
              <w:t>n IWA</w:t>
            </w:r>
            <w:r w:rsidRPr="00760048">
              <w:rPr>
                <w:rFonts w:ascii="Arial" w:hAnsi="Arial" w:cs="Arial"/>
                <w:b/>
                <w:sz w:val="20"/>
              </w:rPr>
              <w:t xml:space="preserve"> Young Water Professional? Y/N</w:t>
            </w:r>
            <w:r w:rsidR="002A54C1">
              <w:rPr>
                <w:rFonts w:ascii="Arial" w:hAnsi="Arial" w:cs="Arial"/>
                <w:b/>
                <w:sz w:val="20"/>
              </w:rPr>
              <w:br/>
            </w:r>
            <w:r w:rsidR="004267F2">
              <w:rPr>
                <w:rFonts w:ascii="Arial" w:hAnsi="Arial"/>
                <w:color w:val="000000"/>
                <w:sz w:val="16"/>
              </w:rPr>
              <w:t>Y</w:t>
            </w:r>
          </w:p>
        </w:tc>
      </w:tr>
      <w:tr w:rsidR="00FB381A" w:rsidRPr="00760048" w:rsidTr="00760048">
        <w:tc>
          <w:tcPr>
            <w:tcW w:w="1384" w:type="dxa"/>
            <w:vMerge/>
            <w:shd w:val="clear" w:color="auto" w:fill="auto"/>
          </w:tcPr>
          <w:p w:rsidR="00FB381A" w:rsidRPr="00760048" w:rsidRDefault="00FB381A" w:rsidP="00760048">
            <w:pPr>
              <w:spacing w:after="120"/>
              <w:rPr>
                <w:sz w:val="18"/>
                <w:lang w:val="en-AU"/>
              </w:rPr>
            </w:pPr>
          </w:p>
        </w:tc>
        <w:tc>
          <w:tcPr>
            <w:tcW w:w="7903" w:type="dxa"/>
            <w:shd w:val="clear" w:color="auto" w:fill="auto"/>
          </w:tcPr>
          <w:p w:rsidR="00FB381A" w:rsidRPr="002A0FBC" w:rsidRDefault="00FB381A" w:rsidP="00FB381A">
            <w:pPr>
              <w:rPr>
                <w:rFonts w:ascii="Arial" w:hAnsi="Arial" w:cs="Arial"/>
                <w:sz w:val="18"/>
                <w:szCs w:val="18"/>
              </w:rPr>
            </w:pPr>
            <w:r w:rsidRPr="00760048">
              <w:rPr>
                <w:rFonts w:ascii="Arial" w:hAnsi="Arial" w:cs="Arial"/>
                <w:b/>
                <w:sz w:val="20"/>
              </w:rPr>
              <w:t xml:space="preserve">Bio: </w:t>
            </w:r>
            <w:r w:rsidR="002A0FBC" w:rsidRPr="002A0FBC">
              <w:rPr>
                <w:rFonts w:ascii="Arial" w:hAnsi="Arial" w:cs="Arial"/>
                <w:sz w:val="18"/>
                <w:szCs w:val="18"/>
              </w:rPr>
              <w:t>Postdoctoral fellow aiming for a more sustainable world.</w:t>
            </w:r>
            <w:r w:rsidR="002A0FBC">
              <w:rPr>
                <w:rFonts w:ascii="Arial" w:hAnsi="Arial" w:cs="Arial"/>
                <w:sz w:val="18"/>
                <w:szCs w:val="18"/>
              </w:rPr>
              <w:t xml:space="preserve"> Studies r</w:t>
            </w:r>
            <w:r w:rsidR="00066764">
              <w:rPr>
                <w:rFonts w:ascii="Arial" w:hAnsi="Arial" w:cs="Arial"/>
                <w:sz w:val="18"/>
                <w:szCs w:val="18"/>
              </w:rPr>
              <w:t>esource re</w:t>
            </w:r>
            <w:r w:rsidR="00EB20F2">
              <w:rPr>
                <w:rFonts w:ascii="Arial" w:hAnsi="Arial" w:cs="Arial"/>
                <w:sz w:val="18"/>
                <w:szCs w:val="18"/>
              </w:rPr>
              <w:t xml:space="preserve">covery from a microbial </w:t>
            </w:r>
            <w:proofErr w:type="gramStart"/>
            <w:r w:rsidR="00EB20F2">
              <w:rPr>
                <w:rFonts w:ascii="Arial" w:hAnsi="Arial" w:cs="Arial"/>
                <w:sz w:val="18"/>
                <w:szCs w:val="18"/>
              </w:rPr>
              <w:t>ecologists</w:t>
            </w:r>
            <w:proofErr w:type="gramEnd"/>
            <w:r w:rsidR="00EB20F2">
              <w:rPr>
                <w:rFonts w:ascii="Arial" w:hAnsi="Arial" w:cs="Arial"/>
                <w:sz w:val="18"/>
                <w:szCs w:val="18"/>
              </w:rPr>
              <w:t xml:space="preserve"> </w:t>
            </w:r>
            <w:r w:rsidR="00066764">
              <w:rPr>
                <w:rFonts w:ascii="Arial" w:hAnsi="Arial" w:cs="Arial"/>
                <w:sz w:val="18"/>
                <w:szCs w:val="18"/>
              </w:rPr>
              <w:t>point of view</w:t>
            </w:r>
            <w:r w:rsidR="00EB20F2">
              <w:rPr>
                <w:rFonts w:ascii="Arial" w:hAnsi="Arial" w:cs="Arial"/>
                <w:sz w:val="18"/>
                <w:szCs w:val="18"/>
              </w:rPr>
              <w:t xml:space="preserve"> in the </w:t>
            </w:r>
            <w:r w:rsidR="00EB20F2" w:rsidRPr="00EB20F2">
              <w:rPr>
                <w:rFonts w:ascii="Arial" w:hAnsi="Arial" w:cs="Arial"/>
                <w:sz w:val="18"/>
                <w:szCs w:val="18"/>
              </w:rPr>
              <w:t>grou</w:t>
            </w:r>
            <w:r w:rsidR="00EB20F2">
              <w:rPr>
                <w:rFonts w:ascii="Arial" w:hAnsi="Arial" w:cs="Arial"/>
                <w:sz w:val="18"/>
                <w:szCs w:val="18"/>
              </w:rPr>
              <w:t xml:space="preserve">p of </w:t>
            </w:r>
            <w:proofErr w:type="spellStart"/>
            <w:r w:rsidR="00EB20F2">
              <w:rPr>
                <w:rFonts w:ascii="Arial" w:hAnsi="Arial" w:cs="Arial"/>
                <w:sz w:val="18"/>
                <w:szCs w:val="18"/>
              </w:rPr>
              <w:t>Prof.</w:t>
            </w:r>
            <w:proofErr w:type="spellEnd"/>
            <w:r w:rsidR="00EB20F2">
              <w:rPr>
                <w:rFonts w:ascii="Arial" w:hAnsi="Arial" w:cs="Arial"/>
                <w:sz w:val="18"/>
                <w:szCs w:val="18"/>
              </w:rPr>
              <w:t xml:space="preserve"> Per Halkjær Nielsen</w:t>
            </w:r>
            <w:r w:rsidR="00066764">
              <w:rPr>
                <w:rFonts w:ascii="Arial" w:hAnsi="Arial" w:cs="Arial"/>
                <w:sz w:val="18"/>
                <w:szCs w:val="18"/>
              </w:rPr>
              <w:t>.</w:t>
            </w:r>
            <w:r w:rsidR="002A0FBC" w:rsidRPr="002A0FBC">
              <w:rPr>
                <w:rFonts w:ascii="Arial" w:hAnsi="Arial" w:cs="Arial"/>
                <w:sz w:val="18"/>
                <w:szCs w:val="18"/>
              </w:rPr>
              <w:t xml:space="preserve"> </w:t>
            </w:r>
            <w:r w:rsidR="00EB20F2">
              <w:rPr>
                <w:rFonts w:ascii="Arial" w:hAnsi="Arial" w:cs="Arial"/>
                <w:sz w:val="18"/>
                <w:szCs w:val="18"/>
              </w:rPr>
              <w:t xml:space="preserve">Holds </w:t>
            </w:r>
            <w:proofErr w:type="gramStart"/>
            <w:r w:rsidR="00EB20F2">
              <w:rPr>
                <w:rFonts w:ascii="Arial" w:hAnsi="Arial" w:cs="Arial"/>
                <w:sz w:val="18"/>
                <w:szCs w:val="18"/>
              </w:rPr>
              <w:t>a</w:t>
            </w:r>
            <w:proofErr w:type="gramEnd"/>
            <w:r w:rsidR="00EB20F2">
              <w:rPr>
                <w:rFonts w:ascii="Arial" w:hAnsi="Arial" w:cs="Arial"/>
                <w:sz w:val="18"/>
                <w:szCs w:val="18"/>
              </w:rPr>
              <w:t xml:space="preserve"> </w:t>
            </w:r>
            <w:r w:rsidR="002A0FBC" w:rsidRPr="002A0FBC">
              <w:rPr>
                <w:rFonts w:ascii="Arial" w:hAnsi="Arial" w:cs="Arial"/>
                <w:sz w:val="18"/>
                <w:szCs w:val="18"/>
              </w:rPr>
              <w:t xml:space="preserve">MSc in biotechnology and </w:t>
            </w:r>
            <w:r w:rsidR="00F83E89">
              <w:rPr>
                <w:rFonts w:ascii="Arial" w:hAnsi="Arial" w:cs="Arial"/>
                <w:sz w:val="18"/>
                <w:szCs w:val="18"/>
              </w:rPr>
              <w:t xml:space="preserve">a </w:t>
            </w:r>
            <w:r w:rsidR="002A0FBC" w:rsidRPr="002A0FBC">
              <w:rPr>
                <w:rFonts w:ascii="Arial" w:hAnsi="Arial" w:cs="Arial"/>
                <w:sz w:val="18"/>
                <w:szCs w:val="18"/>
              </w:rPr>
              <w:t xml:space="preserve">PhD on “omics” to study biofilms and fouling in membrane bioreactors (MBRs) for wastewater treatment. </w:t>
            </w:r>
          </w:p>
          <w:p w:rsidR="00FB381A" w:rsidRPr="00760048" w:rsidRDefault="00FB381A" w:rsidP="00FB381A">
            <w:pPr>
              <w:rPr>
                <w:rFonts w:ascii="Arial" w:hAnsi="Arial" w:cs="Arial"/>
                <w:b/>
                <w:sz w:val="16"/>
              </w:rPr>
            </w:pPr>
          </w:p>
        </w:tc>
      </w:tr>
    </w:tbl>
    <w:p w:rsidR="00FB381A" w:rsidRPr="00EB20F2" w:rsidRDefault="00FB381A" w:rsidP="00D778F2">
      <w:pPr>
        <w:spacing w:after="120"/>
        <w:rPr>
          <w:sz w:val="18"/>
        </w:rPr>
      </w:pPr>
    </w:p>
    <w:sectPr w:rsidR="00FB381A" w:rsidRPr="00EB20F2" w:rsidSect="002A55F9">
      <w:headerReference w:type="default" r:id="rId11"/>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29BD" w:rsidRDefault="00AE29BD" w:rsidP="004A0A61">
      <w:r>
        <w:separator/>
      </w:r>
    </w:p>
  </w:endnote>
  <w:endnote w:type="continuationSeparator" w:id="0">
    <w:p w:rsidR="00AE29BD" w:rsidRDefault="00AE29BD" w:rsidP="004A0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29BD" w:rsidRDefault="00AE29BD" w:rsidP="004A0A61">
      <w:r>
        <w:separator/>
      </w:r>
    </w:p>
  </w:footnote>
  <w:footnote w:type="continuationSeparator" w:id="0">
    <w:p w:rsidR="00AE29BD" w:rsidRDefault="00AE29BD" w:rsidP="004A0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485" w:rsidRPr="005C7485" w:rsidRDefault="005C7485" w:rsidP="005C7485">
    <w:pPr>
      <w:pStyle w:val="Header"/>
      <w:rPr>
        <w:rFonts w:asciiTheme="minorHAnsi" w:hAnsiTheme="minorHAnsi"/>
        <w:b/>
        <w:noProof/>
        <w:lang w:val="en-US"/>
      </w:rPr>
    </w:pPr>
    <w:r>
      <w:rPr>
        <w:rFonts w:asciiTheme="minorHAnsi" w:hAnsiTheme="minorHAnsi"/>
        <w:b/>
        <w:noProof/>
        <w:lang w:val="en-US"/>
      </w:rPr>
      <w:drawing>
        <wp:anchor distT="0" distB="0" distL="114300" distR="114300" simplePos="0" relativeHeight="251658240" behindDoc="1" locked="0" layoutInCell="1" allowOverlap="1">
          <wp:simplePos x="0" y="0"/>
          <wp:positionH relativeFrom="column">
            <wp:posOffset>-958850</wp:posOffset>
          </wp:positionH>
          <wp:positionV relativeFrom="paragraph">
            <wp:posOffset>-280050</wp:posOffset>
          </wp:positionV>
          <wp:extent cx="858188" cy="612991"/>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A_LOGO_white_background_CMYK.jpg"/>
                  <pic:cNvPicPr/>
                </pic:nvPicPr>
                <pic:blipFill>
                  <a:blip r:embed="rId1"/>
                  <a:stretch>
                    <a:fillRect/>
                  </a:stretch>
                </pic:blipFill>
                <pic:spPr>
                  <a:xfrm>
                    <a:off x="0" y="0"/>
                    <a:ext cx="858188" cy="612991"/>
                  </a:xfrm>
                  <a:prstGeom prst="rect">
                    <a:avLst/>
                  </a:prstGeom>
                </pic:spPr>
              </pic:pic>
            </a:graphicData>
          </a:graphic>
          <wp14:sizeRelH relativeFrom="page">
            <wp14:pctWidth>0</wp14:pctWidth>
          </wp14:sizeRelH>
          <wp14:sizeRelV relativeFrom="page">
            <wp14:pctHeight>0</wp14:pctHeight>
          </wp14:sizeRelV>
        </wp:anchor>
      </w:drawing>
    </w:r>
    <w:r w:rsidRPr="005C7485">
      <w:rPr>
        <w:rFonts w:asciiTheme="minorHAnsi" w:hAnsiTheme="minorHAnsi"/>
        <w:b/>
        <w:noProof/>
        <w:lang w:val="en-US"/>
      </w:rPr>
      <w:t>IWA Nutrient Removal and Recovery Conference</w:t>
    </w:r>
  </w:p>
  <w:p w:rsidR="001D577F" w:rsidRPr="00D54897" w:rsidRDefault="00D2671C" w:rsidP="005C7485">
    <w:pPr>
      <w:pStyle w:val="Header"/>
      <w:rPr>
        <w:rFonts w:ascii="Calibri" w:hAnsi="Calibri"/>
        <w:b/>
      </w:rPr>
    </w:pPr>
    <w:r>
      <w:rPr>
        <w:rFonts w:asciiTheme="minorHAnsi" w:hAnsiTheme="minorHAnsi"/>
        <w:b/>
        <w:noProof/>
        <w:lang w:val="en-US"/>
      </w:rPr>
      <w:t xml:space="preserve">8 - 12 </w:t>
    </w:r>
    <w:r w:rsidR="00683378">
      <w:rPr>
        <w:rFonts w:asciiTheme="minorHAnsi" w:hAnsiTheme="minorHAnsi"/>
        <w:b/>
        <w:noProof/>
        <w:lang w:val="en-US"/>
      </w:rPr>
      <w:t>June</w:t>
    </w:r>
    <w:r w:rsidR="00683378">
      <w:rPr>
        <w:rFonts w:ascii="Calibri" w:hAnsi="Calibri"/>
        <w:b/>
      </w:rPr>
      <w:t xml:space="preserve"> 2020,</w:t>
    </w:r>
    <w:r w:rsidR="001D577F" w:rsidRPr="00D54897">
      <w:rPr>
        <w:rFonts w:ascii="Calibri" w:hAnsi="Calibri"/>
        <w:b/>
      </w:rPr>
      <w:t xml:space="preserve"> </w:t>
    </w:r>
    <w:r>
      <w:rPr>
        <w:rFonts w:ascii="Calibri" w:hAnsi="Calibri"/>
        <w:b/>
      </w:rPr>
      <w:t>Helsinki, Finland</w:t>
    </w:r>
  </w:p>
  <w:p w:rsidR="001D577F" w:rsidRPr="00D54897" w:rsidRDefault="001D577F" w:rsidP="004A0A61">
    <w:pPr>
      <w:pStyle w:val="Header"/>
      <w:rPr>
        <w:rFonts w:ascii="Calibri" w:hAnsi="Calibri"/>
        <w: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3E4B7E"/>
    <w:lvl w:ilvl="0">
      <w:start w:val="1"/>
      <w:numFmt w:val="bullet"/>
      <w:lvlText w:val=""/>
      <w:lvlJc w:val="left"/>
      <w:pPr>
        <w:tabs>
          <w:tab w:val="num" w:pos="360"/>
        </w:tabs>
        <w:ind w:left="360" w:hanging="360"/>
      </w:pPr>
      <w:rPr>
        <w:rFonts w:ascii="Symbol" w:hAnsi="Symbol" w:cs="Times New Roman" w:hint="default"/>
      </w:rPr>
    </w:lvl>
  </w:abstractNum>
  <w:num w:numId="1">
    <w:abstractNumId w:val="0"/>
  </w:num>
  <w:num w:numId="2">
    <w:abstractNumId w:val="0"/>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A9F"/>
    <w:rsid w:val="00006129"/>
    <w:rsid w:val="00066764"/>
    <w:rsid w:val="000B1A9F"/>
    <w:rsid w:val="000C4B51"/>
    <w:rsid w:val="001A21D0"/>
    <w:rsid w:val="001D577F"/>
    <w:rsid w:val="00203921"/>
    <w:rsid w:val="00287637"/>
    <w:rsid w:val="002A0FBC"/>
    <w:rsid w:val="002A54C1"/>
    <w:rsid w:val="002A55F9"/>
    <w:rsid w:val="002C5B24"/>
    <w:rsid w:val="002F7347"/>
    <w:rsid w:val="00384DC5"/>
    <w:rsid w:val="003A192E"/>
    <w:rsid w:val="003D46FE"/>
    <w:rsid w:val="00402EBA"/>
    <w:rsid w:val="004267F2"/>
    <w:rsid w:val="004A0A61"/>
    <w:rsid w:val="0057053B"/>
    <w:rsid w:val="00597117"/>
    <w:rsid w:val="005B73A1"/>
    <w:rsid w:val="005C7485"/>
    <w:rsid w:val="00623C42"/>
    <w:rsid w:val="0062414B"/>
    <w:rsid w:val="00677CF2"/>
    <w:rsid w:val="00683378"/>
    <w:rsid w:val="006A2478"/>
    <w:rsid w:val="006D3C75"/>
    <w:rsid w:val="006F5041"/>
    <w:rsid w:val="00760048"/>
    <w:rsid w:val="00775A54"/>
    <w:rsid w:val="00797A6A"/>
    <w:rsid w:val="008A64AB"/>
    <w:rsid w:val="00947D63"/>
    <w:rsid w:val="00A023AD"/>
    <w:rsid w:val="00A56C9D"/>
    <w:rsid w:val="00A83C80"/>
    <w:rsid w:val="00A928E4"/>
    <w:rsid w:val="00A97585"/>
    <w:rsid w:val="00AE29BD"/>
    <w:rsid w:val="00B02523"/>
    <w:rsid w:val="00B03BB9"/>
    <w:rsid w:val="00B11B53"/>
    <w:rsid w:val="00C1181C"/>
    <w:rsid w:val="00CA158A"/>
    <w:rsid w:val="00CD121A"/>
    <w:rsid w:val="00CF0EBA"/>
    <w:rsid w:val="00CF5BC8"/>
    <w:rsid w:val="00D20B9E"/>
    <w:rsid w:val="00D2671C"/>
    <w:rsid w:val="00D278D0"/>
    <w:rsid w:val="00D54897"/>
    <w:rsid w:val="00D778F2"/>
    <w:rsid w:val="00DA0394"/>
    <w:rsid w:val="00DC7D1C"/>
    <w:rsid w:val="00E355B4"/>
    <w:rsid w:val="00E53671"/>
    <w:rsid w:val="00E70C68"/>
    <w:rsid w:val="00EA06AA"/>
    <w:rsid w:val="00EB20F2"/>
    <w:rsid w:val="00EE5D8E"/>
    <w:rsid w:val="00F01853"/>
    <w:rsid w:val="00F04069"/>
    <w:rsid w:val="00F13BC3"/>
    <w:rsid w:val="00F1640D"/>
    <w:rsid w:val="00F3032A"/>
    <w:rsid w:val="00F83E89"/>
    <w:rsid w:val="00FB381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A4A083"/>
  <w14:defaultImageDpi w14:val="300"/>
  <w15:chartTrackingRefBased/>
  <w15:docId w15:val="{8099AC5C-82EE-7446-B84F-15F65332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1">
    <w:name w:val="heading 1"/>
    <w:basedOn w:val="Normal"/>
    <w:next w:val="IWAFirstparagraph"/>
    <w:qFormat/>
    <w:pPr>
      <w:keepNext/>
      <w:suppressLineNumbers/>
      <w:tabs>
        <w:tab w:val="left" w:pos="414"/>
      </w:tabs>
      <w:overflowPunct w:val="0"/>
      <w:autoSpaceDE w:val="0"/>
      <w:autoSpaceDN w:val="0"/>
      <w:adjustRightInd w:val="0"/>
      <w:spacing w:before="320" w:after="120" w:line="320" w:lineRule="atLeast"/>
      <w:ind w:left="420" w:hanging="420"/>
      <w:textAlignment w:val="baseline"/>
      <w:outlineLvl w:val="0"/>
    </w:pPr>
    <w:rPr>
      <w:rFonts w:ascii="Arial" w:hAnsi="Arial" w:cs="Arial"/>
      <w:b/>
      <w:bCs/>
      <w:kern w:val="28"/>
    </w:rPr>
  </w:style>
  <w:style w:type="paragraph" w:styleId="Heading2">
    <w:name w:val="heading 2"/>
    <w:basedOn w:val="Normal"/>
    <w:next w:val="IWAFirstparagraph"/>
    <w:qFormat/>
    <w:pPr>
      <w:keepNext/>
      <w:suppressLineNumbers/>
      <w:tabs>
        <w:tab w:val="left" w:pos="634"/>
      </w:tabs>
      <w:overflowPunct w:val="0"/>
      <w:autoSpaceDE w:val="0"/>
      <w:autoSpaceDN w:val="0"/>
      <w:adjustRightInd w:val="0"/>
      <w:spacing w:before="280" w:after="80" w:line="320" w:lineRule="exact"/>
      <w:ind w:left="634" w:hanging="634"/>
      <w:textAlignment w:val="baseline"/>
      <w:outlineLvl w:val="1"/>
    </w:pPr>
    <w:rPr>
      <w:rFonts w:ascii="Arial" w:hAnsi="Arial" w:cs="Arial"/>
      <w:b/>
      <w:bCs/>
      <w:sz w:val="22"/>
      <w:szCs w:val="22"/>
    </w:rPr>
  </w:style>
  <w:style w:type="paragraph" w:styleId="Heading3">
    <w:name w:val="heading 3"/>
    <w:basedOn w:val="Normal"/>
    <w:next w:val="IWAFirstparagraph"/>
    <w:qFormat/>
    <w:pPr>
      <w:keepNext/>
      <w:suppressLineNumbers/>
      <w:tabs>
        <w:tab w:val="left" w:pos="794"/>
      </w:tabs>
      <w:overflowPunct w:val="0"/>
      <w:autoSpaceDE w:val="0"/>
      <w:autoSpaceDN w:val="0"/>
      <w:adjustRightInd w:val="0"/>
      <w:spacing w:before="240" w:after="60" w:line="240" w:lineRule="atLeast"/>
      <w:ind w:left="794" w:hanging="794"/>
      <w:textAlignment w:val="baseline"/>
      <w:outlineLvl w:val="2"/>
    </w:pPr>
    <w:rPr>
      <w:rFonts w:ascii="Arial" w:hAnsi="Arial" w:cs="Arial"/>
      <w:i/>
      <w:iCs/>
      <w:sz w:val="22"/>
      <w:szCs w:val="22"/>
    </w:rPr>
  </w:style>
  <w:style w:type="paragraph" w:styleId="Heading4">
    <w:name w:val="heading 4"/>
    <w:basedOn w:val="Heading3"/>
    <w:next w:val="IWAFirstparagraph"/>
    <w:qFormat/>
    <w:pPr>
      <w:outlineLvl w:val="3"/>
    </w:pPr>
    <w:rPr>
      <w:b/>
      <w:bCs/>
      <w:i w:val="0"/>
      <w:iCs w:val="0"/>
      <w:sz w:val="20"/>
      <w:szCs w:val="20"/>
    </w:rPr>
  </w:style>
  <w:style w:type="paragraph" w:styleId="Heading5">
    <w:name w:val="heading 5"/>
    <w:basedOn w:val="Normal"/>
    <w:next w:val="Normal"/>
    <w:qFormat/>
    <w:pPr>
      <w:keepNext/>
      <w:suppressLineNumbers/>
      <w:overflowPunct w:val="0"/>
      <w:autoSpaceDE w:val="0"/>
      <w:autoSpaceDN w:val="0"/>
      <w:adjustRightInd w:val="0"/>
      <w:spacing w:line="240" w:lineRule="atLeast"/>
      <w:jc w:val="both"/>
      <w:textAlignment w:val="baseline"/>
      <w:outlineLvl w:val="4"/>
    </w:pPr>
    <w:rPr>
      <w:rFonts w:ascii="Arial" w:hAnsi="Arial" w:cs="Arial"/>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WAKeyword">
    <w:name w:val="(IWA) Keyword"/>
    <w:basedOn w:val="Normal"/>
    <w:next w:val="Heading1"/>
    <w:pPr>
      <w:suppressLineNumbers/>
      <w:suppressAutoHyphens/>
      <w:overflowPunct w:val="0"/>
      <w:autoSpaceDE w:val="0"/>
      <w:autoSpaceDN w:val="0"/>
      <w:adjustRightInd w:val="0"/>
      <w:spacing w:line="220" w:lineRule="atLeast"/>
      <w:jc w:val="center"/>
      <w:textAlignment w:val="baseline"/>
    </w:pPr>
    <w:rPr>
      <w:rFonts w:ascii="Arial" w:hAnsi="Arial" w:cs="Arial"/>
      <w:sz w:val="18"/>
      <w:szCs w:val="18"/>
    </w:rPr>
  </w:style>
  <w:style w:type="paragraph" w:customStyle="1" w:styleId="References">
    <w:name w:val="References"/>
    <w:basedOn w:val="Normal"/>
    <w:pPr>
      <w:suppressLineNumbers/>
      <w:overflowPunct w:val="0"/>
      <w:autoSpaceDE w:val="0"/>
      <w:autoSpaceDN w:val="0"/>
      <w:adjustRightInd w:val="0"/>
      <w:spacing w:line="200" w:lineRule="exact"/>
      <w:ind w:left="360" w:hanging="360"/>
      <w:jc w:val="both"/>
      <w:textAlignment w:val="baseline"/>
    </w:pPr>
    <w:rPr>
      <w:sz w:val="18"/>
      <w:szCs w:val="18"/>
    </w:rPr>
  </w:style>
  <w:style w:type="paragraph" w:customStyle="1" w:styleId="IWAReferences">
    <w:name w:val="(IWA) References"/>
    <w:basedOn w:val="Normal"/>
    <w:pPr>
      <w:suppressLineNumbers/>
      <w:overflowPunct w:val="0"/>
      <w:autoSpaceDE w:val="0"/>
      <w:autoSpaceDN w:val="0"/>
      <w:adjustRightInd w:val="0"/>
      <w:spacing w:line="200" w:lineRule="exact"/>
      <w:ind w:left="360" w:hanging="360"/>
      <w:jc w:val="both"/>
      <w:textAlignment w:val="baseline"/>
    </w:pPr>
    <w:rPr>
      <w:rFonts w:ascii="Arial" w:hAnsi="Arial" w:cs="Arial"/>
      <w:sz w:val="18"/>
      <w:szCs w:val="18"/>
    </w:rPr>
  </w:style>
  <w:style w:type="paragraph" w:customStyle="1" w:styleId="IWAPaperTitle">
    <w:name w:val="(IWA) Paper Title"/>
    <w:basedOn w:val="Normal"/>
    <w:pPr>
      <w:jc w:val="center"/>
    </w:pPr>
    <w:rPr>
      <w:rFonts w:ascii="Arial" w:hAnsi="Arial" w:cs="Arial"/>
      <w:b/>
      <w:bCs/>
      <w:sz w:val="28"/>
      <w:szCs w:val="28"/>
    </w:rPr>
  </w:style>
  <w:style w:type="paragraph" w:customStyle="1" w:styleId="IWANormalParagraph">
    <w:name w:val="(IWA) Normal Paragraph"/>
    <w:basedOn w:val="BodyTextFirstIndent"/>
    <w:rPr>
      <w:rFonts w:ascii="Arial" w:hAnsi="Arial" w:cs="Arial"/>
      <w:sz w:val="22"/>
      <w:szCs w:val="22"/>
    </w:rPr>
  </w:style>
  <w:style w:type="paragraph" w:customStyle="1" w:styleId="IWAFirstparagraph">
    <w:name w:val="(IWA) First paragraph"/>
    <w:basedOn w:val="Normal"/>
    <w:next w:val="Normal"/>
    <w:pPr>
      <w:suppressLineNumbers/>
      <w:overflowPunct w:val="0"/>
      <w:autoSpaceDE w:val="0"/>
      <w:autoSpaceDN w:val="0"/>
      <w:adjustRightInd w:val="0"/>
      <w:spacing w:line="240" w:lineRule="atLeast"/>
      <w:jc w:val="both"/>
      <w:textAlignment w:val="baseline"/>
    </w:pPr>
    <w:rPr>
      <w:rFonts w:ascii="Arial" w:hAnsi="Arial" w:cs="Arial"/>
      <w:sz w:val="22"/>
      <w:szCs w:val="22"/>
    </w:rPr>
  </w:style>
  <w:style w:type="paragraph" w:customStyle="1" w:styleId="IWAAuthornames">
    <w:name w:val="(IWA) Author name(s)"/>
    <w:basedOn w:val="Normal"/>
    <w:next w:val="IWAAuthoraddress"/>
    <w:pPr>
      <w:suppressLineNumbers/>
      <w:suppressAutoHyphens/>
      <w:overflowPunct w:val="0"/>
      <w:autoSpaceDE w:val="0"/>
      <w:autoSpaceDN w:val="0"/>
      <w:adjustRightInd w:val="0"/>
      <w:spacing w:after="120" w:line="240" w:lineRule="atLeast"/>
      <w:jc w:val="center"/>
      <w:textAlignment w:val="baseline"/>
    </w:pPr>
    <w:rPr>
      <w:rFonts w:ascii="Arial" w:hAnsi="Arial" w:cs="Arial"/>
      <w:sz w:val="20"/>
      <w:szCs w:val="20"/>
    </w:rPr>
  </w:style>
  <w:style w:type="paragraph" w:customStyle="1" w:styleId="IWAAuthoraddress">
    <w:name w:val="(IWA) Author address"/>
    <w:basedOn w:val="Normal"/>
    <w:next w:val="Normal"/>
    <w:pPr>
      <w:suppressLineNumbers/>
      <w:suppressAutoHyphens/>
      <w:overflowPunct w:val="0"/>
      <w:autoSpaceDE w:val="0"/>
      <w:autoSpaceDN w:val="0"/>
      <w:adjustRightInd w:val="0"/>
      <w:spacing w:line="220" w:lineRule="atLeast"/>
      <w:jc w:val="center"/>
      <w:textAlignment w:val="baseline"/>
    </w:pPr>
    <w:rPr>
      <w:rFonts w:ascii="Arial" w:hAnsi="Arial" w:cs="Arial"/>
      <w:sz w:val="18"/>
      <w:szCs w:val="18"/>
    </w:rPr>
  </w:style>
  <w:style w:type="paragraph" w:styleId="Footer">
    <w:name w:val="footer"/>
    <w:basedOn w:val="Normal"/>
    <w:pPr>
      <w:suppressLineNumbers/>
      <w:tabs>
        <w:tab w:val="center" w:pos="4153"/>
        <w:tab w:val="right" w:pos="8306"/>
      </w:tabs>
      <w:overflowPunct w:val="0"/>
      <w:autoSpaceDE w:val="0"/>
      <w:autoSpaceDN w:val="0"/>
      <w:adjustRightInd w:val="0"/>
      <w:spacing w:line="240" w:lineRule="atLeast"/>
      <w:ind w:firstLine="238"/>
      <w:jc w:val="both"/>
      <w:textAlignment w:val="baseline"/>
    </w:pPr>
    <w:rPr>
      <w:sz w:val="22"/>
      <w:szCs w:val="22"/>
    </w:rPr>
  </w:style>
  <w:style w:type="paragraph" w:styleId="NormalIndent">
    <w:name w:val="Normal Indent"/>
    <w:basedOn w:val="Normal"/>
    <w:pPr>
      <w:ind w:left="720"/>
    </w:pPr>
  </w:style>
  <w:style w:type="paragraph" w:customStyle="1" w:styleId="IWAFigureTableLegend">
    <w:name w:val="(IWA) Figure/Table Legend"/>
    <w:basedOn w:val="Normal"/>
    <w:rPr>
      <w:rFonts w:ascii="Arial" w:hAnsi="Arial" w:cs="Arial"/>
      <w:sz w:val="18"/>
      <w:szCs w:val="18"/>
    </w:rPr>
  </w:style>
  <w:style w:type="paragraph" w:customStyle="1" w:styleId="IWAHeading">
    <w:name w:val="(IWA) Heading"/>
    <w:basedOn w:val="Normal"/>
    <w:rPr>
      <w:rFonts w:ascii="Arial" w:hAnsi="Arial" w:cs="Arial"/>
      <w:b/>
      <w:bCs/>
    </w:rPr>
  </w:style>
  <w:style w:type="paragraph" w:customStyle="1" w:styleId="IWASub-heading">
    <w:name w:val="(IWA) Sub-heading"/>
    <w:basedOn w:val="NormalIndent"/>
    <w:rPr>
      <w:rFonts w:ascii="Arial" w:hAnsi="Arial" w:cs="Arial"/>
      <w:b/>
      <w:bCs/>
      <w:sz w:val="22"/>
      <w:szCs w:val="22"/>
    </w:rPr>
  </w:style>
  <w:style w:type="paragraph" w:styleId="BodyText">
    <w:name w:val="Body Text"/>
    <w:basedOn w:val="Normal"/>
    <w:pPr>
      <w:spacing w:after="120"/>
    </w:pPr>
  </w:style>
  <w:style w:type="paragraph" w:styleId="BodyTextFirstIndent">
    <w:name w:val="Body Text First Indent"/>
    <w:basedOn w:val="BodyText"/>
    <w:pPr>
      <w:ind w:firstLine="210"/>
    </w:pPr>
  </w:style>
  <w:style w:type="paragraph" w:customStyle="1" w:styleId="ListNumber1">
    <w:name w:val="List Number1"/>
    <w:basedOn w:val="ListBullet"/>
    <w:pPr>
      <w:suppressLineNumbers/>
      <w:tabs>
        <w:tab w:val="left" w:pos="648"/>
      </w:tabs>
      <w:overflowPunct w:val="0"/>
      <w:autoSpaceDE w:val="0"/>
      <w:autoSpaceDN w:val="0"/>
      <w:adjustRightInd w:val="0"/>
      <w:spacing w:line="240" w:lineRule="exact"/>
      <w:jc w:val="both"/>
      <w:textAlignment w:val="baseline"/>
    </w:pPr>
    <w:rPr>
      <w:sz w:val="20"/>
      <w:szCs w:val="20"/>
    </w:rPr>
  </w:style>
  <w:style w:type="paragraph" w:customStyle="1" w:styleId="Authornames">
    <w:name w:val="Author name(s)"/>
    <w:basedOn w:val="Normal"/>
    <w:next w:val="Normal"/>
    <w:rsid w:val="00F1640D"/>
    <w:pPr>
      <w:suppressLineNumbers/>
      <w:suppressAutoHyphens/>
      <w:overflowPunct w:val="0"/>
      <w:autoSpaceDE w:val="0"/>
      <w:autoSpaceDN w:val="0"/>
      <w:adjustRightInd w:val="0"/>
      <w:spacing w:after="120" w:line="240" w:lineRule="exact"/>
      <w:textAlignment w:val="baseline"/>
    </w:pPr>
    <w:rPr>
      <w:rFonts w:ascii="Arial" w:hAnsi="Arial" w:cs="Arial"/>
      <w:b/>
      <w:bCs/>
      <w:sz w:val="20"/>
      <w:szCs w:val="20"/>
    </w:rPr>
  </w:style>
  <w:style w:type="paragraph" w:customStyle="1" w:styleId="Authoraddress">
    <w:name w:val="Author address"/>
    <w:basedOn w:val="Normal"/>
    <w:next w:val="Normal"/>
    <w:pPr>
      <w:suppressLineNumbers/>
      <w:suppressAutoHyphens/>
      <w:overflowPunct w:val="0"/>
      <w:autoSpaceDE w:val="0"/>
      <w:autoSpaceDN w:val="0"/>
      <w:adjustRightInd w:val="0"/>
      <w:spacing w:line="220" w:lineRule="atLeast"/>
      <w:textAlignment w:val="baseline"/>
    </w:pPr>
    <w:rPr>
      <w:rFonts w:ascii="Arial" w:hAnsi="Arial" w:cs="Arial"/>
      <w:sz w:val="18"/>
      <w:szCs w:val="18"/>
    </w:rPr>
  </w:style>
  <w:style w:type="paragraph" w:styleId="ListBullet">
    <w:name w:val="List Bullet"/>
    <w:basedOn w:val="Normal"/>
    <w:autoRedefine/>
    <w:pPr>
      <w:ind w:left="648" w:hanging="360"/>
    </w:pPr>
  </w:style>
  <w:style w:type="paragraph" w:customStyle="1" w:styleId="Heading3a">
    <w:name w:val="Heading 3a"/>
    <w:basedOn w:val="Heading3"/>
    <w:next w:val="Normal"/>
    <w:pPr>
      <w:spacing w:before="0" w:line="240" w:lineRule="exact"/>
      <w:outlineLvl w:val="9"/>
    </w:pPr>
    <w:rPr>
      <w:rFonts w:cs="Times New Roman"/>
      <w:iCs w:val="0"/>
      <w:sz w:val="20"/>
      <w:szCs w:val="20"/>
    </w:rPr>
  </w:style>
  <w:style w:type="paragraph" w:customStyle="1" w:styleId="Tabletitle">
    <w:name w:val="Table title"/>
    <w:basedOn w:val="Normal"/>
    <w:next w:val="Normal"/>
    <w:pPr>
      <w:keepNext/>
      <w:keepLines/>
      <w:widowControl w:val="0"/>
      <w:suppressLineNumbers/>
      <w:overflowPunct w:val="0"/>
      <w:autoSpaceDE w:val="0"/>
      <w:autoSpaceDN w:val="0"/>
      <w:adjustRightInd w:val="0"/>
      <w:spacing w:before="160" w:after="120" w:line="200" w:lineRule="exact"/>
      <w:jc w:val="both"/>
      <w:textAlignment w:val="baseline"/>
    </w:pPr>
    <w:rPr>
      <w:rFonts w:ascii="Arial" w:hAnsi="Arial"/>
      <w:sz w:val="18"/>
      <w:szCs w:val="20"/>
    </w:rPr>
  </w:style>
  <w:style w:type="paragraph" w:styleId="Header">
    <w:name w:val="header"/>
    <w:basedOn w:val="Normal"/>
    <w:link w:val="HeaderChar"/>
    <w:rsid w:val="004A0A61"/>
    <w:pPr>
      <w:tabs>
        <w:tab w:val="center" w:pos="4320"/>
        <w:tab w:val="right" w:pos="8640"/>
      </w:tabs>
    </w:pPr>
  </w:style>
  <w:style w:type="character" w:customStyle="1" w:styleId="HeaderChar">
    <w:name w:val="Header Char"/>
    <w:link w:val="Header"/>
    <w:rsid w:val="004A0A61"/>
    <w:rPr>
      <w:sz w:val="24"/>
      <w:szCs w:val="24"/>
      <w:lang w:val="en-GB"/>
    </w:rPr>
  </w:style>
  <w:style w:type="table" w:styleId="TableGrid">
    <w:name w:val="Table Grid"/>
    <w:basedOn w:val="TableNormal"/>
    <w:rsid w:val="004A0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02EBA"/>
  </w:style>
  <w:style w:type="paragraph" w:styleId="BalloonText">
    <w:name w:val="Balloon Text"/>
    <w:basedOn w:val="Normal"/>
    <w:link w:val="BalloonTextChar"/>
    <w:semiHidden/>
    <w:unhideWhenUsed/>
    <w:rsid w:val="00F13BC3"/>
    <w:rPr>
      <w:rFonts w:ascii="Segoe UI" w:hAnsi="Segoe UI" w:cs="Segoe UI"/>
      <w:sz w:val="18"/>
      <w:szCs w:val="18"/>
    </w:rPr>
  </w:style>
  <w:style w:type="character" w:customStyle="1" w:styleId="BalloonTextChar">
    <w:name w:val="Balloon Text Char"/>
    <w:basedOn w:val="DefaultParagraphFont"/>
    <w:link w:val="BalloonText"/>
    <w:semiHidden/>
    <w:rsid w:val="00F13BC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72212">
      <w:bodyDiv w:val="1"/>
      <w:marLeft w:val="0"/>
      <w:marRight w:val="0"/>
      <w:marTop w:val="0"/>
      <w:marBottom w:val="0"/>
      <w:divBdr>
        <w:top w:val="none" w:sz="0" w:space="0" w:color="auto"/>
        <w:left w:val="none" w:sz="0" w:space="0" w:color="auto"/>
        <w:bottom w:val="none" w:sz="0" w:space="0" w:color="auto"/>
        <w:right w:val="none" w:sz="0" w:space="0" w:color="auto"/>
      </w:divBdr>
    </w:div>
    <w:div w:id="279000611">
      <w:bodyDiv w:val="1"/>
      <w:marLeft w:val="0"/>
      <w:marRight w:val="0"/>
      <w:marTop w:val="0"/>
      <w:marBottom w:val="0"/>
      <w:divBdr>
        <w:top w:val="none" w:sz="0" w:space="0" w:color="auto"/>
        <w:left w:val="none" w:sz="0" w:space="0" w:color="auto"/>
        <w:bottom w:val="none" w:sz="0" w:space="0" w:color="auto"/>
        <w:right w:val="none" w:sz="0" w:space="0" w:color="auto"/>
      </w:divBdr>
    </w:div>
    <w:div w:id="1700860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F540E0-3AEA-488E-8120-BAA4D0B23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2515</Words>
  <Characters>14338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Title</vt:lpstr>
    </vt:vector>
  </TitlesOfParts>
  <Company>International Water Association</Company>
  <LinksUpToDate>false</LinksUpToDate>
  <CharactersWithSpaces>16820</CharactersWithSpaces>
  <SharedDoc>false</SharedDoc>
  <HLinks>
    <vt:vector size="6" baseType="variant">
      <vt:variant>
        <vt:i4>196703</vt:i4>
      </vt:variant>
      <vt:variant>
        <vt:i4>-1</vt:i4>
      </vt:variant>
      <vt:variant>
        <vt:i4>2050</vt:i4>
      </vt:variant>
      <vt:variant>
        <vt:i4>1</vt:i4>
      </vt:variant>
      <vt:variant>
        <vt:lpwstr>Watermatex_logo_original file to amend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Joe Royle</dc:creator>
  <cp:keywords/>
  <dc:description/>
  <cp:lastModifiedBy>Susan Hove Hansen</cp:lastModifiedBy>
  <cp:revision>5</cp:revision>
  <cp:lastPrinted>2013-02-19T03:20:00Z</cp:lastPrinted>
  <dcterms:created xsi:type="dcterms:W3CDTF">2019-10-31T18:35:00Z</dcterms:created>
  <dcterms:modified xsi:type="dcterms:W3CDTF">2019-10-31T20:41:00Z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http://www.zotero.org/styles/water-research</vt:lpwstr>
  </property>
  <property fmtid="{D5CDD505-2E9C-101B-9397-08002B2CF9AE}" pid="21" name="Mendeley Recent Style Name 9_1">
    <vt:lpwstr>Water Research</vt:lpwstr>
  </property>
  <property fmtid="{D5CDD505-2E9C-101B-9397-08002B2CF9AE}" pid="22" name="Mendeley Document_1">
    <vt:lpwstr>True</vt:lpwstr>
  </property>
  <property fmtid="{D5CDD505-2E9C-101B-9397-08002B2CF9AE}" pid="23" name="Mendeley Unique User Id_1">
    <vt:lpwstr>27c7ecb1-0382-3fee-a893-d9fe718a259a</vt:lpwstr>
  </property>
  <property fmtid="{D5CDD505-2E9C-101B-9397-08002B2CF9AE}" pid="24" name="Mendeley Citation Style_1">
    <vt:lpwstr>http://www.zotero.org/styles/water-research</vt:lpwstr>
  </property>
</Properties>
</file>