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DA8E2" w14:textId="0B6E930A" w:rsidR="609CC08F" w:rsidRDefault="609CC08F" w:rsidP="5A0AB6BA">
      <w:pPr>
        <w:rPr>
          <w:b/>
          <w:bCs/>
          <w:color w:val="000000" w:themeColor="text1"/>
          <w:sz w:val="28"/>
          <w:szCs w:val="28"/>
          <w:lang w:val="en-US"/>
        </w:rPr>
      </w:pPr>
      <w:r w:rsidRPr="5A0AB6BA">
        <w:rPr>
          <w:b/>
          <w:bCs/>
          <w:color w:val="000000" w:themeColor="text1"/>
          <w:sz w:val="28"/>
          <w:szCs w:val="28"/>
          <w:lang w:val="en-US"/>
        </w:rPr>
        <w:t xml:space="preserve">Using </w:t>
      </w:r>
      <w:r w:rsidR="5172F8F9" w:rsidRPr="5A0AB6BA">
        <w:rPr>
          <w:b/>
          <w:bCs/>
          <w:color w:val="000000" w:themeColor="text1"/>
          <w:sz w:val="28"/>
          <w:szCs w:val="28"/>
          <w:lang w:val="en-US"/>
        </w:rPr>
        <w:t xml:space="preserve">Sustainable Development Goals </w:t>
      </w:r>
      <w:r w:rsidR="40F5AA59" w:rsidRPr="5A0AB6BA">
        <w:rPr>
          <w:b/>
          <w:bCs/>
          <w:color w:val="000000" w:themeColor="text1"/>
          <w:sz w:val="28"/>
          <w:szCs w:val="28"/>
          <w:lang w:val="en-US"/>
        </w:rPr>
        <w:t xml:space="preserve">to develop </w:t>
      </w:r>
      <w:r w:rsidR="37EAFA1E" w:rsidRPr="5A0AB6BA">
        <w:rPr>
          <w:b/>
          <w:bCs/>
          <w:color w:val="000000" w:themeColor="text1"/>
          <w:sz w:val="28"/>
          <w:szCs w:val="28"/>
          <w:lang w:val="en-US"/>
        </w:rPr>
        <w:t xml:space="preserve">EIA </w:t>
      </w:r>
      <w:r w:rsidR="5172F8F9" w:rsidRPr="5A0AB6BA">
        <w:rPr>
          <w:b/>
          <w:bCs/>
          <w:color w:val="000000" w:themeColor="text1"/>
          <w:sz w:val="28"/>
          <w:szCs w:val="28"/>
          <w:lang w:val="en-US"/>
        </w:rPr>
        <w:t>scoping practices: The case of Denmark</w:t>
      </w:r>
    </w:p>
    <w:p w14:paraId="32EC6708" w14:textId="5A58308A" w:rsidR="5A0AB6BA" w:rsidRDefault="5A0AB6BA" w:rsidP="5A0AB6BA">
      <w:pPr>
        <w:rPr>
          <w:b/>
          <w:bCs/>
          <w:color w:val="000000" w:themeColor="text1"/>
          <w:sz w:val="28"/>
          <w:szCs w:val="28"/>
          <w:lang w:val="en-US"/>
        </w:rPr>
      </w:pPr>
    </w:p>
    <w:p w14:paraId="44F6432E" w14:textId="77777777" w:rsidR="00D734CC" w:rsidRDefault="00D734CC" w:rsidP="00D734CC">
      <w:pPr>
        <w:rPr>
          <w:b/>
          <w:bCs/>
          <w:color w:val="000000" w:themeColor="text1"/>
          <w:lang w:val="en-US"/>
        </w:rPr>
      </w:pPr>
      <w:r>
        <w:rPr>
          <w:b/>
          <w:bCs/>
          <w:color w:val="000000" w:themeColor="text1"/>
          <w:lang w:val="en-US"/>
        </w:rPr>
        <w:t>Authors</w:t>
      </w:r>
    </w:p>
    <w:p w14:paraId="367C0777" w14:textId="77777777" w:rsidR="00D734CC" w:rsidRDefault="00D734CC" w:rsidP="00D734CC">
      <w:pPr>
        <w:rPr>
          <w:color w:val="000000" w:themeColor="text1"/>
          <w:lang w:val="en-US"/>
        </w:rPr>
      </w:pPr>
      <w:proofErr w:type="spellStart"/>
      <w:r w:rsidRPr="004C25E9">
        <w:rPr>
          <w:color w:val="000000" w:themeColor="text1"/>
          <w:lang w:val="en-US"/>
        </w:rPr>
        <w:t>Ravn</w:t>
      </w:r>
      <w:proofErr w:type="spellEnd"/>
      <w:r w:rsidRPr="004C25E9">
        <w:rPr>
          <w:color w:val="000000" w:themeColor="text1"/>
          <w:lang w:val="en-US"/>
        </w:rPr>
        <w:t xml:space="preserve"> </w:t>
      </w:r>
      <w:proofErr w:type="spellStart"/>
      <w:r w:rsidRPr="004C25E9">
        <w:rPr>
          <w:color w:val="000000" w:themeColor="text1"/>
          <w:lang w:val="en-US"/>
        </w:rPr>
        <w:t>Bøss</w:t>
      </w:r>
      <w:proofErr w:type="spellEnd"/>
      <w:r w:rsidRPr="004C25E9">
        <w:rPr>
          <w:color w:val="000000" w:themeColor="text1"/>
          <w:lang w:val="en-US"/>
        </w:rPr>
        <w:t>,</w:t>
      </w:r>
      <w:r>
        <w:rPr>
          <w:color w:val="000000" w:themeColor="text1"/>
          <w:lang w:val="en-US"/>
        </w:rPr>
        <w:t xml:space="preserve"> </w:t>
      </w:r>
      <w:proofErr w:type="spellStart"/>
      <w:r w:rsidRPr="004C25E9">
        <w:rPr>
          <w:color w:val="000000" w:themeColor="text1"/>
          <w:lang w:val="en-US"/>
        </w:rPr>
        <w:t>Emilia</w:t>
      </w:r>
      <w:r w:rsidRPr="004C25E9">
        <w:rPr>
          <w:color w:val="000000" w:themeColor="text1"/>
          <w:vertAlign w:val="superscript"/>
          <w:lang w:val="en-US"/>
        </w:rPr>
        <w:t>a</w:t>
      </w:r>
      <w:proofErr w:type="spellEnd"/>
      <w:r w:rsidRPr="004C25E9">
        <w:rPr>
          <w:color w:val="000000" w:themeColor="text1"/>
          <w:lang w:val="en-US"/>
        </w:rPr>
        <w:t xml:space="preserve">; </w:t>
      </w:r>
      <w:proofErr w:type="spellStart"/>
      <w:r w:rsidRPr="004C25E9">
        <w:rPr>
          <w:color w:val="000000" w:themeColor="text1"/>
          <w:lang w:val="en-US"/>
        </w:rPr>
        <w:t>Lyhne</w:t>
      </w:r>
      <w:proofErr w:type="spellEnd"/>
      <w:r w:rsidRPr="004C25E9">
        <w:rPr>
          <w:color w:val="000000" w:themeColor="text1"/>
          <w:lang w:val="en-US"/>
        </w:rPr>
        <w:t xml:space="preserve">, </w:t>
      </w:r>
      <w:proofErr w:type="spellStart"/>
      <w:r w:rsidRPr="004C25E9">
        <w:rPr>
          <w:color w:val="000000" w:themeColor="text1"/>
          <w:lang w:val="en-US"/>
        </w:rPr>
        <w:t>Ivar</w:t>
      </w:r>
      <w:r w:rsidRPr="004C25E9">
        <w:rPr>
          <w:color w:val="000000" w:themeColor="text1"/>
          <w:vertAlign w:val="superscript"/>
          <w:lang w:val="en-US"/>
        </w:rPr>
        <w:t>a</w:t>
      </w:r>
      <w:proofErr w:type="spellEnd"/>
      <w:r w:rsidRPr="004C25E9">
        <w:rPr>
          <w:color w:val="000000" w:themeColor="text1"/>
          <w:lang w:val="en-US"/>
        </w:rPr>
        <w:t xml:space="preserve">; </w:t>
      </w:r>
      <w:r>
        <w:rPr>
          <w:color w:val="000000" w:themeColor="text1"/>
          <w:lang w:val="en-US"/>
        </w:rPr>
        <w:t>Davila</w:t>
      </w:r>
      <w:r w:rsidRPr="004C25E9">
        <w:rPr>
          <w:color w:val="000000" w:themeColor="text1"/>
          <w:lang w:val="en-US"/>
        </w:rPr>
        <w:t>, Juanit</w:t>
      </w:r>
      <w:r>
        <w:rPr>
          <w:color w:val="000000" w:themeColor="text1"/>
          <w:lang w:val="en-US"/>
        </w:rPr>
        <w:t xml:space="preserve">a </w:t>
      </w:r>
      <w:proofErr w:type="spellStart"/>
      <w:r>
        <w:rPr>
          <w:color w:val="000000" w:themeColor="text1"/>
          <w:lang w:val="en-US"/>
        </w:rPr>
        <w:t>Gallego</w:t>
      </w:r>
      <w:r w:rsidRPr="004C25E9">
        <w:rPr>
          <w:color w:val="000000" w:themeColor="text1"/>
          <w:vertAlign w:val="superscript"/>
          <w:lang w:val="en-US"/>
        </w:rPr>
        <w:t>a</w:t>
      </w:r>
      <w:proofErr w:type="spellEnd"/>
      <w:r>
        <w:rPr>
          <w:color w:val="000000" w:themeColor="text1"/>
          <w:lang w:val="en-US"/>
        </w:rPr>
        <w:t>;</w:t>
      </w:r>
      <w:r w:rsidRPr="004C25E9">
        <w:rPr>
          <w:color w:val="000000" w:themeColor="text1"/>
          <w:lang w:val="en-US"/>
        </w:rPr>
        <w:t xml:space="preserve"> Jantzen, </w:t>
      </w:r>
      <w:proofErr w:type="spellStart"/>
      <w:r w:rsidRPr="004C25E9">
        <w:rPr>
          <w:color w:val="000000" w:themeColor="text1"/>
          <w:lang w:val="en-US"/>
        </w:rPr>
        <w:t>Emilie</w:t>
      </w:r>
      <w:r w:rsidRPr="004C25E9">
        <w:rPr>
          <w:color w:val="000000" w:themeColor="text1"/>
          <w:vertAlign w:val="superscript"/>
          <w:lang w:val="en-US"/>
        </w:rPr>
        <w:t>b</w:t>
      </w:r>
      <w:proofErr w:type="spellEnd"/>
      <w:r w:rsidRPr="004C25E9">
        <w:rPr>
          <w:color w:val="000000" w:themeColor="text1"/>
          <w:lang w:val="en-US"/>
        </w:rPr>
        <w:t xml:space="preserve">; </w:t>
      </w:r>
      <w:proofErr w:type="spellStart"/>
      <w:r w:rsidRPr="004C25E9">
        <w:rPr>
          <w:color w:val="000000" w:themeColor="text1"/>
          <w:lang w:val="en-US"/>
        </w:rPr>
        <w:t>Kjellerup</w:t>
      </w:r>
      <w:proofErr w:type="spellEnd"/>
      <w:r w:rsidRPr="004C25E9">
        <w:rPr>
          <w:color w:val="000000" w:themeColor="text1"/>
          <w:lang w:val="en-US"/>
        </w:rPr>
        <w:t xml:space="preserve">, </w:t>
      </w:r>
      <w:proofErr w:type="spellStart"/>
      <w:r w:rsidRPr="004C25E9">
        <w:rPr>
          <w:color w:val="000000" w:themeColor="text1"/>
          <w:lang w:val="en-US"/>
        </w:rPr>
        <w:t>Ulf</w:t>
      </w:r>
      <w:r w:rsidRPr="004C25E9">
        <w:rPr>
          <w:color w:val="000000" w:themeColor="text1"/>
          <w:vertAlign w:val="superscript"/>
          <w:lang w:val="en-US"/>
        </w:rPr>
        <w:t>b</w:t>
      </w:r>
      <w:proofErr w:type="spellEnd"/>
      <w:r w:rsidRPr="004C25E9">
        <w:rPr>
          <w:color w:val="000000" w:themeColor="text1"/>
          <w:lang w:val="en-US"/>
        </w:rPr>
        <w:t xml:space="preserve">; </w:t>
      </w:r>
      <w:proofErr w:type="spellStart"/>
      <w:r>
        <w:rPr>
          <w:color w:val="000000" w:themeColor="text1"/>
          <w:lang w:val="en-US"/>
        </w:rPr>
        <w:t>Kørnøv</w:t>
      </w:r>
      <w:proofErr w:type="spellEnd"/>
      <w:r>
        <w:rPr>
          <w:color w:val="000000" w:themeColor="text1"/>
          <w:lang w:val="en-US"/>
        </w:rPr>
        <w:t xml:space="preserve">, </w:t>
      </w:r>
      <w:proofErr w:type="spellStart"/>
      <w:r>
        <w:rPr>
          <w:color w:val="000000" w:themeColor="text1"/>
          <w:lang w:val="en-US"/>
        </w:rPr>
        <w:t>Lone</w:t>
      </w:r>
      <w:r w:rsidRPr="004C25E9">
        <w:rPr>
          <w:color w:val="000000" w:themeColor="text1"/>
          <w:vertAlign w:val="superscript"/>
          <w:lang w:val="en-US"/>
        </w:rPr>
        <w:t>a</w:t>
      </w:r>
      <w:proofErr w:type="spellEnd"/>
    </w:p>
    <w:p w14:paraId="4F372C35" w14:textId="77777777" w:rsidR="00D734CC" w:rsidRDefault="00D734CC" w:rsidP="00D734CC">
      <w:pPr>
        <w:rPr>
          <w:color w:val="000000" w:themeColor="text1"/>
          <w:lang w:val="en-US"/>
        </w:rPr>
      </w:pPr>
    </w:p>
    <w:p w14:paraId="12A7CE24" w14:textId="77777777" w:rsidR="00D734CC" w:rsidRDefault="00D734CC" w:rsidP="00D734CC">
      <w:pPr>
        <w:rPr>
          <w:color w:val="000000" w:themeColor="text1"/>
          <w:lang w:val="en-US"/>
        </w:rPr>
      </w:pPr>
      <w:proofErr w:type="spellStart"/>
      <w:r w:rsidRPr="004C25E9">
        <w:rPr>
          <w:color w:val="000000" w:themeColor="text1"/>
          <w:vertAlign w:val="superscript"/>
          <w:lang w:val="en-US"/>
        </w:rPr>
        <w:t>a</w:t>
      </w:r>
      <w:r>
        <w:rPr>
          <w:color w:val="000000" w:themeColor="text1"/>
          <w:lang w:val="en-US"/>
        </w:rPr>
        <w:t>The</w:t>
      </w:r>
      <w:proofErr w:type="spellEnd"/>
      <w:r>
        <w:rPr>
          <w:color w:val="000000" w:themeColor="text1"/>
          <w:lang w:val="en-US"/>
        </w:rPr>
        <w:t xml:space="preserve"> Danish Centre for Environmental Assessment, DCEA, Department of Planning, Aalborg University, </w:t>
      </w:r>
      <w:proofErr w:type="spellStart"/>
      <w:r>
        <w:rPr>
          <w:color w:val="000000" w:themeColor="text1"/>
          <w:lang w:val="en-US"/>
        </w:rPr>
        <w:t>Rendsburggade</w:t>
      </w:r>
      <w:proofErr w:type="spellEnd"/>
      <w:r>
        <w:rPr>
          <w:color w:val="000000" w:themeColor="text1"/>
          <w:lang w:val="en-US"/>
        </w:rPr>
        <w:t xml:space="preserve"> 14, 9000 Aalborg, Denmark</w:t>
      </w:r>
    </w:p>
    <w:p w14:paraId="4A9BE93C" w14:textId="77777777" w:rsidR="00D734CC" w:rsidRDefault="00D734CC" w:rsidP="00D734CC">
      <w:pPr>
        <w:rPr>
          <w:color w:val="000000" w:themeColor="text1"/>
          <w:lang w:val="en-US"/>
        </w:rPr>
      </w:pPr>
    </w:p>
    <w:p w14:paraId="5A4F7870" w14:textId="77777777" w:rsidR="00D734CC" w:rsidRDefault="00D734CC" w:rsidP="00D734CC">
      <w:pPr>
        <w:rPr>
          <w:color w:val="000000" w:themeColor="text1"/>
          <w:lang w:val="en-US"/>
        </w:rPr>
      </w:pPr>
      <w:proofErr w:type="spellStart"/>
      <w:r w:rsidRPr="004C25E9">
        <w:rPr>
          <w:color w:val="000000" w:themeColor="text1"/>
          <w:vertAlign w:val="superscript"/>
          <w:lang w:val="en-US"/>
        </w:rPr>
        <w:t>b</w:t>
      </w:r>
      <w:r>
        <w:rPr>
          <w:color w:val="000000" w:themeColor="text1"/>
          <w:lang w:val="en-US"/>
        </w:rPr>
        <w:t>COWI</w:t>
      </w:r>
      <w:proofErr w:type="spellEnd"/>
      <w:r>
        <w:rPr>
          <w:color w:val="000000" w:themeColor="text1"/>
          <w:lang w:val="en-US"/>
        </w:rPr>
        <w:t xml:space="preserve">, Department of Water and Environment, </w:t>
      </w:r>
      <w:proofErr w:type="spellStart"/>
      <w:r>
        <w:rPr>
          <w:color w:val="000000" w:themeColor="text1"/>
          <w:lang w:val="en-US"/>
        </w:rPr>
        <w:t>Parallelvej</w:t>
      </w:r>
      <w:proofErr w:type="spellEnd"/>
      <w:r>
        <w:rPr>
          <w:color w:val="000000" w:themeColor="text1"/>
          <w:lang w:val="en-US"/>
        </w:rPr>
        <w:t xml:space="preserve"> 2, 2800 Lyngby, Denmark</w:t>
      </w:r>
    </w:p>
    <w:p w14:paraId="3DDD7745" w14:textId="77777777" w:rsidR="009602DC" w:rsidRPr="004C25E9" w:rsidRDefault="009602DC" w:rsidP="00D734CC">
      <w:pPr>
        <w:rPr>
          <w:color w:val="000000" w:themeColor="text1"/>
          <w:lang w:val="en-US"/>
        </w:rPr>
      </w:pPr>
    </w:p>
    <w:p w14:paraId="19BA6AAE" w14:textId="34F31E1A" w:rsidR="00E50062" w:rsidRDefault="00E50062" w:rsidP="009602DC">
      <w:pPr>
        <w:rPr>
          <w:i/>
          <w:iCs/>
          <w:lang w:val="en-US"/>
        </w:rPr>
      </w:pPr>
      <w:r>
        <w:rPr>
          <w:i/>
          <w:iCs/>
          <w:lang w:val="en-US"/>
        </w:rPr>
        <w:t xml:space="preserve">DOI: </w:t>
      </w:r>
      <w:r w:rsidRPr="00E50062">
        <w:rPr>
          <w:i/>
          <w:iCs/>
        </w:rPr>
        <w:t>10.1080/14615517.2021.1930832</w:t>
      </w:r>
    </w:p>
    <w:p w14:paraId="40967A09" w14:textId="62094C21" w:rsidR="009602DC" w:rsidRPr="00044D19" w:rsidRDefault="009602DC" w:rsidP="009602DC">
      <w:pPr>
        <w:rPr>
          <w:i/>
          <w:iCs/>
          <w:lang w:val="en-US"/>
        </w:rPr>
      </w:pPr>
      <w:r w:rsidRPr="00A04712">
        <w:rPr>
          <w:i/>
          <w:iCs/>
          <w:lang w:val="en-US"/>
        </w:rPr>
        <w:t xml:space="preserve">This is an Accepted Manuscript of an article published by Taylor &amp; Francis in </w:t>
      </w:r>
      <w:r>
        <w:rPr>
          <w:i/>
          <w:iCs/>
          <w:lang w:val="en-US"/>
        </w:rPr>
        <w:t>Impact Assessment and Project Appraisal (IAPA)</w:t>
      </w:r>
      <w:r w:rsidRPr="00A04712">
        <w:rPr>
          <w:i/>
          <w:iCs/>
          <w:lang w:val="en-US"/>
        </w:rPr>
        <w:t xml:space="preserve"> on</w:t>
      </w:r>
      <w:r>
        <w:rPr>
          <w:i/>
          <w:iCs/>
          <w:lang w:val="en-US"/>
        </w:rPr>
        <w:t xml:space="preserve"> July 19, 2021</w:t>
      </w:r>
      <w:r w:rsidRPr="00A04712">
        <w:rPr>
          <w:i/>
          <w:iCs/>
          <w:lang w:val="en-US"/>
        </w:rPr>
        <w:t>, available online</w:t>
      </w:r>
      <w:r>
        <w:rPr>
          <w:i/>
          <w:iCs/>
          <w:lang w:val="en-US"/>
        </w:rPr>
        <w:t>:</w:t>
      </w:r>
      <w:r>
        <w:rPr>
          <w:i/>
          <w:iCs/>
          <w:lang w:val="en-US"/>
        </w:rPr>
        <w:t xml:space="preserve"> </w:t>
      </w:r>
      <w:hyperlink r:id="rId11" w:history="1">
        <w:r w:rsidRPr="00A04712">
          <w:rPr>
            <w:rStyle w:val="Hyperlink"/>
            <w:i/>
            <w:iCs/>
            <w:lang w:val="en-US"/>
          </w:rPr>
          <w:t>http://www.tandfonline.com/</w:t>
        </w:r>
        <w:r w:rsidRPr="00B12B30">
          <w:rPr>
            <w:rStyle w:val="Hyperlink"/>
            <w:i/>
            <w:iCs/>
            <w:lang w:val="en-US"/>
          </w:rPr>
          <w:t>10.1080/14615517.2021.1930832</w:t>
        </w:r>
      </w:hyperlink>
      <w:r>
        <w:rPr>
          <w:i/>
          <w:iCs/>
          <w:lang w:val="en-US"/>
        </w:rPr>
        <w:t>.</w:t>
      </w:r>
    </w:p>
    <w:p w14:paraId="704C92BF" w14:textId="50BECC95" w:rsidR="0060782A" w:rsidRPr="004C25E9" w:rsidRDefault="00BC74DF" w:rsidP="00C66A31">
      <w:pPr>
        <w:tabs>
          <w:tab w:val="left" w:pos="1790"/>
        </w:tabs>
        <w:rPr>
          <w:color w:val="000000" w:themeColor="text1"/>
          <w:lang w:val="en-US"/>
        </w:rPr>
      </w:pPr>
      <w:r w:rsidRPr="00F009C8">
        <w:rPr>
          <w:color w:val="000000" w:themeColor="text1"/>
          <w:lang w:val="en-US"/>
        </w:rPr>
        <w:tab/>
      </w:r>
    </w:p>
    <w:p w14:paraId="28A0DAC2" w14:textId="77777777" w:rsidR="0060782A" w:rsidRPr="00F009C8" w:rsidRDefault="0060782A" w:rsidP="00406EBD">
      <w:pPr>
        <w:rPr>
          <w:b/>
          <w:color w:val="000000" w:themeColor="text1"/>
          <w:lang w:val="en-US"/>
        </w:rPr>
      </w:pPr>
      <w:r w:rsidRPr="00F009C8">
        <w:rPr>
          <w:b/>
          <w:color w:val="000000" w:themeColor="text1"/>
          <w:lang w:val="en-US"/>
        </w:rPr>
        <w:t>Abstract</w:t>
      </w:r>
    </w:p>
    <w:p w14:paraId="3CD8311B" w14:textId="035E411A" w:rsidR="00B95EC2" w:rsidRPr="00690655" w:rsidRDefault="00B95EC2" w:rsidP="00976D6D">
      <w:pPr>
        <w:jc w:val="both"/>
        <w:rPr>
          <w:szCs w:val="22"/>
          <w:lang w:val="en-US"/>
        </w:rPr>
      </w:pPr>
      <w:r w:rsidRPr="00690655">
        <w:rPr>
          <w:szCs w:val="22"/>
          <w:lang w:val="en-US"/>
        </w:rPr>
        <w:t xml:space="preserve">Environmental assessments (EA) are in research and policy expected to be a vehicle for achieving the UN Sustainable Development Goals (SDGs). It has been argued that scoping of EA, both on project and strategic levels, can be broadened to encompass the 17 goals and thereby strengthen the commitment towards sustainable development. However, studies exploring the integration of EA practice and SDGs remain scarce. This article contributes to the understanding of how EA practice on the project level can utilize the SDGs to further develop its scope. The case study focuses on a high-income context, which has a </w:t>
      </w:r>
      <w:r w:rsidR="00B8102F">
        <w:rPr>
          <w:szCs w:val="22"/>
          <w:lang w:val="en-US"/>
        </w:rPr>
        <w:t>significant</w:t>
      </w:r>
      <w:r w:rsidR="00B8102F" w:rsidRPr="00690655">
        <w:rPr>
          <w:szCs w:val="22"/>
          <w:lang w:val="en-US"/>
        </w:rPr>
        <w:t xml:space="preserve"> </w:t>
      </w:r>
      <w:r w:rsidRPr="00690655">
        <w:rPr>
          <w:szCs w:val="22"/>
          <w:lang w:val="en-US"/>
        </w:rPr>
        <w:t xml:space="preserve">influence on the results of the study. A review of recent Danish cases of EIA reports shows the potential for a broader scope than the </w:t>
      </w:r>
      <w:proofErr w:type="spellStart"/>
      <w:r w:rsidRPr="00690655">
        <w:rPr>
          <w:szCs w:val="22"/>
          <w:lang w:val="en-US"/>
        </w:rPr>
        <w:t>bio</w:t>
      </w:r>
      <w:r w:rsidR="007C5839">
        <w:rPr>
          <w:szCs w:val="22"/>
          <w:lang w:val="en-US"/>
        </w:rPr>
        <w:t>spheric</w:t>
      </w:r>
      <w:proofErr w:type="spellEnd"/>
      <w:r w:rsidRPr="00690655">
        <w:rPr>
          <w:szCs w:val="22"/>
          <w:lang w:val="en-US"/>
        </w:rPr>
        <w:t xml:space="preserve"> and environmental parameters that dominate an EIA context. The results show that</w:t>
      </w:r>
      <w:r w:rsidR="00212907">
        <w:rPr>
          <w:szCs w:val="22"/>
          <w:lang w:val="en-US"/>
        </w:rPr>
        <w:t>, within a Danish EIA context,</w:t>
      </w:r>
      <w:r w:rsidRPr="00690655">
        <w:rPr>
          <w:szCs w:val="22"/>
          <w:lang w:val="en-US"/>
        </w:rPr>
        <w:t xml:space="preserve"> the SDGs can help to qualify and strengthen the process of scoping for mandatory parameters in especially ‘population &amp; human health’ and hereby contribute to a more comprehensive implementation of the parameter as required by the European EIA Directive.</w:t>
      </w:r>
    </w:p>
    <w:p w14:paraId="6C7A21F4" w14:textId="7424EF42" w:rsidR="004324E5" w:rsidRDefault="004324E5" w:rsidP="00DF3C63">
      <w:pPr>
        <w:pStyle w:val="Overskrift1"/>
      </w:pPr>
      <w:proofErr w:type="spellStart"/>
      <w:r>
        <w:t>Introduction</w:t>
      </w:r>
      <w:proofErr w:type="spellEnd"/>
    </w:p>
    <w:p w14:paraId="47FBBEAC" w14:textId="77777777" w:rsidR="00BB0934" w:rsidRPr="00BB0934" w:rsidRDefault="00BB0934" w:rsidP="00BB0934"/>
    <w:p w14:paraId="2475733F" w14:textId="21A88631" w:rsidR="000F64C7" w:rsidRPr="00062A9F" w:rsidRDefault="00F77CF9" w:rsidP="2E8ED96F">
      <w:pPr>
        <w:jc w:val="both"/>
        <w:rPr>
          <w:lang w:val="en-US"/>
        </w:rPr>
      </w:pPr>
      <w:r w:rsidRPr="2E8ED96F">
        <w:rPr>
          <w:lang w:val="en-US"/>
        </w:rPr>
        <w:t>The 17 Sustainable Development Goals (SDGs) as proposed by the United Nations in 2015 currently lead the worldwide political agenda in guiding sustainable development. They address the most prominent world challenges whose complexity requires delving into finer details</w:t>
      </w:r>
      <w:r w:rsidR="00062A9F" w:rsidRPr="2E8ED96F">
        <w:rPr>
          <w:lang w:val="en-US"/>
        </w:rPr>
        <w:t xml:space="preserve"> that are directed at fulfilling these goals in practice. In response, the U</w:t>
      </w:r>
      <w:r w:rsidR="00122528" w:rsidRPr="2E8ED96F">
        <w:rPr>
          <w:lang w:val="en-US"/>
        </w:rPr>
        <w:t>N</w:t>
      </w:r>
      <w:r w:rsidR="00062A9F" w:rsidRPr="2E8ED96F">
        <w:rPr>
          <w:lang w:val="en-US"/>
        </w:rPr>
        <w:t xml:space="preserve"> has coupled the SDGs with a set of 169 targets that </w:t>
      </w:r>
      <w:r w:rsidR="001C399D" w:rsidRPr="2E8ED96F">
        <w:rPr>
          <w:lang w:val="en-US"/>
        </w:rPr>
        <w:t xml:space="preserve">make </w:t>
      </w:r>
      <w:r w:rsidR="00062A9F" w:rsidRPr="2E8ED96F">
        <w:rPr>
          <w:lang w:val="en-US"/>
        </w:rPr>
        <w:t xml:space="preserve">the 17 goals </w:t>
      </w:r>
      <w:r w:rsidR="001C399D" w:rsidRPr="2E8ED96F">
        <w:rPr>
          <w:lang w:val="en-US"/>
        </w:rPr>
        <w:t>more</w:t>
      </w:r>
      <w:r w:rsidR="00062A9F" w:rsidRPr="2E8ED96F">
        <w:rPr>
          <w:lang w:val="en-US"/>
        </w:rPr>
        <w:t xml:space="preserve"> tangible (</w:t>
      </w:r>
      <w:r w:rsidR="00F643CD" w:rsidRPr="2E8ED96F">
        <w:rPr>
          <w:lang w:val="en-US"/>
        </w:rPr>
        <w:t>UN 2015</w:t>
      </w:r>
      <w:r w:rsidR="00062A9F" w:rsidRPr="2E8ED96F">
        <w:rPr>
          <w:lang w:val="en-US"/>
        </w:rPr>
        <w:t>). The</w:t>
      </w:r>
      <w:r w:rsidR="007A630F" w:rsidRPr="2E8ED96F">
        <w:rPr>
          <w:lang w:val="en-US"/>
        </w:rPr>
        <w:t>s</w:t>
      </w:r>
      <w:r w:rsidR="00062A9F" w:rsidRPr="2E8ED96F">
        <w:rPr>
          <w:lang w:val="en-US"/>
        </w:rPr>
        <w:t>e targets are further measured on the basis of 2</w:t>
      </w:r>
      <w:r w:rsidR="21BC71D2" w:rsidRPr="2E8ED96F">
        <w:rPr>
          <w:lang w:val="en-US"/>
        </w:rPr>
        <w:t>31 unique</w:t>
      </w:r>
      <w:r w:rsidR="00062A9F" w:rsidRPr="2E8ED96F">
        <w:rPr>
          <w:lang w:val="en-US"/>
        </w:rPr>
        <w:t xml:space="preserve"> indicators that aim to produce a homogenous way to measure the progress of the goals across countries and regions</w:t>
      </w:r>
      <w:r w:rsidR="001C399D" w:rsidRPr="2E8ED96F">
        <w:rPr>
          <w:lang w:val="en-US"/>
        </w:rPr>
        <w:t xml:space="preserve"> (UN 2015)</w:t>
      </w:r>
      <w:r w:rsidR="00062A9F" w:rsidRPr="2E8ED96F">
        <w:rPr>
          <w:lang w:val="en-US"/>
        </w:rPr>
        <w:t xml:space="preserve">. </w:t>
      </w:r>
    </w:p>
    <w:p w14:paraId="48D2F70D" w14:textId="77777777" w:rsidR="00062A9F" w:rsidRPr="00062A9F" w:rsidRDefault="00062A9F" w:rsidP="00B744A5">
      <w:pPr>
        <w:jc w:val="both"/>
        <w:rPr>
          <w:szCs w:val="22"/>
          <w:lang w:val="en-US"/>
        </w:rPr>
      </w:pPr>
    </w:p>
    <w:p w14:paraId="605C8C48" w14:textId="1CA30995" w:rsidR="00062A9F" w:rsidRDefault="00062A9F" w:rsidP="00B744A5">
      <w:pPr>
        <w:jc w:val="both"/>
        <w:rPr>
          <w:szCs w:val="22"/>
          <w:lang w:val="en-US"/>
        </w:rPr>
      </w:pPr>
      <w:r w:rsidRPr="00062A9F">
        <w:rPr>
          <w:szCs w:val="22"/>
          <w:lang w:val="en-US"/>
        </w:rPr>
        <w:t xml:space="preserve">Governments are thereby expected to implement the SDGs into their local contexts to address the challenges associated with reaching sustainable development that considers environmental, social, and economic parameters (Choi et al. 2016). This country-level operation of SDGs must encourage a systematic implementation </w:t>
      </w:r>
      <w:r w:rsidR="00B06B6B">
        <w:rPr>
          <w:szCs w:val="22"/>
          <w:lang w:val="en-US"/>
        </w:rPr>
        <w:t>in which</w:t>
      </w:r>
      <w:r w:rsidRPr="00062A9F">
        <w:rPr>
          <w:szCs w:val="22"/>
          <w:lang w:val="en-US"/>
        </w:rPr>
        <w:t xml:space="preserve"> different stakeholders, such as local authorities, government agencies, private sectors, and civil society, take corresponding action (Stafford-Smith et al. 2017).</w:t>
      </w:r>
      <w:r w:rsidR="00D60129">
        <w:rPr>
          <w:szCs w:val="22"/>
          <w:lang w:val="en-US"/>
        </w:rPr>
        <w:t xml:space="preserve"> However,</w:t>
      </w:r>
      <w:r w:rsidRPr="00062A9F">
        <w:rPr>
          <w:szCs w:val="22"/>
          <w:lang w:val="en-US"/>
        </w:rPr>
        <w:t xml:space="preserve"> </w:t>
      </w:r>
      <w:r w:rsidR="00D60129">
        <w:rPr>
          <w:szCs w:val="22"/>
          <w:lang w:val="en-US"/>
        </w:rPr>
        <w:t>t</w:t>
      </w:r>
      <w:r w:rsidRPr="00062A9F">
        <w:rPr>
          <w:szCs w:val="22"/>
          <w:lang w:val="en-US"/>
        </w:rPr>
        <w:t>he operation of SDGs at national levels</w:t>
      </w:r>
      <w:r w:rsidR="00D60129">
        <w:rPr>
          <w:szCs w:val="22"/>
          <w:lang w:val="en-US"/>
        </w:rPr>
        <w:t xml:space="preserve"> also</w:t>
      </w:r>
      <w:r w:rsidRPr="00062A9F">
        <w:rPr>
          <w:szCs w:val="22"/>
          <w:lang w:val="en-US"/>
        </w:rPr>
        <w:t xml:space="preserve"> implies the task of translating the goals into policies and, from these, through different levels of planning on both strategic (plans and programs) and project levels, the latter of which entails concrete and specific </w:t>
      </w:r>
      <w:r w:rsidR="00D60129">
        <w:rPr>
          <w:szCs w:val="22"/>
          <w:lang w:val="en-US"/>
        </w:rPr>
        <w:t>integration in</w:t>
      </w:r>
      <w:r w:rsidR="00B06B6B">
        <w:rPr>
          <w:szCs w:val="22"/>
          <w:lang w:val="en-US"/>
        </w:rPr>
        <w:t xml:space="preserve"> on-</w:t>
      </w:r>
      <w:r w:rsidR="00D60129">
        <w:rPr>
          <w:szCs w:val="22"/>
          <w:lang w:val="en-US"/>
        </w:rPr>
        <w:t>the</w:t>
      </w:r>
      <w:r w:rsidR="00B06B6B">
        <w:rPr>
          <w:szCs w:val="22"/>
          <w:lang w:val="en-US"/>
        </w:rPr>
        <w:t>-</w:t>
      </w:r>
      <w:r w:rsidR="00D60129">
        <w:rPr>
          <w:szCs w:val="22"/>
          <w:lang w:val="en-US"/>
        </w:rPr>
        <w:t>ground contexts</w:t>
      </w:r>
      <w:r w:rsidRPr="00062A9F">
        <w:rPr>
          <w:szCs w:val="22"/>
          <w:lang w:val="en-US"/>
        </w:rPr>
        <w:t xml:space="preserve">. </w:t>
      </w:r>
    </w:p>
    <w:p w14:paraId="597E88D6" w14:textId="77777777" w:rsidR="00062A9F" w:rsidRDefault="00062A9F" w:rsidP="00B744A5">
      <w:pPr>
        <w:jc w:val="both"/>
        <w:rPr>
          <w:szCs w:val="22"/>
          <w:lang w:val="en-US"/>
        </w:rPr>
      </w:pPr>
    </w:p>
    <w:p w14:paraId="66545C0C" w14:textId="440871C3" w:rsidR="00122528" w:rsidRDefault="00D60129" w:rsidP="00B744A5">
      <w:pPr>
        <w:jc w:val="both"/>
        <w:rPr>
          <w:szCs w:val="22"/>
          <w:lang w:val="en-US"/>
        </w:rPr>
      </w:pPr>
      <w:r>
        <w:rPr>
          <w:szCs w:val="22"/>
          <w:lang w:val="en-US"/>
        </w:rPr>
        <w:lastRenderedPageBreak/>
        <w:t>Th</w:t>
      </w:r>
      <w:r w:rsidR="00122528">
        <w:rPr>
          <w:szCs w:val="22"/>
          <w:lang w:val="en-US"/>
        </w:rPr>
        <w:t>e importance of SDGs within planning</w:t>
      </w:r>
      <w:r>
        <w:rPr>
          <w:szCs w:val="22"/>
          <w:lang w:val="en-US"/>
        </w:rPr>
        <w:t xml:space="preserve"> implies the relevance of environmental assessments (EAs</w:t>
      </w:r>
      <w:r w:rsidR="00122528">
        <w:rPr>
          <w:szCs w:val="22"/>
          <w:lang w:val="en-US"/>
        </w:rPr>
        <w:t>) whose</w:t>
      </w:r>
      <w:r>
        <w:rPr>
          <w:szCs w:val="22"/>
          <w:lang w:val="en-US"/>
        </w:rPr>
        <w:t xml:space="preserve"> primary purpose is </w:t>
      </w:r>
      <w:r w:rsidR="00122528">
        <w:rPr>
          <w:szCs w:val="22"/>
          <w:lang w:val="en-US"/>
        </w:rPr>
        <w:t>to strengthen</w:t>
      </w:r>
      <w:r>
        <w:rPr>
          <w:szCs w:val="22"/>
          <w:lang w:val="en-US"/>
        </w:rPr>
        <w:t xml:space="preserve"> the sustainab</w:t>
      </w:r>
      <w:r w:rsidR="00122528">
        <w:rPr>
          <w:szCs w:val="22"/>
          <w:lang w:val="en-US"/>
        </w:rPr>
        <w:t>le commitments</w:t>
      </w:r>
      <w:r>
        <w:rPr>
          <w:szCs w:val="22"/>
          <w:lang w:val="en-US"/>
        </w:rPr>
        <w:t xml:space="preserve"> of </w:t>
      </w:r>
      <w:r w:rsidR="00122528">
        <w:rPr>
          <w:szCs w:val="22"/>
          <w:lang w:val="en-US"/>
        </w:rPr>
        <w:t xml:space="preserve">those </w:t>
      </w:r>
      <w:r>
        <w:rPr>
          <w:szCs w:val="22"/>
          <w:lang w:val="en-US"/>
        </w:rPr>
        <w:t>projects</w:t>
      </w:r>
      <w:r w:rsidR="001B6F99">
        <w:rPr>
          <w:szCs w:val="22"/>
          <w:lang w:val="en-US"/>
        </w:rPr>
        <w:t xml:space="preserve"> and plans </w:t>
      </w:r>
      <w:r w:rsidR="00122528">
        <w:rPr>
          <w:szCs w:val="22"/>
          <w:lang w:val="en-US"/>
        </w:rPr>
        <w:t>that are implemented</w:t>
      </w:r>
      <w:r w:rsidR="00D064AC">
        <w:rPr>
          <w:szCs w:val="22"/>
          <w:lang w:val="en-US"/>
        </w:rPr>
        <w:t xml:space="preserve">. </w:t>
      </w:r>
      <w:r w:rsidR="001B6F99">
        <w:rPr>
          <w:szCs w:val="22"/>
          <w:lang w:val="en-US"/>
        </w:rPr>
        <w:t>Nevertheless, i</w:t>
      </w:r>
      <w:r w:rsidR="00122528">
        <w:rPr>
          <w:szCs w:val="22"/>
          <w:lang w:val="en-US"/>
        </w:rPr>
        <w:t xml:space="preserve">t has long been implied that the sustainability principles of EA would benefit from </w:t>
      </w:r>
      <w:r w:rsidR="001B6F99">
        <w:rPr>
          <w:szCs w:val="22"/>
          <w:lang w:val="en-US"/>
        </w:rPr>
        <w:t xml:space="preserve">a </w:t>
      </w:r>
      <w:r w:rsidR="0037555E">
        <w:rPr>
          <w:szCs w:val="22"/>
          <w:lang w:val="en-US"/>
        </w:rPr>
        <w:t>strengthen</w:t>
      </w:r>
      <w:r w:rsidR="001B6F99">
        <w:rPr>
          <w:szCs w:val="22"/>
          <w:lang w:val="en-US"/>
        </w:rPr>
        <w:t>ed</w:t>
      </w:r>
      <w:r w:rsidR="0037555E">
        <w:rPr>
          <w:szCs w:val="22"/>
          <w:lang w:val="en-US"/>
        </w:rPr>
        <w:t xml:space="preserve"> integrative approach</w:t>
      </w:r>
      <w:r w:rsidR="00B06B6B">
        <w:rPr>
          <w:szCs w:val="22"/>
          <w:lang w:val="en-US"/>
        </w:rPr>
        <w:t xml:space="preserve"> </w:t>
      </w:r>
      <w:r w:rsidR="0037555E">
        <w:rPr>
          <w:szCs w:val="22"/>
          <w:lang w:val="en-US"/>
        </w:rPr>
        <w:t>“[…]</w:t>
      </w:r>
      <w:r w:rsidR="001B6F99">
        <w:rPr>
          <w:szCs w:val="22"/>
          <w:lang w:val="en-US"/>
        </w:rPr>
        <w:t xml:space="preserve"> </w:t>
      </w:r>
      <w:r>
        <w:rPr>
          <w:szCs w:val="22"/>
          <w:lang w:val="en-US"/>
        </w:rPr>
        <w:t>to align ou</w:t>
      </w:r>
      <w:r w:rsidR="001B6F99">
        <w:rPr>
          <w:szCs w:val="22"/>
          <w:lang w:val="en-US"/>
        </w:rPr>
        <w:t>r</w:t>
      </w:r>
      <w:r>
        <w:rPr>
          <w:szCs w:val="22"/>
          <w:lang w:val="en-US"/>
        </w:rPr>
        <w:t xml:space="preserve"> practices and focus ou</w:t>
      </w:r>
      <w:r w:rsidR="004324E5">
        <w:rPr>
          <w:szCs w:val="22"/>
          <w:lang w:val="en-US"/>
        </w:rPr>
        <w:t>r</w:t>
      </w:r>
      <w:r>
        <w:rPr>
          <w:szCs w:val="22"/>
          <w:lang w:val="en-US"/>
        </w:rPr>
        <w:t xml:space="preserve"> efforts on […] achieving progress towards sustainable development” </w:t>
      </w:r>
      <w:r w:rsidR="0037555E">
        <w:rPr>
          <w:szCs w:val="22"/>
          <w:lang w:val="en-US"/>
        </w:rPr>
        <w:t>(Morrison-Saunders et al. 2014, p. 2)</w:t>
      </w:r>
      <w:r w:rsidR="00406EBD">
        <w:rPr>
          <w:szCs w:val="22"/>
          <w:lang w:val="en-US"/>
        </w:rPr>
        <w:t xml:space="preserve">. </w:t>
      </w:r>
    </w:p>
    <w:p w14:paraId="0B9DAC6D" w14:textId="77777777" w:rsidR="004324E5" w:rsidRDefault="004324E5" w:rsidP="00B744A5">
      <w:pPr>
        <w:jc w:val="both"/>
        <w:rPr>
          <w:szCs w:val="22"/>
          <w:lang w:val="en-US"/>
        </w:rPr>
      </w:pPr>
    </w:p>
    <w:p w14:paraId="3AEC8F0A" w14:textId="23C148E5" w:rsidR="004324E5" w:rsidRDefault="004324E5" w:rsidP="00BF10A1">
      <w:pPr>
        <w:pStyle w:val="Overskrift2"/>
      </w:pPr>
      <w:r>
        <w:t>Linking SDGs and EA requires broader scoping</w:t>
      </w:r>
    </w:p>
    <w:p w14:paraId="5C4694BD" w14:textId="4023693A" w:rsidR="001B6F99" w:rsidRDefault="0037555E" w:rsidP="00B744A5">
      <w:pPr>
        <w:jc w:val="both"/>
        <w:rPr>
          <w:szCs w:val="22"/>
          <w:lang w:val="en-US"/>
        </w:rPr>
      </w:pPr>
      <w:r>
        <w:rPr>
          <w:szCs w:val="22"/>
          <w:lang w:val="en-US"/>
        </w:rPr>
        <w:t xml:space="preserve">Several authors have indicated a potential in merging </w:t>
      </w:r>
      <w:r w:rsidR="00582A2F">
        <w:rPr>
          <w:szCs w:val="22"/>
          <w:lang w:val="en-US"/>
        </w:rPr>
        <w:t>EA with the ambitions of the SDGs</w:t>
      </w:r>
      <w:r>
        <w:rPr>
          <w:szCs w:val="22"/>
          <w:lang w:val="en-US"/>
        </w:rPr>
        <w:t>, building upon their</w:t>
      </w:r>
      <w:r w:rsidR="00582A2F">
        <w:rPr>
          <w:szCs w:val="22"/>
          <w:lang w:val="en-US"/>
        </w:rPr>
        <w:t xml:space="preserve"> </w:t>
      </w:r>
      <w:r w:rsidR="00DF3C63">
        <w:rPr>
          <w:szCs w:val="22"/>
          <w:lang w:val="en-US"/>
        </w:rPr>
        <w:t xml:space="preserve">common focus on sustainable development </w:t>
      </w:r>
      <w:r w:rsidR="00582A2F">
        <w:rPr>
          <w:szCs w:val="22"/>
          <w:lang w:val="en-US"/>
        </w:rPr>
        <w:t>(Williams &amp; Dupuy 2017; Matthews et al. 2019</w:t>
      </w:r>
      <w:r w:rsidR="00406EBD">
        <w:rPr>
          <w:szCs w:val="22"/>
          <w:lang w:val="en-US"/>
        </w:rPr>
        <w:t>;</w:t>
      </w:r>
      <w:r w:rsidR="00AF57EF">
        <w:rPr>
          <w:szCs w:val="22"/>
          <w:lang w:val="en-US"/>
        </w:rPr>
        <w:t xml:space="preserve"> </w:t>
      </w:r>
      <w:proofErr w:type="spellStart"/>
      <w:r w:rsidR="00AF57EF">
        <w:rPr>
          <w:szCs w:val="22"/>
          <w:lang w:val="en-US"/>
        </w:rPr>
        <w:t>Kørnøv</w:t>
      </w:r>
      <w:proofErr w:type="spellEnd"/>
      <w:r w:rsidR="00AF57EF">
        <w:rPr>
          <w:szCs w:val="22"/>
          <w:lang w:val="en-US"/>
        </w:rPr>
        <w:t xml:space="preserve"> et al. 2020</w:t>
      </w:r>
      <w:r w:rsidR="00B06B6B">
        <w:rPr>
          <w:szCs w:val="22"/>
          <w:lang w:val="en-US"/>
        </w:rPr>
        <w:t>;</w:t>
      </w:r>
      <w:r w:rsidR="00AF57EF">
        <w:rPr>
          <w:szCs w:val="22"/>
          <w:lang w:val="en-US"/>
        </w:rPr>
        <w:t xml:space="preserve"> González et al. 2020</w:t>
      </w:r>
      <w:r w:rsidR="00582A2F">
        <w:rPr>
          <w:szCs w:val="22"/>
          <w:lang w:val="en-US"/>
        </w:rPr>
        <w:t>). While a majority of literature merely hints at theoretical potential in linking the two concepts, then other studies propose specific mechanisms and methods t</w:t>
      </w:r>
      <w:r w:rsidR="00CB3A4D">
        <w:rPr>
          <w:szCs w:val="22"/>
          <w:lang w:val="en-US"/>
        </w:rPr>
        <w:t>hat</w:t>
      </w:r>
      <w:r w:rsidR="00582A2F">
        <w:rPr>
          <w:szCs w:val="22"/>
          <w:lang w:val="en-US"/>
        </w:rPr>
        <w:t xml:space="preserve"> connect </w:t>
      </w:r>
      <w:r w:rsidR="00CB3A4D">
        <w:rPr>
          <w:szCs w:val="22"/>
          <w:lang w:val="en-US"/>
        </w:rPr>
        <w:t xml:space="preserve">the </w:t>
      </w:r>
      <w:r w:rsidR="00582A2F">
        <w:rPr>
          <w:szCs w:val="22"/>
          <w:lang w:val="en-US"/>
        </w:rPr>
        <w:t xml:space="preserve">SDGs </w:t>
      </w:r>
      <w:r w:rsidR="00CB3A4D">
        <w:rPr>
          <w:szCs w:val="22"/>
          <w:lang w:val="en-US"/>
        </w:rPr>
        <w:t>to</w:t>
      </w:r>
      <w:r w:rsidR="00582A2F">
        <w:rPr>
          <w:szCs w:val="22"/>
          <w:lang w:val="en-US"/>
        </w:rPr>
        <w:t xml:space="preserve"> EA </w:t>
      </w:r>
      <w:r w:rsidR="00CB3A4D">
        <w:rPr>
          <w:szCs w:val="22"/>
          <w:lang w:val="en-US"/>
        </w:rPr>
        <w:t xml:space="preserve">practice </w:t>
      </w:r>
      <w:r w:rsidR="00582A2F">
        <w:rPr>
          <w:szCs w:val="22"/>
          <w:lang w:val="en-US"/>
        </w:rPr>
        <w:t xml:space="preserve">(Hacking 2019; </w:t>
      </w:r>
      <w:proofErr w:type="spellStart"/>
      <w:r w:rsidR="00582A2F">
        <w:rPr>
          <w:szCs w:val="22"/>
          <w:lang w:val="en-US"/>
        </w:rPr>
        <w:t>Sebestyén</w:t>
      </w:r>
      <w:proofErr w:type="spellEnd"/>
      <w:r w:rsidR="00582A2F">
        <w:rPr>
          <w:szCs w:val="22"/>
          <w:lang w:val="en-US"/>
        </w:rPr>
        <w:t xml:space="preserve"> et al. 2019). Hacking (2019) argues that</w:t>
      </w:r>
      <w:r w:rsidR="00CB3A4D">
        <w:rPr>
          <w:szCs w:val="22"/>
          <w:lang w:val="en-US"/>
        </w:rPr>
        <w:t xml:space="preserve"> in order to operationalize</w:t>
      </w:r>
      <w:r w:rsidR="00582A2F">
        <w:rPr>
          <w:szCs w:val="22"/>
          <w:lang w:val="en-US"/>
        </w:rPr>
        <w:t xml:space="preserve"> the SDG agenda</w:t>
      </w:r>
      <w:r w:rsidR="00CB3A4D">
        <w:rPr>
          <w:szCs w:val="22"/>
          <w:lang w:val="en-US"/>
        </w:rPr>
        <w:t>, it</w:t>
      </w:r>
      <w:r w:rsidR="00582A2F">
        <w:rPr>
          <w:szCs w:val="22"/>
          <w:lang w:val="en-US"/>
        </w:rPr>
        <w:t xml:space="preserve"> </w:t>
      </w:r>
      <w:r w:rsidR="00CB3A4D">
        <w:rPr>
          <w:szCs w:val="22"/>
          <w:lang w:val="en-US"/>
        </w:rPr>
        <w:t>must</w:t>
      </w:r>
      <w:r w:rsidR="00582A2F">
        <w:rPr>
          <w:szCs w:val="22"/>
          <w:lang w:val="en-US"/>
        </w:rPr>
        <w:t xml:space="preserve"> be translated at the project level and in this way, the g</w:t>
      </w:r>
      <w:r w:rsidR="00CB3A4D">
        <w:rPr>
          <w:szCs w:val="22"/>
          <w:lang w:val="en-US"/>
        </w:rPr>
        <w:t>oa</w:t>
      </w:r>
      <w:r w:rsidR="00582A2F">
        <w:rPr>
          <w:szCs w:val="22"/>
          <w:lang w:val="en-US"/>
        </w:rPr>
        <w:t xml:space="preserve">ls can serve as a basis for objective-led assessments. Similarly, Nilsson and Persson (2017) claim that the SDGs can be used as a framework of reference to define assessment criteria for </w:t>
      </w:r>
      <w:r w:rsidR="00464739">
        <w:rPr>
          <w:szCs w:val="22"/>
          <w:lang w:val="en-US"/>
        </w:rPr>
        <w:t>EA</w:t>
      </w:r>
      <w:r w:rsidR="00582A2F">
        <w:rPr>
          <w:szCs w:val="22"/>
          <w:lang w:val="en-US"/>
        </w:rPr>
        <w:t xml:space="preserve"> procedures. </w:t>
      </w:r>
      <w:r w:rsidR="00582A2F" w:rsidRPr="00582A2F">
        <w:rPr>
          <w:szCs w:val="22"/>
          <w:lang w:val="en-US"/>
        </w:rPr>
        <w:t>Some authors have taken this to the practical level and have used the SDGs as a basis for defining parameters for the assessments (Wulf et al</w:t>
      </w:r>
      <w:r w:rsidR="00CB3A4D">
        <w:rPr>
          <w:szCs w:val="22"/>
          <w:lang w:val="en-US"/>
        </w:rPr>
        <w:t>.</w:t>
      </w:r>
      <w:r w:rsidR="00582A2F" w:rsidRPr="00582A2F">
        <w:rPr>
          <w:szCs w:val="22"/>
          <w:lang w:val="en-US"/>
        </w:rPr>
        <w:t xml:space="preserve"> 2018; Maier et al. 2016</w:t>
      </w:r>
      <w:r w:rsidR="00CB3A4D">
        <w:rPr>
          <w:szCs w:val="22"/>
          <w:lang w:val="en-US"/>
        </w:rPr>
        <w:t xml:space="preserve">; </w:t>
      </w:r>
      <w:proofErr w:type="spellStart"/>
      <w:r w:rsidR="00582A2F" w:rsidRPr="00582A2F">
        <w:rPr>
          <w:szCs w:val="22"/>
          <w:lang w:val="en-US"/>
        </w:rPr>
        <w:t>Chandrakumar</w:t>
      </w:r>
      <w:proofErr w:type="spellEnd"/>
      <w:r w:rsidR="00582A2F" w:rsidRPr="00582A2F">
        <w:rPr>
          <w:szCs w:val="22"/>
          <w:lang w:val="en-US"/>
        </w:rPr>
        <w:t xml:space="preserve"> </w:t>
      </w:r>
      <w:r w:rsidR="00CB3A4D">
        <w:rPr>
          <w:szCs w:val="22"/>
          <w:lang w:val="en-US"/>
        </w:rPr>
        <w:t>&amp;</w:t>
      </w:r>
      <w:r w:rsidR="00582A2F" w:rsidRPr="00582A2F">
        <w:rPr>
          <w:szCs w:val="22"/>
          <w:lang w:val="en-US"/>
        </w:rPr>
        <w:t xml:space="preserve"> McLaren 2018). </w:t>
      </w:r>
    </w:p>
    <w:p w14:paraId="0F7C397D" w14:textId="77777777" w:rsidR="001B6F99" w:rsidRDefault="001B6F99" w:rsidP="00B744A5">
      <w:pPr>
        <w:jc w:val="both"/>
        <w:rPr>
          <w:szCs w:val="22"/>
          <w:lang w:val="en-US"/>
        </w:rPr>
      </w:pPr>
    </w:p>
    <w:p w14:paraId="20384A60" w14:textId="6FF50EE8" w:rsidR="004324E5" w:rsidRDefault="00CB3A4D" w:rsidP="00B744A5">
      <w:pPr>
        <w:jc w:val="both"/>
        <w:rPr>
          <w:szCs w:val="22"/>
          <w:lang w:val="en-US"/>
        </w:rPr>
      </w:pPr>
      <w:r>
        <w:rPr>
          <w:szCs w:val="22"/>
          <w:lang w:val="en-US"/>
        </w:rPr>
        <w:t>Through</w:t>
      </w:r>
      <w:r w:rsidR="00582A2F" w:rsidRPr="00582A2F">
        <w:rPr>
          <w:szCs w:val="22"/>
          <w:lang w:val="en-US"/>
        </w:rPr>
        <w:t xml:space="preserve"> a more generic approach, </w:t>
      </w:r>
      <w:r w:rsidR="00067B43">
        <w:rPr>
          <w:szCs w:val="22"/>
          <w:lang w:val="en-US"/>
        </w:rPr>
        <w:t xml:space="preserve">some authors imply that integrating SDGs is concerned with more expansive scoping of EA practice. </w:t>
      </w:r>
      <w:r w:rsidR="00582A2F" w:rsidRPr="00582A2F">
        <w:rPr>
          <w:szCs w:val="22"/>
          <w:lang w:val="en-US"/>
        </w:rPr>
        <w:fldChar w:fldCharType="begin" w:fldLock="1"/>
      </w:r>
      <w:r w:rsidR="00582A2F" w:rsidRPr="00582A2F">
        <w:rPr>
          <w:szCs w:val="22"/>
          <w:lang w:val="en-US"/>
        </w:rPr>
        <w:instrText>ADDIN CSL_CITATION {"citationItems":[{"id":"ITEM-1","itemData":{"DOI":"10.1080/14615517.2019.1677089","ISSN":"1461-5517","author":[{"dropping-particle":"","family":"Morrison-Saunders","given":"Angus","non-dropping-particle":"","parse-names":false,"suffix":""},{"dropping-particle":"","family":"Sánchez","given":"Luis E","non-dropping-particle":"","parse-names":false,"suffix":""},{"dropping-particle":"","family":"Retief","given":"Francois","non-dropping-particle":"","parse-names":false,"suffix":""},{"dropping-particle":"","family":"Sinclair","given":"John","non-dropping-particle":"","parse-names":false,"suffix":""},{"dropping-particle":"","family":"Doelle","given":"Meinhard","non-dropping-particle":"","parse-names":false,"suffix":""},{"dropping-particle":"","family":"Jones","given":"Megan","non-dropping-particle":"","parse-names":false,"suffix":""},{"dropping-particle":"","family":"Wessels","given":"Jan-Albert","non-dropping-particle":"","parse-names":false,"suffix":""},{"dropping-particle":"","family":"Pope","given":"Jenny","non-dropping-particle":"","parse-names":false,"suffix":""}],"container-title":"Impact Assessment and Project Appraisal","id":"ITEM-1","issued":{"date-parts":[["2020","10","22"]]},"note":"doi: 10.1080/14615517.2019.1677089","page":"1-5","publisher":"Taylor &amp; Francis","title":"Gearing up impact assessment as a vehicle for achieving the UN sustainable development goals","type":"article-journal"},"uris":["http://www.mendeley.com/documents/?uuid=66ab729b-c550-45c1-af83-9012489e392a"]}],"mendeley":{"formattedCitation":"(Morrison-Saunders et al., 2020)","manualFormatting":"Morrison-Saunders et al (2019)","plainTextFormattedCitation":"(Morrison-Saunders et al., 2020)","previouslyFormattedCitation":"(Morrison-Saunders et al., 2020)"},"properties":{"noteIndex":0},"schema":"https://github.com/citation-style-language/schema/raw/master/csl-citation.json"}</w:instrText>
      </w:r>
      <w:r w:rsidR="00582A2F" w:rsidRPr="00582A2F">
        <w:rPr>
          <w:szCs w:val="22"/>
          <w:lang w:val="en-US"/>
        </w:rPr>
        <w:fldChar w:fldCharType="separate"/>
      </w:r>
      <w:r w:rsidR="00582A2F" w:rsidRPr="00582A2F">
        <w:rPr>
          <w:szCs w:val="22"/>
          <w:lang w:val="en-US"/>
        </w:rPr>
        <w:t>Morrison-Saunders et al. (20</w:t>
      </w:r>
      <w:r w:rsidR="00C25FC9">
        <w:rPr>
          <w:szCs w:val="22"/>
          <w:lang w:val="en-US"/>
        </w:rPr>
        <w:t>20</w:t>
      </w:r>
      <w:r>
        <w:rPr>
          <w:szCs w:val="22"/>
          <w:lang w:val="en-US"/>
        </w:rPr>
        <w:t xml:space="preserve">, p. </w:t>
      </w:r>
      <w:r w:rsidR="00FB0C88">
        <w:rPr>
          <w:szCs w:val="22"/>
          <w:lang w:val="en-US"/>
        </w:rPr>
        <w:t>3</w:t>
      </w:r>
      <w:r w:rsidR="00582A2F" w:rsidRPr="00582A2F">
        <w:rPr>
          <w:szCs w:val="22"/>
          <w:lang w:val="en-US"/>
        </w:rPr>
        <w:t>)</w:t>
      </w:r>
      <w:r w:rsidR="00582A2F" w:rsidRPr="00582A2F">
        <w:rPr>
          <w:szCs w:val="22"/>
          <w:lang w:val="en-US"/>
        </w:rPr>
        <w:fldChar w:fldCharType="end"/>
      </w:r>
      <w:r w:rsidR="00582A2F" w:rsidRPr="00582A2F">
        <w:rPr>
          <w:szCs w:val="22"/>
          <w:lang w:val="en-US"/>
        </w:rPr>
        <w:t xml:space="preserve"> </w:t>
      </w:r>
      <w:r>
        <w:rPr>
          <w:szCs w:val="22"/>
          <w:lang w:val="en-US"/>
        </w:rPr>
        <w:t>suggest</w:t>
      </w:r>
      <w:r w:rsidR="00582A2F" w:rsidRPr="00582A2F">
        <w:rPr>
          <w:szCs w:val="22"/>
          <w:lang w:val="en-US"/>
        </w:rPr>
        <w:t xml:space="preserve"> broadening the </w:t>
      </w:r>
      <w:r>
        <w:rPr>
          <w:szCs w:val="22"/>
          <w:lang w:val="en-US"/>
        </w:rPr>
        <w:t>scope of the EA</w:t>
      </w:r>
      <w:r w:rsidR="00582A2F" w:rsidRPr="00582A2F">
        <w:rPr>
          <w:szCs w:val="22"/>
          <w:lang w:val="en-US"/>
        </w:rPr>
        <w:t xml:space="preserve"> </w:t>
      </w:r>
      <w:r>
        <w:rPr>
          <w:szCs w:val="22"/>
          <w:lang w:val="en-US"/>
        </w:rPr>
        <w:t>so that it</w:t>
      </w:r>
      <w:r w:rsidR="00582A2F" w:rsidRPr="00582A2F">
        <w:rPr>
          <w:szCs w:val="22"/>
          <w:lang w:val="en-US"/>
        </w:rPr>
        <w:t xml:space="preserve"> better reflect</w:t>
      </w:r>
      <w:r w:rsidR="0037555E">
        <w:rPr>
          <w:szCs w:val="22"/>
          <w:lang w:val="en-US"/>
        </w:rPr>
        <w:t>s</w:t>
      </w:r>
      <w:r w:rsidR="00582A2F" w:rsidRPr="00582A2F">
        <w:rPr>
          <w:szCs w:val="22"/>
          <w:lang w:val="en-US"/>
        </w:rPr>
        <w:t xml:space="preserve"> the SDGs</w:t>
      </w:r>
      <w:r>
        <w:rPr>
          <w:szCs w:val="22"/>
          <w:lang w:val="en-US"/>
        </w:rPr>
        <w:t xml:space="preserve"> and</w:t>
      </w:r>
      <w:r w:rsidR="00582A2F" w:rsidRPr="00582A2F">
        <w:rPr>
          <w:szCs w:val="22"/>
          <w:lang w:val="en-US"/>
        </w:rPr>
        <w:t xml:space="preserve"> state that “Impact Assessment must become more comprehensive and integrated, such that the full suite of SDGs and the relationships between them (including potential tradeoffs) can be considered and debated in a transparent and inclusive way”. </w:t>
      </w:r>
      <w:r w:rsidR="00A57B1B">
        <w:rPr>
          <w:szCs w:val="22"/>
          <w:lang w:val="en-US"/>
        </w:rPr>
        <w:t>This idea of expanding the scope is an argument also reflected by Hacking (2019</w:t>
      </w:r>
      <w:r w:rsidR="00067B43">
        <w:rPr>
          <w:szCs w:val="22"/>
          <w:lang w:val="en-US"/>
        </w:rPr>
        <w:t>, p. 6</w:t>
      </w:r>
      <w:r w:rsidR="00A57B1B">
        <w:rPr>
          <w:szCs w:val="22"/>
          <w:lang w:val="en-US"/>
        </w:rPr>
        <w:t>)</w:t>
      </w:r>
      <w:r w:rsidR="00067B43">
        <w:rPr>
          <w:szCs w:val="22"/>
          <w:lang w:val="en-US"/>
        </w:rPr>
        <w:t xml:space="preserve"> when suggesting to ‘stretch’ the EIA so that “[…] the scope and ambition of the EIAs can extend well beyond what is typical”</w:t>
      </w:r>
      <w:r w:rsidR="00A57B1B">
        <w:rPr>
          <w:szCs w:val="22"/>
          <w:lang w:val="en-US"/>
        </w:rPr>
        <w:t xml:space="preserve">. </w:t>
      </w:r>
      <w:r w:rsidR="00582A2F" w:rsidRPr="00582A2F">
        <w:rPr>
          <w:szCs w:val="22"/>
          <w:lang w:val="en-US"/>
        </w:rPr>
        <w:t>Nevertheless,</w:t>
      </w:r>
      <w:r w:rsidR="00913497">
        <w:rPr>
          <w:szCs w:val="22"/>
          <w:lang w:val="en-US"/>
        </w:rPr>
        <w:t xml:space="preserve"> despite the popularizing dialogue surrounding the coupling </w:t>
      </w:r>
      <w:r w:rsidR="00AF57EF">
        <w:rPr>
          <w:szCs w:val="22"/>
          <w:lang w:val="en-US"/>
        </w:rPr>
        <w:t>o</w:t>
      </w:r>
      <w:r w:rsidR="00913497">
        <w:rPr>
          <w:szCs w:val="22"/>
          <w:lang w:val="en-US"/>
        </w:rPr>
        <w:t>f SDGs and EA,</w:t>
      </w:r>
      <w:r w:rsidR="00582A2F" w:rsidRPr="00582A2F">
        <w:rPr>
          <w:szCs w:val="22"/>
          <w:lang w:val="en-US"/>
        </w:rPr>
        <w:t xml:space="preserve"> </w:t>
      </w:r>
      <w:proofErr w:type="spellStart"/>
      <w:r w:rsidR="00582A2F" w:rsidRPr="00582A2F">
        <w:rPr>
          <w:szCs w:val="22"/>
          <w:lang w:val="en-US"/>
        </w:rPr>
        <w:t>Kørnøv</w:t>
      </w:r>
      <w:proofErr w:type="spellEnd"/>
      <w:r w:rsidR="00582A2F" w:rsidRPr="00582A2F">
        <w:rPr>
          <w:szCs w:val="22"/>
          <w:lang w:val="en-US"/>
        </w:rPr>
        <w:t xml:space="preserve"> </w:t>
      </w:r>
      <w:r w:rsidR="00913497">
        <w:rPr>
          <w:szCs w:val="22"/>
          <w:lang w:val="en-US"/>
        </w:rPr>
        <w:t xml:space="preserve">et al. </w:t>
      </w:r>
      <w:r w:rsidR="00582A2F" w:rsidRPr="00582A2F">
        <w:rPr>
          <w:szCs w:val="22"/>
          <w:lang w:val="en-US"/>
        </w:rPr>
        <w:t>(2020)</w:t>
      </w:r>
      <w:r w:rsidR="00913497">
        <w:rPr>
          <w:szCs w:val="22"/>
          <w:lang w:val="en-US"/>
        </w:rPr>
        <w:t xml:space="preserve"> reveal that</w:t>
      </w:r>
      <w:r w:rsidR="00582A2F" w:rsidRPr="00582A2F">
        <w:rPr>
          <w:szCs w:val="22"/>
          <w:lang w:val="en-US"/>
        </w:rPr>
        <w:t xml:space="preserve"> the literature on</w:t>
      </w:r>
      <w:r>
        <w:rPr>
          <w:szCs w:val="22"/>
          <w:lang w:val="en-US"/>
        </w:rPr>
        <w:t xml:space="preserve"> practically linking the two concepts</w:t>
      </w:r>
      <w:r w:rsidR="00582A2F" w:rsidRPr="00582A2F">
        <w:rPr>
          <w:szCs w:val="22"/>
          <w:lang w:val="en-US"/>
        </w:rPr>
        <w:t xml:space="preserve"> is scarce</w:t>
      </w:r>
      <w:r>
        <w:rPr>
          <w:szCs w:val="22"/>
          <w:lang w:val="en-US"/>
        </w:rPr>
        <w:t>,</w:t>
      </w:r>
      <w:r w:rsidR="00582A2F" w:rsidRPr="00582A2F">
        <w:rPr>
          <w:szCs w:val="22"/>
          <w:lang w:val="en-US"/>
        </w:rPr>
        <w:t xml:space="preserve"> as </w:t>
      </w:r>
      <w:r>
        <w:rPr>
          <w:szCs w:val="22"/>
          <w:lang w:val="en-US"/>
        </w:rPr>
        <w:t>it remains</w:t>
      </w:r>
      <w:r w:rsidR="00582A2F" w:rsidRPr="00582A2F">
        <w:rPr>
          <w:szCs w:val="22"/>
          <w:lang w:val="en-US"/>
        </w:rPr>
        <w:t xml:space="preserve"> a relatively new field</w:t>
      </w:r>
      <w:r w:rsidR="00A57B1B">
        <w:rPr>
          <w:szCs w:val="22"/>
          <w:lang w:val="en-US"/>
        </w:rPr>
        <w:t xml:space="preserve"> still within its exploratory phases</w:t>
      </w:r>
      <w:r w:rsidR="00582A2F" w:rsidRPr="00582A2F">
        <w:rPr>
          <w:szCs w:val="22"/>
          <w:lang w:val="en-US"/>
        </w:rPr>
        <w:t xml:space="preserve">. This </w:t>
      </w:r>
      <w:r w:rsidR="0075421F">
        <w:rPr>
          <w:szCs w:val="22"/>
          <w:lang w:val="en-US"/>
        </w:rPr>
        <w:t>likewise reflects in literature considering</w:t>
      </w:r>
      <w:r w:rsidR="00067B43">
        <w:rPr>
          <w:szCs w:val="22"/>
          <w:lang w:val="en-US"/>
        </w:rPr>
        <w:t xml:space="preserve"> </w:t>
      </w:r>
      <w:r w:rsidR="0075421F">
        <w:rPr>
          <w:szCs w:val="22"/>
          <w:lang w:val="en-US"/>
        </w:rPr>
        <w:t>scoping practices when linking the SDGs</w:t>
      </w:r>
      <w:r w:rsidR="00A57B1B">
        <w:rPr>
          <w:szCs w:val="22"/>
          <w:lang w:val="en-US"/>
        </w:rPr>
        <w:t>, as they too are few and far between.</w:t>
      </w:r>
    </w:p>
    <w:p w14:paraId="2A8A1340" w14:textId="77777777" w:rsidR="0075421F" w:rsidRDefault="0075421F" w:rsidP="00B744A5">
      <w:pPr>
        <w:jc w:val="both"/>
        <w:rPr>
          <w:szCs w:val="22"/>
          <w:lang w:val="en-US"/>
        </w:rPr>
      </w:pPr>
    </w:p>
    <w:p w14:paraId="0E1157F1" w14:textId="15593A75" w:rsidR="0075421F" w:rsidRDefault="0075421F" w:rsidP="00BF10A1">
      <w:pPr>
        <w:pStyle w:val="Overskrift2"/>
      </w:pPr>
      <w:r>
        <w:t>The critical role of scoping</w:t>
      </w:r>
    </w:p>
    <w:p w14:paraId="79D8C5C4" w14:textId="2988BE86" w:rsidR="00B06B6B" w:rsidRDefault="00EC1380" w:rsidP="00B744A5">
      <w:pPr>
        <w:jc w:val="both"/>
        <w:rPr>
          <w:lang w:val="en-US"/>
        </w:rPr>
      </w:pPr>
      <w:r>
        <w:rPr>
          <w:lang w:val="en-US"/>
        </w:rPr>
        <w:t>Scoping w</w:t>
      </w:r>
      <w:r w:rsidR="00C3651C">
        <w:rPr>
          <w:lang w:val="en-US"/>
        </w:rPr>
        <w:t xml:space="preserve">ithin </w:t>
      </w:r>
      <w:r w:rsidR="00464739">
        <w:rPr>
          <w:lang w:val="en-US"/>
        </w:rPr>
        <w:t>EA</w:t>
      </w:r>
      <w:r>
        <w:rPr>
          <w:lang w:val="en-US"/>
        </w:rPr>
        <w:t xml:space="preserve"> is,</w:t>
      </w:r>
      <w:r w:rsidR="001B5767">
        <w:rPr>
          <w:lang w:val="en-US"/>
        </w:rPr>
        <w:t xml:space="preserve"> as defined by Glasson et al. (1999, p. 90), the stage in which one is “[…] determining, from all a project’s possible impacts and from all the alternatives that could be addressed, those that are key, significant ones”. This indicates that the primary objective of scoping is ensuring that potentially significant impacts are considered in further </w:t>
      </w:r>
      <w:r w:rsidR="00AD32A0">
        <w:rPr>
          <w:lang w:val="en-US"/>
        </w:rPr>
        <w:t>assessments</w:t>
      </w:r>
      <w:r w:rsidR="001B5767">
        <w:rPr>
          <w:lang w:val="en-US"/>
        </w:rPr>
        <w:t xml:space="preserve"> and that insignificant impacts are disregarded. Scoping is widely recognized as a fundamental phase in an effective EIA, having influence on the assessment process and outcome (Sadler 1996; Morg</w:t>
      </w:r>
      <w:r w:rsidR="00B06B6B">
        <w:rPr>
          <w:lang w:val="en-US"/>
        </w:rPr>
        <w:t>a</w:t>
      </w:r>
      <w:r w:rsidR="001B5767">
        <w:rPr>
          <w:lang w:val="en-US"/>
        </w:rPr>
        <w:t xml:space="preserve">n 1998; Wood et al. 2006; Arts et al. 2012; Zhang et al. 2013; Canter &amp; Ross 2014; </w:t>
      </w:r>
      <w:proofErr w:type="spellStart"/>
      <w:r w:rsidR="001B5767">
        <w:rPr>
          <w:lang w:val="en-US"/>
        </w:rPr>
        <w:t>Lyhne</w:t>
      </w:r>
      <w:proofErr w:type="spellEnd"/>
      <w:r w:rsidR="001B5767">
        <w:rPr>
          <w:lang w:val="en-US"/>
        </w:rPr>
        <w:t xml:space="preserve"> et al. 2016</w:t>
      </w:r>
      <w:r w:rsidR="00C150F2">
        <w:rPr>
          <w:lang w:val="en-US"/>
        </w:rPr>
        <w:t xml:space="preserve">; </w:t>
      </w:r>
      <w:proofErr w:type="spellStart"/>
      <w:r w:rsidR="00C150F2">
        <w:rPr>
          <w:lang w:val="en-US"/>
        </w:rPr>
        <w:t>Lyhne</w:t>
      </w:r>
      <w:proofErr w:type="spellEnd"/>
      <w:r w:rsidR="00C150F2">
        <w:rPr>
          <w:lang w:val="en-US"/>
        </w:rPr>
        <w:t xml:space="preserve"> and </w:t>
      </w:r>
      <w:proofErr w:type="spellStart"/>
      <w:r w:rsidR="00C150F2">
        <w:rPr>
          <w:lang w:val="en-US"/>
        </w:rPr>
        <w:t>Kørnøv</w:t>
      </w:r>
      <w:proofErr w:type="spellEnd"/>
      <w:r w:rsidR="00C150F2">
        <w:rPr>
          <w:lang w:val="en-US"/>
        </w:rPr>
        <w:t xml:space="preserve"> </w:t>
      </w:r>
      <w:r w:rsidR="00B27EBC">
        <w:rPr>
          <w:lang w:val="en-US"/>
        </w:rPr>
        <w:t>2013</w:t>
      </w:r>
      <w:r w:rsidR="001B5767">
        <w:rPr>
          <w:lang w:val="en-US"/>
        </w:rPr>
        <w:t>). It is argued in literature that ineffective scoping leads to lengthy reports and an incoherent basis for decision-making; as stated by Weston (2000, p. 1998), “[…] if minor issues are not scoped out of the EIA process at an early stage, it will result in a great deal of unnecessary work and wasted resources as well as a potentially verbose and confusing environmental statement”.</w:t>
      </w:r>
      <w:r w:rsidR="00B06B6B">
        <w:rPr>
          <w:lang w:val="en-US"/>
        </w:rPr>
        <w:t xml:space="preserve"> </w:t>
      </w:r>
      <w:r w:rsidR="009275BC">
        <w:rPr>
          <w:lang w:val="en-US"/>
        </w:rPr>
        <w:t xml:space="preserve">This </w:t>
      </w:r>
      <w:r>
        <w:rPr>
          <w:lang w:val="en-US"/>
        </w:rPr>
        <w:t>suggests that scoping can become too broad, when too many insignificant impacts are considered.</w:t>
      </w:r>
      <w:r w:rsidR="009275BC">
        <w:rPr>
          <w:lang w:val="en-US"/>
        </w:rPr>
        <w:t xml:space="preserve"> </w:t>
      </w:r>
    </w:p>
    <w:p w14:paraId="73417752" w14:textId="77777777" w:rsidR="00B06B6B" w:rsidRDefault="00B06B6B" w:rsidP="00B744A5">
      <w:pPr>
        <w:jc w:val="both"/>
        <w:rPr>
          <w:lang w:val="en-US"/>
        </w:rPr>
      </w:pPr>
    </w:p>
    <w:p w14:paraId="51B24BA5" w14:textId="34D93374" w:rsidR="004C2263" w:rsidRDefault="009275BC" w:rsidP="00B744A5">
      <w:pPr>
        <w:jc w:val="both"/>
        <w:rPr>
          <w:lang w:val="en-US"/>
        </w:rPr>
      </w:pPr>
      <w:r>
        <w:rPr>
          <w:lang w:val="en-US"/>
        </w:rPr>
        <w:t xml:space="preserve">However, the authors </w:t>
      </w:r>
      <w:r w:rsidR="00EC1380">
        <w:rPr>
          <w:lang w:val="en-US"/>
        </w:rPr>
        <w:t>of</w:t>
      </w:r>
      <w:r>
        <w:rPr>
          <w:lang w:val="en-US"/>
        </w:rPr>
        <w:t xml:space="preserve"> this paper are</w:t>
      </w:r>
      <w:r w:rsidR="00B06B6B">
        <w:rPr>
          <w:lang w:val="en-US"/>
        </w:rPr>
        <w:t xml:space="preserve"> simultaneously</w:t>
      </w:r>
      <w:r>
        <w:rPr>
          <w:lang w:val="en-US"/>
        </w:rPr>
        <w:t xml:space="preserve"> concerned </w:t>
      </w:r>
      <w:r w:rsidR="004C2263">
        <w:rPr>
          <w:lang w:val="en-US"/>
        </w:rPr>
        <w:t xml:space="preserve">with </w:t>
      </w:r>
      <w:r w:rsidR="00EC1380">
        <w:rPr>
          <w:lang w:val="en-US"/>
        </w:rPr>
        <w:t xml:space="preserve">scoping that </w:t>
      </w:r>
      <w:r w:rsidR="00AD32A0">
        <w:rPr>
          <w:lang w:val="en-US"/>
        </w:rPr>
        <w:t>risks</w:t>
      </w:r>
      <w:r w:rsidR="004C2263">
        <w:rPr>
          <w:lang w:val="en-US"/>
        </w:rPr>
        <w:t xml:space="preserve"> becoming too narrow, and thereby,</w:t>
      </w:r>
      <w:r w:rsidR="00B06B6B">
        <w:rPr>
          <w:lang w:val="en-US"/>
        </w:rPr>
        <w:t xml:space="preserve"> may </w:t>
      </w:r>
      <w:r w:rsidR="00AD32A0">
        <w:rPr>
          <w:lang w:val="en-US"/>
        </w:rPr>
        <w:t>scope</w:t>
      </w:r>
      <w:r w:rsidR="004C2263">
        <w:rPr>
          <w:lang w:val="en-US"/>
        </w:rPr>
        <w:t xml:space="preserve"> relevant environmental parameters out of the further project assessments. As emphasized by Morrison-Saunders et al. (2014, p. 5), there is a need for “[…] a focused scoping process, which commences with the goal of sustainable development”</w:t>
      </w:r>
      <w:r w:rsidR="00F317E8">
        <w:rPr>
          <w:lang w:val="en-US"/>
        </w:rPr>
        <w:t>, meaning that while it is crucial to concentrate on relevant impacts, then it is also crucial that scoping considers all assessment parameters that</w:t>
      </w:r>
      <w:r w:rsidR="004C2263">
        <w:rPr>
          <w:lang w:val="en-US"/>
        </w:rPr>
        <w:t xml:space="preserve"> can strengthen a project’s commitment to sustainable transition</w:t>
      </w:r>
      <w:r w:rsidR="00F317E8">
        <w:rPr>
          <w:lang w:val="en-US"/>
        </w:rPr>
        <w:t xml:space="preserve">. This puts emphasis on maintaining a broad </w:t>
      </w:r>
      <w:r w:rsidR="00F317E8">
        <w:rPr>
          <w:lang w:val="en-US"/>
        </w:rPr>
        <w:lastRenderedPageBreak/>
        <w:t xml:space="preserve">understanding </w:t>
      </w:r>
      <w:r w:rsidR="00205C68">
        <w:rPr>
          <w:lang w:val="en-US"/>
        </w:rPr>
        <w:t>of what it means to be a sustainable project</w:t>
      </w:r>
      <w:r w:rsidR="00F317E8">
        <w:rPr>
          <w:lang w:val="en-US"/>
        </w:rPr>
        <w:t xml:space="preserve">, and that this understanding is likewise reflected when scoping for relevant impacts. </w:t>
      </w:r>
    </w:p>
    <w:p w14:paraId="400CCBE3" w14:textId="77777777" w:rsidR="004C2263" w:rsidRDefault="004C2263" w:rsidP="00B744A5">
      <w:pPr>
        <w:jc w:val="both"/>
        <w:rPr>
          <w:lang w:val="en-US"/>
        </w:rPr>
      </w:pPr>
    </w:p>
    <w:p w14:paraId="45F6A03A" w14:textId="1B18609F" w:rsidR="0037486A" w:rsidRDefault="0037486A" w:rsidP="00BF10A1">
      <w:pPr>
        <w:pStyle w:val="Overskrift2"/>
      </w:pPr>
      <w:r>
        <w:t>Research focus</w:t>
      </w:r>
    </w:p>
    <w:p w14:paraId="216DA5F7" w14:textId="09FC7258" w:rsidR="00582A2F" w:rsidRPr="004C2263" w:rsidRDefault="5F9B6A18" w:rsidP="00B744A5">
      <w:pPr>
        <w:jc w:val="both"/>
        <w:rPr>
          <w:lang w:val="en-US"/>
        </w:rPr>
      </w:pPr>
      <w:r w:rsidRPr="2E8ED96F">
        <w:rPr>
          <w:lang w:val="en-US"/>
        </w:rPr>
        <w:t>This</w:t>
      </w:r>
      <w:r w:rsidR="004C2263" w:rsidRPr="2E8ED96F">
        <w:rPr>
          <w:lang w:val="en-US"/>
        </w:rPr>
        <w:t xml:space="preserve"> paper focuses on</w:t>
      </w:r>
      <w:r w:rsidR="421A0B56" w:rsidRPr="2E8ED96F">
        <w:rPr>
          <w:lang w:val="en-US"/>
        </w:rPr>
        <w:t xml:space="preserve"> </w:t>
      </w:r>
      <w:r w:rsidR="00653127">
        <w:rPr>
          <w:lang w:val="en-US"/>
        </w:rPr>
        <w:t xml:space="preserve">the context of </w:t>
      </w:r>
      <w:r w:rsidR="00A90130">
        <w:rPr>
          <w:lang w:val="en-US"/>
        </w:rPr>
        <w:t xml:space="preserve">Danish </w:t>
      </w:r>
      <w:r w:rsidR="00653127">
        <w:rPr>
          <w:lang w:val="en-US"/>
        </w:rPr>
        <w:t>EIA</w:t>
      </w:r>
      <w:r w:rsidR="00A90130">
        <w:rPr>
          <w:lang w:val="en-US"/>
        </w:rPr>
        <w:t xml:space="preserve"> </w:t>
      </w:r>
      <w:r w:rsidR="004A5617">
        <w:rPr>
          <w:lang w:val="en-US"/>
        </w:rPr>
        <w:t>procedures</w:t>
      </w:r>
      <w:r w:rsidR="00CE18E9">
        <w:rPr>
          <w:lang w:val="en-US"/>
        </w:rPr>
        <w:t xml:space="preserve"> and</w:t>
      </w:r>
      <w:r w:rsidR="421A0B56" w:rsidRPr="2E8ED96F">
        <w:rPr>
          <w:lang w:val="en-US"/>
        </w:rPr>
        <w:t xml:space="preserve"> determining whether an incorporation of the SDGs can improve traditional scoping practices</w:t>
      </w:r>
      <w:r w:rsidR="00CE18E9">
        <w:rPr>
          <w:lang w:val="en-US"/>
        </w:rPr>
        <w:t>.</w:t>
      </w:r>
      <w:r w:rsidR="421A0B56" w:rsidRPr="2E8ED96F">
        <w:rPr>
          <w:lang w:val="en-US"/>
        </w:rPr>
        <w:t xml:space="preserve"> </w:t>
      </w:r>
      <w:r w:rsidR="00CE18E9">
        <w:rPr>
          <w:lang w:val="en-US"/>
        </w:rPr>
        <w:t>It</w:t>
      </w:r>
      <w:r w:rsidR="421A0B56" w:rsidRPr="2E8ED96F">
        <w:rPr>
          <w:lang w:val="en-US"/>
        </w:rPr>
        <w:t xml:space="preserve"> views</w:t>
      </w:r>
      <w:r w:rsidR="004C2263" w:rsidRPr="2E8ED96F">
        <w:rPr>
          <w:lang w:val="en-US"/>
        </w:rPr>
        <w:t xml:space="preserve"> scoping as a </w:t>
      </w:r>
      <w:r w:rsidR="00F317E8" w:rsidRPr="2E8ED96F">
        <w:rPr>
          <w:lang w:val="en-US"/>
        </w:rPr>
        <w:t>means</w:t>
      </w:r>
      <w:r w:rsidR="004C2263" w:rsidRPr="2E8ED96F">
        <w:rPr>
          <w:lang w:val="en-US"/>
        </w:rPr>
        <w:t xml:space="preserve"> for </w:t>
      </w:r>
      <w:r w:rsidR="00136597" w:rsidRPr="2E8ED96F">
        <w:rPr>
          <w:lang w:val="en-US"/>
        </w:rPr>
        <w:t>highlighting relevant</w:t>
      </w:r>
      <w:r w:rsidR="00F317E8" w:rsidRPr="2E8ED96F">
        <w:rPr>
          <w:lang w:val="en-US"/>
        </w:rPr>
        <w:t xml:space="preserve"> SDG</w:t>
      </w:r>
      <w:r w:rsidR="00136597" w:rsidRPr="2E8ED96F">
        <w:rPr>
          <w:lang w:val="en-US"/>
        </w:rPr>
        <w:t xml:space="preserve">s, similar to how </w:t>
      </w:r>
      <w:r w:rsidR="00243245">
        <w:rPr>
          <w:lang w:val="en-US"/>
        </w:rPr>
        <w:t>scoping</w:t>
      </w:r>
      <w:r w:rsidR="00136597" w:rsidRPr="2E8ED96F">
        <w:rPr>
          <w:lang w:val="en-US"/>
        </w:rPr>
        <w:t xml:space="preserve"> </w:t>
      </w:r>
      <w:r w:rsidR="365542D2" w:rsidRPr="2E8ED96F">
        <w:rPr>
          <w:lang w:val="en-US"/>
        </w:rPr>
        <w:t>is being</w:t>
      </w:r>
      <w:r w:rsidR="00136597" w:rsidRPr="2E8ED96F">
        <w:rPr>
          <w:lang w:val="en-US"/>
        </w:rPr>
        <w:t xml:space="preserve"> used to detect relevant assessment parameters</w:t>
      </w:r>
      <w:r w:rsidR="3C37A714" w:rsidRPr="2E8ED96F">
        <w:rPr>
          <w:lang w:val="en-US"/>
        </w:rPr>
        <w:t xml:space="preserve"> </w:t>
      </w:r>
      <w:r w:rsidR="162A3F21" w:rsidRPr="2E8ED96F">
        <w:rPr>
          <w:lang w:val="en-US"/>
        </w:rPr>
        <w:t>in current practice</w:t>
      </w:r>
      <w:r w:rsidR="4B36D757" w:rsidRPr="2E8ED96F">
        <w:rPr>
          <w:lang w:val="en-US"/>
        </w:rPr>
        <w:t>.</w:t>
      </w:r>
      <w:r w:rsidR="00B24443">
        <w:rPr>
          <w:lang w:val="en-US"/>
        </w:rPr>
        <w:t xml:space="preserve"> </w:t>
      </w:r>
      <w:r w:rsidR="00915E04">
        <w:rPr>
          <w:lang w:val="en-US"/>
        </w:rPr>
        <w:t xml:space="preserve">The paper does this by </w:t>
      </w:r>
      <w:r w:rsidR="00000C6F">
        <w:rPr>
          <w:lang w:val="en-US"/>
        </w:rPr>
        <w:t>firstly determining SDG and EIA parameter overlap</w:t>
      </w:r>
      <w:r w:rsidR="00F132AB">
        <w:rPr>
          <w:lang w:val="en-US"/>
        </w:rPr>
        <w:t xml:space="preserve"> and thereafter </w:t>
      </w:r>
      <w:r w:rsidR="0099241F">
        <w:rPr>
          <w:lang w:val="en-US"/>
        </w:rPr>
        <w:t xml:space="preserve">using the SDGs to reveal potential gaps in </w:t>
      </w:r>
      <w:r w:rsidR="004F363B">
        <w:rPr>
          <w:lang w:val="en-US"/>
        </w:rPr>
        <w:t xml:space="preserve">current scoping procedures. </w:t>
      </w:r>
      <w:r w:rsidR="004C2263" w:rsidRPr="2E8ED96F">
        <w:rPr>
          <w:lang w:val="en-US"/>
        </w:rPr>
        <w:t xml:space="preserve">The guiding research question is: </w:t>
      </w:r>
      <w:r w:rsidR="004C2263" w:rsidRPr="2E8ED96F">
        <w:rPr>
          <w:i/>
          <w:iCs/>
          <w:lang w:val="en-US"/>
        </w:rPr>
        <w:t xml:space="preserve">How </w:t>
      </w:r>
      <w:r w:rsidR="008043A2" w:rsidRPr="2E8ED96F">
        <w:rPr>
          <w:i/>
          <w:iCs/>
          <w:lang w:val="en-US"/>
        </w:rPr>
        <w:t xml:space="preserve">does </w:t>
      </w:r>
      <w:r w:rsidR="004C2263" w:rsidRPr="2E8ED96F">
        <w:rPr>
          <w:i/>
          <w:iCs/>
          <w:lang w:val="en-US"/>
        </w:rPr>
        <w:t>E</w:t>
      </w:r>
      <w:r w:rsidR="00870FB9" w:rsidRPr="2E8ED96F">
        <w:rPr>
          <w:i/>
          <w:iCs/>
          <w:lang w:val="en-US"/>
        </w:rPr>
        <w:t>I</w:t>
      </w:r>
      <w:r w:rsidR="004C2263" w:rsidRPr="2E8ED96F">
        <w:rPr>
          <w:i/>
          <w:iCs/>
          <w:lang w:val="en-US"/>
        </w:rPr>
        <w:t>A practice reflect the SDGs</w:t>
      </w:r>
      <w:r w:rsidR="008043A2" w:rsidRPr="2E8ED96F">
        <w:rPr>
          <w:i/>
          <w:iCs/>
          <w:lang w:val="en-US"/>
        </w:rPr>
        <w:t>,</w:t>
      </w:r>
      <w:r w:rsidR="004C2263" w:rsidRPr="2E8ED96F">
        <w:rPr>
          <w:i/>
          <w:iCs/>
          <w:lang w:val="en-US"/>
        </w:rPr>
        <w:t xml:space="preserve"> and what is the potential for </w:t>
      </w:r>
      <w:r w:rsidR="00650556">
        <w:rPr>
          <w:i/>
          <w:iCs/>
          <w:lang w:val="en-US"/>
        </w:rPr>
        <w:t xml:space="preserve">applying SDGs to </w:t>
      </w:r>
      <w:r w:rsidR="00F30AB6">
        <w:rPr>
          <w:i/>
          <w:iCs/>
          <w:lang w:val="en-US"/>
        </w:rPr>
        <w:t xml:space="preserve">further develop and </w:t>
      </w:r>
      <w:r w:rsidR="006E4D7C">
        <w:rPr>
          <w:i/>
          <w:iCs/>
          <w:lang w:val="en-US"/>
        </w:rPr>
        <w:t>expand</w:t>
      </w:r>
      <w:r w:rsidR="004C2263" w:rsidRPr="2E8ED96F">
        <w:rPr>
          <w:i/>
          <w:iCs/>
          <w:lang w:val="en-US"/>
        </w:rPr>
        <w:t xml:space="preserve"> scoping </w:t>
      </w:r>
      <w:r w:rsidR="00BD0105">
        <w:rPr>
          <w:i/>
          <w:iCs/>
          <w:lang w:val="en-US"/>
        </w:rPr>
        <w:t>practices</w:t>
      </w:r>
      <w:r w:rsidR="004C2263" w:rsidRPr="2E8ED96F">
        <w:rPr>
          <w:i/>
          <w:iCs/>
          <w:lang w:val="en-US"/>
        </w:rPr>
        <w:t>?</w:t>
      </w:r>
      <w:r w:rsidR="004C2263" w:rsidRPr="2E8ED96F">
        <w:rPr>
          <w:lang w:val="en-US"/>
        </w:rPr>
        <w:t xml:space="preserve"> </w:t>
      </w:r>
      <w:r w:rsidR="0037486A" w:rsidRPr="2E8ED96F">
        <w:rPr>
          <w:lang w:val="en-US"/>
        </w:rPr>
        <w:t>The findings inform future practice for SDG</w:t>
      </w:r>
      <w:r w:rsidR="00F30AB6">
        <w:rPr>
          <w:lang w:val="en-US"/>
        </w:rPr>
        <w:t xml:space="preserve"> </w:t>
      </w:r>
      <w:r w:rsidR="0037486A" w:rsidRPr="2E8ED96F">
        <w:rPr>
          <w:lang w:val="en-US"/>
        </w:rPr>
        <w:t>scoping within EIA, which “[…] implies that SDGs are used in the process of determining the major issues and impacts in the decision-making process. Here, SDGs and targets will be a way to assess relevance of alternatives, impact categories, etc.</w:t>
      </w:r>
      <w:r w:rsidR="002E2D08" w:rsidRPr="2E8ED96F">
        <w:rPr>
          <w:lang w:val="en-US"/>
        </w:rPr>
        <w:t>”</w:t>
      </w:r>
      <w:r w:rsidR="0037486A" w:rsidRPr="2E8ED96F">
        <w:rPr>
          <w:lang w:val="en-US"/>
        </w:rPr>
        <w:t xml:space="preserve"> (</w:t>
      </w:r>
      <w:proofErr w:type="spellStart"/>
      <w:r w:rsidR="0037486A" w:rsidRPr="2E8ED96F">
        <w:rPr>
          <w:lang w:val="en-US"/>
        </w:rPr>
        <w:t>Kørnøv</w:t>
      </w:r>
      <w:proofErr w:type="spellEnd"/>
      <w:r w:rsidR="0037486A" w:rsidRPr="2E8ED96F">
        <w:rPr>
          <w:lang w:val="en-US"/>
        </w:rPr>
        <w:t xml:space="preserve"> et al. 2020). </w:t>
      </w:r>
      <w:r w:rsidR="004C2263" w:rsidRPr="2E8ED96F">
        <w:rPr>
          <w:lang w:val="en-US"/>
        </w:rPr>
        <w:t xml:space="preserve"> </w:t>
      </w:r>
    </w:p>
    <w:p w14:paraId="0684C6DB" w14:textId="77777777" w:rsidR="0037486A" w:rsidRDefault="0037486A" w:rsidP="00B744A5">
      <w:pPr>
        <w:jc w:val="both"/>
        <w:rPr>
          <w:szCs w:val="22"/>
          <w:lang w:val="en-US"/>
        </w:rPr>
      </w:pPr>
    </w:p>
    <w:p w14:paraId="2ECD7608" w14:textId="564EF27B" w:rsidR="00EF7201" w:rsidRDefault="00FA3011" w:rsidP="00B744A5">
      <w:pPr>
        <w:jc w:val="both"/>
        <w:rPr>
          <w:szCs w:val="22"/>
          <w:lang w:val="en-US"/>
        </w:rPr>
      </w:pPr>
      <w:r>
        <w:rPr>
          <w:szCs w:val="22"/>
          <w:lang w:val="en-US"/>
        </w:rPr>
        <w:t xml:space="preserve">The paper is </w:t>
      </w:r>
      <w:r w:rsidR="00440C64">
        <w:rPr>
          <w:szCs w:val="22"/>
          <w:lang w:val="en-US"/>
        </w:rPr>
        <w:t xml:space="preserve">based on an analysis of current EIA procedures as practiced by </w:t>
      </w:r>
      <w:r w:rsidR="00715098">
        <w:rPr>
          <w:szCs w:val="22"/>
          <w:lang w:val="en-US"/>
        </w:rPr>
        <w:t xml:space="preserve">Danish consultancies. </w:t>
      </w:r>
      <w:r w:rsidR="006A310A">
        <w:rPr>
          <w:szCs w:val="22"/>
          <w:lang w:val="en-US"/>
        </w:rPr>
        <w:t xml:space="preserve">The Danish setting is a </w:t>
      </w:r>
      <w:r w:rsidR="00AD32A0">
        <w:rPr>
          <w:szCs w:val="22"/>
          <w:lang w:val="en-US"/>
        </w:rPr>
        <w:t>unique</w:t>
      </w:r>
      <w:r w:rsidR="006A310A">
        <w:rPr>
          <w:szCs w:val="22"/>
          <w:lang w:val="en-US"/>
        </w:rPr>
        <w:t xml:space="preserve"> case when exploring SDGs, as Denmark is a high-income country </w:t>
      </w:r>
      <w:r w:rsidR="00015C23">
        <w:rPr>
          <w:szCs w:val="22"/>
          <w:lang w:val="en-US"/>
        </w:rPr>
        <w:t xml:space="preserve">already performing well in </w:t>
      </w:r>
      <w:r w:rsidR="00014CC1">
        <w:rPr>
          <w:szCs w:val="22"/>
          <w:lang w:val="en-US"/>
        </w:rPr>
        <w:t xml:space="preserve">the achievement of the SDGs </w:t>
      </w:r>
      <w:r w:rsidR="006A310A">
        <w:rPr>
          <w:szCs w:val="22"/>
          <w:lang w:val="en-US"/>
        </w:rPr>
        <w:t xml:space="preserve">(Sachs et al. 2020). The results </w:t>
      </w:r>
      <w:r w:rsidR="009F0892">
        <w:rPr>
          <w:szCs w:val="22"/>
          <w:lang w:val="en-US"/>
        </w:rPr>
        <w:t xml:space="preserve">must therefore be </w:t>
      </w:r>
      <w:r w:rsidR="00136597">
        <w:rPr>
          <w:szCs w:val="22"/>
          <w:lang w:val="en-US"/>
        </w:rPr>
        <w:t>viewed</w:t>
      </w:r>
      <w:r w:rsidR="009F0892">
        <w:rPr>
          <w:szCs w:val="22"/>
          <w:lang w:val="en-US"/>
        </w:rPr>
        <w:t xml:space="preserve"> </w:t>
      </w:r>
      <w:r w:rsidR="00136597">
        <w:rPr>
          <w:szCs w:val="22"/>
          <w:lang w:val="en-US"/>
        </w:rPr>
        <w:t>with</w:t>
      </w:r>
      <w:r w:rsidR="009F0892">
        <w:rPr>
          <w:szCs w:val="22"/>
          <w:lang w:val="en-US"/>
        </w:rPr>
        <w:t>in this context.</w:t>
      </w:r>
    </w:p>
    <w:p w14:paraId="1B35ECC5" w14:textId="77777777" w:rsidR="00EF7201" w:rsidRDefault="00EF7201" w:rsidP="00B744A5">
      <w:pPr>
        <w:jc w:val="both"/>
        <w:rPr>
          <w:szCs w:val="22"/>
          <w:lang w:val="en-US"/>
        </w:rPr>
      </w:pPr>
    </w:p>
    <w:p w14:paraId="5B24FBD2" w14:textId="6B60EA97" w:rsidR="00574C73" w:rsidRDefault="00136597" w:rsidP="008254BB">
      <w:pPr>
        <w:jc w:val="both"/>
        <w:rPr>
          <w:szCs w:val="22"/>
          <w:lang w:val="en-US"/>
        </w:rPr>
      </w:pPr>
      <w:r>
        <w:rPr>
          <w:szCs w:val="22"/>
          <w:lang w:val="en-US"/>
        </w:rPr>
        <w:t>The article is structured as follows: T</w:t>
      </w:r>
      <w:r w:rsidR="00FF2EC7">
        <w:rPr>
          <w:szCs w:val="22"/>
          <w:lang w:val="en-US"/>
        </w:rPr>
        <w:t xml:space="preserve">he </w:t>
      </w:r>
      <w:r>
        <w:rPr>
          <w:szCs w:val="22"/>
          <w:lang w:val="en-US"/>
        </w:rPr>
        <w:t>next</w:t>
      </w:r>
      <w:r w:rsidR="00FF2EC7">
        <w:rPr>
          <w:szCs w:val="22"/>
          <w:lang w:val="en-US"/>
        </w:rPr>
        <w:t xml:space="preserve"> section provides an overview of the methodology employed. </w:t>
      </w:r>
      <w:r w:rsidR="00205C68">
        <w:rPr>
          <w:szCs w:val="22"/>
          <w:lang w:val="en-US"/>
        </w:rPr>
        <w:t xml:space="preserve">This is followed by the results of the analysis, and a discussion of how these results supplement current understandings, regarding both the expansion of EIA scoping to take on a more integrated approach to sustainability, and what this implies for the transition towards sustainable development. </w:t>
      </w:r>
    </w:p>
    <w:p w14:paraId="00149221" w14:textId="77777777" w:rsidR="00574C73" w:rsidRPr="008254BB" w:rsidRDefault="00574C73" w:rsidP="008254BB">
      <w:pPr>
        <w:jc w:val="both"/>
        <w:rPr>
          <w:szCs w:val="22"/>
          <w:lang w:val="en-US"/>
        </w:rPr>
      </w:pPr>
    </w:p>
    <w:p w14:paraId="02670AE4" w14:textId="2CE9AD91" w:rsidR="00582A2F" w:rsidRDefault="00582A2F" w:rsidP="00DF3C63">
      <w:pPr>
        <w:pStyle w:val="Overskrift1"/>
      </w:pPr>
      <w:proofErr w:type="spellStart"/>
      <w:r w:rsidRPr="00DF3C63">
        <w:t>Methodology</w:t>
      </w:r>
      <w:proofErr w:type="spellEnd"/>
    </w:p>
    <w:p w14:paraId="1BB46F77" w14:textId="77777777" w:rsidR="00BB0934" w:rsidRPr="00BB0934" w:rsidRDefault="00BB0934" w:rsidP="00BB0934"/>
    <w:p w14:paraId="46197ECE" w14:textId="77777777" w:rsidR="00582A2F" w:rsidRDefault="00582A2F" w:rsidP="00B744A5">
      <w:pPr>
        <w:jc w:val="both"/>
        <w:rPr>
          <w:lang w:val="en-US"/>
        </w:rPr>
      </w:pPr>
      <w:r>
        <w:rPr>
          <w:lang w:val="en-US"/>
        </w:rPr>
        <w:t xml:space="preserve">The research has been executed in </w:t>
      </w:r>
      <w:r w:rsidR="009C5EBC">
        <w:rPr>
          <w:lang w:val="en-US"/>
        </w:rPr>
        <w:t>three</w:t>
      </w:r>
      <w:r>
        <w:rPr>
          <w:lang w:val="en-US"/>
        </w:rPr>
        <w:t xml:space="preserve"> steps</w:t>
      </w:r>
      <w:r w:rsidR="007A0E37">
        <w:rPr>
          <w:lang w:val="en-US"/>
        </w:rPr>
        <w:t xml:space="preserve">: </w:t>
      </w:r>
      <w:proofErr w:type="spellStart"/>
      <w:r w:rsidR="007A0E37">
        <w:rPr>
          <w:lang w:val="en-US"/>
        </w:rPr>
        <w:t>i</w:t>
      </w:r>
      <w:proofErr w:type="spellEnd"/>
      <w:r w:rsidR="007A0E37">
        <w:rPr>
          <w:lang w:val="en-US"/>
        </w:rPr>
        <w:t xml:space="preserve">) </w:t>
      </w:r>
      <w:r w:rsidR="009C5EBC">
        <w:rPr>
          <w:lang w:val="en-US"/>
        </w:rPr>
        <w:t>identifying</w:t>
      </w:r>
      <w:r w:rsidR="000F50BD">
        <w:rPr>
          <w:lang w:val="en-US"/>
        </w:rPr>
        <w:t xml:space="preserve"> applicable SDG targets and</w:t>
      </w:r>
      <w:r w:rsidR="009C5EBC">
        <w:rPr>
          <w:lang w:val="en-US"/>
        </w:rPr>
        <w:t xml:space="preserve"> keywords </w:t>
      </w:r>
      <w:r w:rsidR="000F50BD">
        <w:rPr>
          <w:lang w:val="en-US"/>
        </w:rPr>
        <w:t>from</w:t>
      </w:r>
      <w:r w:rsidR="009C5EBC">
        <w:rPr>
          <w:lang w:val="en-US"/>
        </w:rPr>
        <w:t xml:space="preserve"> selected EIA reports, ii) </w:t>
      </w:r>
      <w:r w:rsidR="007A0E37">
        <w:rPr>
          <w:lang w:val="en-US"/>
        </w:rPr>
        <w:t>analyzing to what extent current EIA scoping reflects the SDG targets, and ii</w:t>
      </w:r>
      <w:r w:rsidR="009C5EBC">
        <w:rPr>
          <w:lang w:val="en-US"/>
        </w:rPr>
        <w:t>i</w:t>
      </w:r>
      <w:r w:rsidR="007A0E37">
        <w:rPr>
          <w:lang w:val="en-US"/>
        </w:rPr>
        <w:t>) using these findings to explore further development of the existing scoping framework.</w:t>
      </w:r>
    </w:p>
    <w:p w14:paraId="5B228498" w14:textId="77777777" w:rsidR="007A0E37" w:rsidRDefault="007A0E37" w:rsidP="00B744A5">
      <w:pPr>
        <w:jc w:val="both"/>
        <w:rPr>
          <w:lang w:val="en-US"/>
        </w:rPr>
      </w:pPr>
    </w:p>
    <w:p w14:paraId="3B6F23C2" w14:textId="74A82706" w:rsidR="00DF3C63" w:rsidRDefault="00DF3C63" w:rsidP="00BF10A1">
      <w:pPr>
        <w:pStyle w:val="Overskrift2"/>
      </w:pPr>
      <w:r>
        <w:t>Identifying project-applicable SDG targets and keywords from EIA reports</w:t>
      </w:r>
    </w:p>
    <w:p w14:paraId="4AAFE15D" w14:textId="6B2D1442" w:rsidR="00D50497" w:rsidRPr="00136597" w:rsidRDefault="00D50497" w:rsidP="00136597">
      <w:pPr>
        <w:pStyle w:val="Overskrift3"/>
        <w:numPr>
          <w:ilvl w:val="0"/>
          <w:numId w:val="0"/>
        </w:numPr>
        <w:ind w:left="720" w:hanging="720"/>
        <w:jc w:val="both"/>
        <w:rPr>
          <w:b/>
          <w:bCs/>
          <w:lang w:val="en-US"/>
        </w:rPr>
      </w:pPr>
      <w:r w:rsidRPr="00136597">
        <w:rPr>
          <w:b/>
          <w:bCs/>
          <w:lang w:val="en-US"/>
        </w:rPr>
        <w:t xml:space="preserve">Selection of applicable project-level SDG targets </w:t>
      </w:r>
    </w:p>
    <w:p w14:paraId="5865996E" w14:textId="0768BFCF" w:rsidR="00D50497" w:rsidRDefault="1C090227" w:rsidP="00B744A5">
      <w:pPr>
        <w:jc w:val="both"/>
        <w:rPr>
          <w:lang w:val="en-US"/>
        </w:rPr>
      </w:pPr>
      <w:r w:rsidRPr="11C72CA7">
        <w:rPr>
          <w:lang w:val="en-US"/>
        </w:rPr>
        <w:t>T</w:t>
      </w:r>
      <w:r w:rsidR="3B2E6A24" w:rsidRPr="11C72CA7">
        <w:rPr>
          <w:lang w:val="en-US"/>
        </w:rPr>
        <w:t xml:space="preserve">he </w:t>
      </w:r>
      <w:r w:rsidR="44AD028B" w:rsidRPr="11C72CA7">
        <w:rPr>
          <w:lang w:val="en-US"/>
        </w:rPr>
        <w:t xml:space="preserve">SDG </w:t>
      </w:r>
      <w:r w:rsidR="3B2E6A24" w:rsidRPr="11C72CA7">
        <w:rPr>
          <w:lang w:val="en-US"/>
        </w:rPr>
        <w:t xml:space="preserve">target level is considered most relevant to bring into </w:t>
      </w:r>
      <w:r w:rsidR="71F97BD1" w:rsidRPr="11C72CA7">
        <w:rPr>
          <w:lang w:val="en-US"/>
        </w:rPr>
        <w:t xml:space="preserve">EIA practice, as they </w:t>
      </w:r>
      <w:r w:rsidR="23ED2148" w:rsidRPr="11C72CA7">
        <w:rPr>
          <w:lang w:val="en-US"/>
        </w:rPr>
        <w:t>break the 17 goals down into</w:t>
      </w:r>
      <w:r w:rsidR="18B8E6F1" w:rsidRPr="11C72CA7">
        <w:rPr>
          <w:lang w:val="en-US"/>
        </w:rPr>
        <w:t xml:space="preserve"> more practical components</w:t>
      </w:r>
      <w:r w:rsidR="4D8AAEB9" w:rsidRPr="11C72CA7">
        <w:rPr>
          <w:lang w:val="en-US"/>
        </w:rPr>
        <w:t xml:space="preserve"> and detail </w:t>
      </w:r>
      <w:r w:rsidR="4DF2D84A" w:rsidRPr="11C72CA7">
        <w:rPr>
          <w:lang w:val="en-US"/>
        </w:rPr>
        <w:t xml:space="preserve">the specific aims entailed within </w:t>
      </w:r>
      <w:r w:rsidR="4D8AAEB9" w:rsidRPr="11C72CA7">
        <w:rPr>
          <w:lang w:val="en-US"/>
        </w:rPr>
        <w:t>the 17 goals</w:t>
      </w:r>
      <w:r w:rsidR="29EB289E" w:rsidRPr="11C72CA7">
        <w:rPr>
          <w:lang w:val="en-US"/>
        </w:rPr>
        <w:t>.</w:t>
      </w:r>
      <w:r w:rsidR="016FA70C" w:rsidRPr="11C72CA7">
        <w:rPr>
          <w:lang w:val="en-US"/>
        </w:rPr>
        <w:t xml:space="preserve"> The indicators </w:t>
      </w:r>
      <w:r w:rsidR="149F23B5" w:rsidRPr="11C72CA7">
        <w:rPr>
          <w:lang w:val="en-US"/>
        </w:rPr>
        <w:t xml:space="preserve">supplement useful data needs for </w:t>
      </w:r>
      <w:r w:rsidR="17D6C477" w:rsidRPr="11C72CA7">
        <w:rPr>
          <w:lang w:val="en-US"/>
        </w:rPr>
        <w:t xml:space="preserve">determining the fulfillment of </w:t>
      </w:r>
      <w:r w:rsidR="149F23B5" w:rsidRPr="11C72CA7">
        <w:rPr>
          <w:lang w:val="en-US"/>
        </w:rPr>
        <w:t>target</w:t>
      </w:r>
      <w:r w:rsidR="197294D8" w:rsidRPr="11C72CA7">
        <w:rPr>
          <w:lang w:val="en-US"/>
        </w:rPr>
        <w:t>s</w:t>
      </w:r>
      <w:r w:rsidR="675BD7A3" w:rsidRPr="11C72CA7">
        <w:rPr>
          <w:lang w:val="en-US"/>
        </w:rPr>
        <w:t xml:space="preserve">. </w:t>
      </w:r>
      <w:r w:rsidR="35432136" w:rsidRPr="11C72CA7">
        <w:rPr>
          <w:lang w:val="en-US"/>
        </w:rPr>
        <w:t>J</w:t>
      </w:r>
      <w:r w:rsidR="675BD7A3" w:rsidRPr="11C72CA7">
        <w:rPr>
          <w:lang w:val="en-US"/>
        </w:rPr>
        <w:t xml:space="preserve">ust as with the goals themselves, </w:t>
      </w:r>
      <w:r w:rsidR="28E45EA8" w:rsidRPr="11C72CA7">
        <w:rPr>
          <w:lang w:val="en-US"/>
        </w:rPr>
        <w:t xml:space="preserve">the targets </w:t>
      </w:r>
      <w:r w:rsidR="675BD7A3" w:rsidRPr="11C72CA7">
        <w:rPr>
          <w:lang w:val="en-US"/>
        </w:rPr>
        <w:t xml:space="preserve">are </w:t>
      </w:r>
      <w:r w:rsidR="254625C9" w:rsidRPr="11C72CA7">
        <w:rPr>
          <w:lang w:val="en-US"/>
        </w:rPr>
        <w:t>still more strategically applicable than practical and were not written with the project</w:t>
      </w:r>
      <w:r w:rsidR="0B9A5A90" w:rsidRPr="11C72CA7">
        <w:rPr>
          <w:lang w:val="en-US"/>
        </w:rPr>
        <w:t xml:space="preserve"> </w:t>
      </w:r>
      <w:r w:rsidR="254625C9" w:rsidRPr="11C72CA7">
        <w:rPr>
          <w:lang w:val="en-US"/>
        </w:rPr>
        <w:t xml:space="preserve">level in mind. </w:t>
      </w:r>
      <w:r w:rsidR="00687B2E">
        <w:rPr>
          <w:lang w:val="en-US"/>
        </w:rPr>
        <w:t xml:space="preserve">In contrast to the strategic level of planning, the project level includes only aspects of planning with physical implications. </w:t>
      </w:r>
      <w:r w:rsidR="254625C9" w:rsidRPr="11C72CA7">
        <w:rPr>
          <w:lang w:val="en-US"/>
        </w:rPr>
        <w:t xml:space="preserve">For this reason, the 169 targets were </w:t>
      </w:r>
      <w:r w:rsidR="00D50497" w:rsidRPr="11C72CA7">
        <w:rPr>
          <w:lang w:val="en-US"/>
        </w:rPr>
        <w:t>reviewed in order to determine the ones applicable to project-level implementation, and thus</w:t>
      </w:r>
      <w:r w:rsidR="004641E5">
        <w:rPr>
          <w:lang w:val="en-US"/>
        </w:rPr>
        <w:t>,</w:t>
      </w:r>
      <w:r w:rsidR="7BB2575E" w:rsidRPr="11C72CA7">
        <w:rPr>
          <w:lang w:val="en-US"/>
        </w:rPr>
        <w:t xml:space="preserve"> </w:t>
      </w:r>
      <w:r w:rsidR="00D50497" w:rsidRPr="11C72CA7">
        <w:rPr>
          <w:lang w:val="en-US"/>
        </w:rPr>
        <w:t xml:space="preserve">relevant for the EIA procedure. </w:t>
      </w:r>
      <w:r w:rsidR="2290855F" w:rsidRPr="11C72CA7">
        <w:rPr>
          <w:lang w:val="en-US"/>
        </w:rPr>
        <w:t xml:space="preserve">This exercise entailed </w:t>
      </w:r>
      <w:r w:rsidR="78A3F6B9" w:rsidRPr="11C72CA7">
        <w:rPr>
          <w:lang w:val="en-US"/>
        </w:rPr>
        <w:t>eliminating those targets</w:t>
      </w:r>
      <w:r w:rsidR="09CCD159" w:rsidRPr="11C72CA7">
        <w:rPr>
          <w:lang w:val="en-US"/>
        </w:rPr>
        <w:t xml:space="preserve"> </w:t>
      </w:r>
      <w:r w:rsidR="12CB3B2E" w:rsidRPr="11C72CA7">
        <w:rPr>
          <w:lang w:val="en-US"/>
        </w:rPr>
        <w:t xml:space="preserve">not applicable to the </w:t>
      </w:r>
      <w:r w:rsidR="31907719" w:rsidRPr="72BA20B5">
        <w:rPr>
          <w:lang w:val="en-US"/>
        </w:rPr>
        <w:t>project level</w:t>
      </w:r>
      <w:r w:rsidR="12CB3B2E" w:rsidRPr="11C72CA7">
        <w:rPr>
          <w:lang w:val="en-US"/>
        </w:rPr>
        <w:t xml:space="preserve"> given the following </w:t>
      </w:r>
      <w:r w:rsidR="465B2808" w:rsidRPr="72BA20B5">
        <w:rPr>
          <w:lang w:val="en-US"/>
        </w:rPr>
        <w:t xml:space="preserve">elimination </w:t>
      </w:r>
      <w:r w:rsidR="12CB3B2E" w:rsidRPr="11C72CA7">
        <w:rPr>
          <w:lang w:val="en-US"/>
        </w:rPr>
        <w:t xml:space="preserve">criteria: </w:t>
      </w:r>
    </w:p>
    <w:p w14:paraId="4CBBF956" w14:textId="77777777" w:rsidR="00D50497" w:rsidRDefault="00D50497" w:rsidP="00B744A5">
      <w:pPr>
        <w:jc w:val="both"/>
        <w:rPr>
          <w:lang w:val="en-US"/>
        </w:rPr>
      </w:pPr>
    </w:p>
    <w:p w14:paraId="6259330E" w14:textId="0287AE74" w:rsidR="00D50497" w:rsidRDefault="00D50497" w:rsidP="35D71C16">
      <w:pPr>
        <w:pStyle w:val="Listeafsnit"/>
        <w:numPr>
          <w:ilvl w:val="0"/>
          <w:numId w:val="2"/>
        </w:numPr>
        <w:jc w:val="both"/>
        <w:rPr>
          <w:rFonts w:eastAsiaTheme="minorEastAsia"/>
          <w:lang w:val="en-US"/>
        </w:rPr>
      </w:pPr>
      <w:r w:rsidRPr="35D71C16">
        <w:rPr>
          <w:lang w:val="en-US"/>
        </w:rPr>
        <w:t xml:space="preserve">Targets </w:t>
      </w:r>
      <w:r w:rsidR="486DC902" w:rsidRPr="72BA20B5">
        <w:rPr>
          <w:lang w:val="en-US"/>
        </w:rPr>
        <w:t>requiring st</w:t>
      </w:r>
      <w:r w:rsidR="7FE8D5A3" w:rsidRPr="72BA20B5">
        <w:rPr>
          <w:lang w:val="en-US"/>
        </w:rPr>
        <w:t>ra</w:t>
      </w:r>
      <w:r w:rsidR="486DC902" w:rsidRPr="72BA20B5">
        <w:rPr>
          <w:lang w:val="en-US"/>
        </w:rPr>
        <w:t>tegic action within</w:t>
      </w:r>
      <w:r w:rsidR="4DFEB6DE" w:rsidRPr="35D71C16">
        <w:rPr>
          <w:lang w:val="en-US"/>
        </w:rPr>
        <w:t xml:space="preserve"> </w:t>
      </w:r>
      <w:r w:rsidR="647BE85E" w:rsidRPr="35D71C16">
        <w:rPr>
          <w:lang w:val="en-US"/>
        </w:rPr>
        <w:t>national systems were eliminated.</w:t>
      </w:r>
      <w:r w:rsidR="59FE0B6A" w:rsidRPr="35D71C16">
        <w:rPr>
          <w:lang w:val="en-US"/>
        </w:rPr>
        <w:t xml:space="preserve"> </w:t>
      </w:r>
      <w:r w:rsidR="003243F7">
        <w:rPr>
          <w:lang w:val="en-US"/>
        </w:rPr>
        <w:t>This refer</w:t>
      </w:r>
      <w:r w:rsidR="009D24CE">
        <w:rPr>
          <w:lang w:val="en-US"/>
        </w:rPr>
        <w:t>red</w:t>
      </w:r>
      <w:r w:rsidR="003243F7">
        <w:rPr>
          <w:lang w:val="en-US"/>
        </w:rPr>
        <w:t xml:space="preserve"> to those targets i</w:t>
      </w:r>
      <w:r w:rsidR="00121D4B">
        <w:rPr>
          <w:lang w:val="en-US"/>
        </w:rPr>
        <w:t>mplying that strategic resources, such as plans and policies</w:t>
      </w:r>
      <w:r w:rsidR="009D24CE">
        <w:rPr>
          <w:lang w:val="en-US"/>
        </w:rPr>
        <w:t xml:space="preserve">, must be implemented for fulfillment of the goals. </w:t>
      </w:r>
      <w:r w:rsidR="59FE0B6A" w:rsidRPr="35D71C16">
        <w:rPr>
          <w:lang w:val="en-US"/>
        </w:rPr>
        <w:t>This include</w:t>
      </w:r>
      <w:r w:rsidR="394BD03C" w:rsidRPr="35D71C16">
        <w:rPr>
          <w:lang w:val="en-US"/>
        </w:rPr>
        <w:t>d</w:t>
      </w:r>
      <w:r w:rsidR="59FE0B6A" w:rsidRPr="35D71C16">
        <w:rPr>
          <w:lang w:val="en-US"/>
        </w:rPr>
        <w:t xml:space="preserve">, but </w:t>
      </w:r>
      <w:r w:rsidR="569E811B" w:rsidRPr="35D71C16">
        <w:rPr>
          <w:lang w:val="en-US"/>
        </w:rPr>
        <w:t>was</w:t>
      </w:r>
      <w:r w:rsidR="59FE0B6A" w:rsidRPr="35D71C16">
        <w:rPr>
          <w:lang w:val="en-US"/>
        </w:rPr>
        <w:t xml:space="preserve"> not limited to, targets defined by a letter (i.e. targets </w:t>
      </w:r>
      <w:proofErr w:type="spellStart"/>
      <w:r w:rsidR="59FE0B6A" w:rsidRPr="35D71C16">
        <w:rPr>
          <w:lang w:val="en-US"/>
        </w:rPr>
        <w:t>X.a</w:t>
      </w:r>
      <w:proofErr w:type="spellEnd"/>
      <w:r w:rsidR="59FE0B6A" w:rsidRPr="35D71C16">
        <w:rPr>
          <w:lang w:val="en-US"/>
        </w:rPr>
        <w:t xml:space="preserve">, </w:t>
      </w:r>
      <w:proofErr w:type="spellStart"/>
      <w:r w:rsidR="59FE0B6A" w:rsidRPr="35D71C16">
        <w:rPr>
          <w:lang w:val="en-US"/>
        </w:rPr>
        <w:t>X.b</w:t>
      </w:r>
      <w:proofErr w:type="spellEnd"/>
      <w:r w:rsidR="59FE0B6A" w:rsidRPr="35D71C16">
        <w:rPr>
          <w:lang w:val="en-US"/>
        </w:rPr>
        <w:t>, etc.)</w:t>
      </w:r>
      <w:r w:rsidR="009D24CE">
        <w:rPr>
          <w:lang w:val="en-US"/>
        </w:rPr>
        <w:t>.</w:t>
      </w:r>
    </w:p>
    <w:p w14:paraId="13087F9F" w14:textId="2A3C3FC8" w:rsidR="00D50497" w:rsidRDefault="00D50497" w:rsidP="00B744A5">
      <w:pPr>
        <w:pStyle w:val="Listeafsnit"/>
        <w:numPr>
          <w:ilvl w:val="0"/>
          <w:numId w:val="2"/>
        </w:numPr>
        <w:jc w:val="both"/>
        <w:rPr>
          <w:lang w:val="en-US"/>
        </w:rPr>
      </w:pPr>
      <w:r w:rsidRPr="3C6FEB91">
        <w:rPr>
          <w:lang w:val="en-US"/>
        </w:rPr>
        <w:t xml:space="preserve">Targets </w:t>
      </w:r>
      <w:r w:rsidR="5359B193" w:rsidRPr="3C6FEB91">
        <w:rPr>
          <w:lang w:val="en-US"/>
        </w:rPr>
        <w:t xml:space="preserve">not </w:t>
      </w:r>
      <w:r w:rsidRPr="3C6FEB91">
        <w:rPr>
          <w:lang w:val="en-US"/>
        </w:rPr>
        <w:t>applicable to a Danish context</w:t>
      </w:r>
      <w:r w:rsidR="37DF6847" w:rsidRPr="3C6FEB91">
        <w:rPr>
          <w:lang w:val="en-US"/>
        </w:rPr>
        <w:t xml:space="preserve"> were eliminated</w:t>
      </w:r>
      <w:r w:rsidR="0E260E1F" w:rsidRPr="3C6FEB91">
        <w:rPr>
          <w:lang w:val="en-US"/>
        </w:rPr>
        <w:t>.</w:t>
      </w:r>
      <w:r w:rsidR="0888B1BA" w:rsidRPr="3C6FEB91">
        <w:rPr>
          <w:lang w:val="en-US"/>
        </w:rPr>
        <w:t xml:space="preserve"> This </w:t>
      </w:r>
      <w:r w:rsidR="4BFFE213" w:rsidRPr="3C6FEB91">
        <w:rPr>
          <w:lang w:val="en-US"/>
        </w:rPr>
        <w:t>included geographic limitations, such as targets entailing mountain ecosystems</w:t>
      </w:r>
      <w:r w:rsidR="5BA88D2F" w:rsidRPr="3C6FEB91">
        <w:rPr>
          <w:lang w:val="en-US"/>
        </w:rPr>
        <w:t xml:space="preserve">, </w:t>
      </w:r>
      <w:r w:rsidR="000F214E">
        <w:rPr>
          <w:lang w:val="en-US"/>
        </w:rPr>
        <w:t xml:space="preserve">targets </w:t>
      </w:r>
      <w:r w:rsidR="003B6CB8">
        <w:rPr>
          <w:lang w:val="en-US"/>
        </w:rPr>
        <w:t xml:space="preserve">aimed at developing countries, </w:t>
      </w:r>
      <w:r w:rsidR="5BA88D2F" w:rsidRPr="3C6FEB91">
        <w:rPr>
          <w:lang w:val="en-US"/>
        </w:rPr>
        <w:t xml:space="preserve">as well as </w:t>
      </w:r>
      <w:r w:rsidR="5BA88D2F" w:rsidRPr="3C6FEB91">
        <w:rPr>
          <w:lang w:val="en-US"/>
        </w:rPr>
        <w:lastRenderedPageBreak/>
        <w:t xml:space="preserve">health-related targets aiming to reduce mortality of various population groups to a level already </w:t>
      </w:r>
      <w:r w:rsidR="11ADA824" w:rsidRPr="3C6FEB91">
        <w:rPr>
          <w:lang w:val="en-US"/>
        </w:rPr>
        <w:t xml:space="preserve">reached </w:t>
      </w:r>
      <w:r w:rsidR="5BA88D2F" w:rsidRPr="3C6FEB91">
        <w:rPr>
          <w:lang w:val="en-US"/>
        </w:rPr>
        <w:t xml:space="preserve">in Denmark. </w:t>
      </w:r>
    </w:p>
    <w:p w14:paraId="22943E32" w14:textId="7A011DF1" w:rsidR="00AE0EA8" w:rsidRDefault="46AE869A" w:rsidP="00AE0EA8">
      <w:pPr>
        <w:pStyle w:val="Listeafsnit"/>
        <w:numPr>
          <w:ilvl w:val="0"/>
          <w:numId w:val="2"/>
        </w:numPr>
        <w:jc w:val="both"/>
        <w:rPr>
          <w:lang w:val="en-US"/>
        </w:rPr>
      </w:pPr>
      <w:r w:rsidRPr="72BA20B5">
        <w:rPr>
          <w:lang w:val="en-US"/>
        </w:rPr>
        <w:t>Targets referring t</w:t>
      </w:r>
      <w:r w:rsidR="000A3F0C">
        <w:rPr>
          <w:lang w:val="en-US"/>
        </w:rPr>
        <w:t xml:space="preserve">o </w:t>
      </w:r>
      <w:r w:rsidR="00264BF5">
        <w:rPr>
          <w:lang w:val="en-US"/>
        </w:rPr>
        <w:t xml:space="preserve">company operations </w:t>
      </w:r>
      <w:r w:rsidR="001D76E5" w:rsidRPr="00AE0EA8">
        <w:rPr>
          <w:lang w:val="en-US"/>
        </w:rPr>
        <w:t>without physical implications</w:t>
      </w:r>
      <w:r w:rsidR="00264BF5" w:rsidRPr="00AE0EA8">
        <w:rPr>
          <w:lang w:val="en-US"/>
        </w:rPr>
        <w:t xml:space="preserve"> </w:t>
      </w:r>
      <w:r w:rsidR="00264BF5">
        <w:rPr>
          <w:lang w:val="en-US"/>
        </w:rPr>
        <w:t>were eliminated.</w:t>
      </w:r>
    </w:p>
    <w:p w14:paraId="699794A3" w14:textId="77777777" w:rsidR="00D50497" w:rsidRDefault="00D50497" w:rsidP="00A77C4C">
      <w:pPr>
        <w:pStyle w:val="Listeafsnit"/>
        <w:rPr>
          <w:lang w:val="en-US"/>
        </w:rPr>
      </w:pPr>
    </w:p>
    <w:p w14:paraId="1787BD37" w14:textId="7AC8E497" w:rsidR="00D50497" w:rsidRPr="00A86E3C" w:rsidRDefault="00D50497" w:rsidP="35D71C16">
      <w:pPr>
        <w:jc w:val="both"/>
        <w:rPr>
          <w:lang w:val="en-US"/>
        </w:rPr>
      </w:pPr>
      <w:r w:rsidRPr="3C6FEB91">
        <w:rPr>
          <w:lang w:val="en-US"/>
        </w:rPr>
        <w:t xml:space="preserve">The selection was first performed by </w:t>
      </w:r>
      <w:r w:rsidR="006A310A" w:rsidRPr="3C6FEB91">
        <w:rPr>
          <w:lang w:val="en-US"/>
        </w:rPr>
        <w:t xml:space="preserve">the first author of this article </w:t>
      </w:r>
      <w:r w:rsidRPr="3C6FEB91">
        <w:rPr>
          <w:lang w:val="en-US"/>
        </w:rPr>
        <w:t xml:space="preserve">in cooperation with </w:t>
      </w:r>
      <w:r w:rsidR="008043A2" w:rsidRPr="3C6FEB91">
        <w:rPr>
          <w:lang w:val="en-US"/>
        </w:rPr>
        <w:t xml:space="preserve">highly experienced </w:t>
      </w:r>
      <w:r w:rsidRPr="3C6FEB91">
        <w:rPr>
          <w:lang w:val="en-US"/>
        </w:rPr>
        <w:t xml:space="preserve">EIA consultants based upon the internal EIA procedure and an understanding of the EIA as gained through the selected EIA reports. </w:t>
      </w:r>
      <w:r w:rsidR="355920DD" w:rsidRPr="3C6FEB91">
        <w:rPr>
          <w:lang w:val="en-US"/>
        </w:rPr>
        <w:t xml:space="preserve">However, this also means that </w:t>
      </w:r>
      <w:r w:rsidR="00CA5B2A">
        <w:rPr>
          <w:lang w:val="en-US"/>
        </w:rPr>
        <w:t>those targets considered</w:t>
      </w:r>
      <w:r w:rsidR="005F652F">
        <w:rPr>
          <w:lang w:val="en-US"/>
        </w:rPr>
        <w:t xml:space="preserve"> relevant</w:t>
      </w:r>
      <w:r w:rsidR="355920DD" w:rsidRPr="3C6FEB91">
        <w:rPr>
          <w:lang w:val="en-US"/>
        </w:rPr>
        <w:t xml:space="preserve"> </w:t>
      </w:r>
      <w:r w:rsidR="00CA5B2A">
        <w:rPr>
          <w:lang w:val="en-US"/>
        </w:rPr>
        <w:t>are</w:t>
      </w:r>
      <w:r w:rsidR="0627FF73" w:rsidRPr="3C6FEB91">
        <w:rPr>
          <w:lang w:val="en-US"/>
        </w:rPr>
        <w:t xml:space="preserve"> </w:t>
      </w:r>
      <w:r w:rsidR="00356E73">
        <w:rPr>
          <w:lang w:val="en-US"/>
        </w:rPr>
        <w:t>influenced</w:t>
      </w:r>
      <w:r w:rsidR="1425FBD0" w:rsidRPr="3C6FEB91">
        <w:rPr>
          <w:lang w:val="en-US"/>
        </w:rPr>
        <w:t xml:space="preserve"> by</w:t>
      </w:r>
      <w:r w:rsidR="23252413" w:rsidRPr="3C6FEB91">
        <w:rPr>
          <w:lang w:val="en-US"/>
        </w:rPr>
        <w:t xml:space="preserve"> </w:t>
      </w:r>
      <w:r w:rsidR="00356E73">
        <w:rPr>
          <w:lang w:val="en-US"/>
        </w:rPr>
        <w:t>how the criteria is interpreted</w:t>
      </w:r>
      <w:r w:rsidR="00A741CC">
        <w:rPr>
          <w:lang w:val="en-US"/>
        </w:rPr>
        <w:t xml:space="preserve"> and </w:t>
      </w:r>
      <w:r w:rsidR="000F766E">
        <w:rPr>
          <w:lang w:val="en-US"/>
        </w:rPr>
        <w:t>are not conclusive</w:t>
      </w:r>
      <w:r w:rsidR="00424FEE">
        <w:rPr>
          <w:lang w:val="en-US"/>
        </w:rPr>
        <w:t>. Instead, th</w:t>
      </w:r>
      <w:r w:rsidR="00783766">
        <w:rPr>
          <w:lang w:val="en-US"/>
        </w:rPr>
        <w:t>ese targets</w:t>
      </w:r>
      <w:r w:rsidR="00424FEE">
        <w:rPr>
          <w:lang w:val="en-US"/>
        </w:rPr>
        <w:t xml:space="preserve"> should be viewed </w:t>
      </w:r>
      <w:r w:rsidR="159D28BE" w:rsidRPr="3C6FEB91">
        <w:rPr>
          <w:lang w:val="en-US"/>
        </w:rPr>
        <w:t>as a starting point for exploring EA and SDG o</w:t>
      </w:r>
      <w:r w:rsidR="7D79FC1B" w:rsidRPr="3C6FEB91">
        <w:rPr>
          <w:lang w:val="en-US"/>
        </w:rPr>
        <w:t>verlap</w:t>
      </w:r>
      <w:r w:rsidR="00B06AEE">
        <w:rPr>
          <w:lang w:val="en-US"/>
        </w:rPr>
        <w:t xml:space="preserve"> </w:t>
      </w:r>
      <w:r w:rsidR="00783766">
        <w:rPr>
          <w:lang w:val="en-US"/>
        </w:rPr>
        <w:t xml:space="preserve">and as an initial ground for </w:t>
      </w:r>
      <w:r w:rsidR="00E57546">
        <w:rPr>
          <w:lang w:val="en-US"/>
        </w:rPr>
        <w:t xml:space="preserve">identifying those targets </w:t>
      </w:r>
      <w:r w:rsidR="00C81882">
        <w:rPr>
          <w:lang w:val="en-US"/>
        </w:rPr>
        <w:t>not immediately relating to the strategic</w:t>
      </w:r>
      <w:r w:rsidR="000B4F46">
        <w:rPr>
          <w:lang w:val="en-US"/>
        </w:rPr>
        <w:t xml:space="preserve"> </w:t>
      </w:r>
      <w:r w:rsidR="00C81882">
        <w:rPr>
          <w:lang w:val="en-US"/>
        </w:rPr>
        <w:t>level</w:t>
      </w:r>
      <w:r w:rsidR="7D79FC1B" w:rsidRPr="3C6FEB91">
        <w:rPr>
          <w:lang w:val="en-US"/>
        </w:rPr>
        <w:t>.</w:t>
      </w:r>
      <w:r w:rsidR="00553FF1">
        <w:rPr>
          <w:lang w:val="en-US"/>
        </w:rPr>
        <w:t xml:space="preserve"> </w:t>
      </w:r>
      <w:r w:rsidR="00EF0940">
        <w:rPr>
          <w:lang w:val="en-US"/>
        </w:rPr>
        <w:t xml:space="preserve">Adapting some of the eliminated targets to </w:t>
      </w:r>
      <w:r w:rsidR="00DC4EBC">
        <w:rPr>
          <w:lang w:val="en-US"/>
        </w:rPr>
        <w:t xml:space="preserve">make them project-applicable is outside of the scope of this paper. </w:t>
      </w:r>
      <w:r w:rsidR="00A2063D">
        <w:rPr>
          <w:lang w:val="en-US"/>
        </w:rPr>
        <w:t xml:space="preserve">The </w:t>
      </w:r>
      <w:r w:rsidR="00C01647">
        <w:rPr>
          <w:lang w:val="en-US"/>
        </w:rPr>
        <w:t xml:space="preserve">elimination process is </w:t>
      </w:r>
      <w:r w:rsidR="00ED75C7">
        <w:rPr>
          <w:lang w:val="en-US"/>
        </w:rPr>
        <w:t xml:space="preserve">demonstrated in Annex 1, which shows the </w:t>
      </w:r>
      <w:r w:rsidR="001C0E0E">
        <w:rPr>
          <w:lang w:val="en-US"/>
        </w:rPr>
        <w:t xml:space="preserve">elimination </w:t>
      </w:r>
      <w:r w:rsidR="00ED75C7">
        <w:rPr>
          <w:lang w:val="en-US"/>
        </w:rPr>
        <w:t xml:space="preserve">criteria </w:t>
      </w:r>
      <w:r w:rsidR="001C0E0E">
        <w:rPr>
          <w:lang w:val="en-US"/>
        </w:rPr>
        <w:t>applied to the eliminated</w:t>
      </w:r>
      <w:r w:rsidR="00ED75C7">
        <w:rPr>
          <w:lang w:val="en-US"/>
        </w:rPr>
        <w:t xml:space="preserve"> </w:t>
      </w:r>
      <w:r w:rsidR="00D21E00">
        <w:rPr>
          <w:lang w:val="en-US"/>
        </w:rPr>
        <w:t xml:space="preserve">target as well as the </w:t>
      </w:r>
      <w:r w:rsidR="001C0E0E">
        <w:rPr>
          <w:lang w:val="en-US"/>
        </w:rPr>
        <w:t xml:space="preserve">remaining project-level targets. </w:t>
      </w:r>
    </w:p>
    <w:p w14:paraId="7D742FAA" w14:textId="50A3EA1F" w:rsidR="00D50497" w:rsidRPr="00A86E3C" w:rsidRDefault="00D50497" w:rsidP="35D71C16">
      <w:pPr>
        <w:jc w:val="both"/>
        <w:rPr>
          <w:lang w:val="en-US"/>
        </w:rPr>
      </w:pPr>
    </w:p>
    <w:p w14:paraId="41C6FABA" w14:textId="4A2F1EA0" w:rsidR="00D50497" w:rsidRPr="00A86E3C" w:rsidRDefault="0C56134D" w:rsidP="3C6FEB91">
      <w:pPr>
        <w:jc w:val="both"/>
        <w:rPr>
          <w:lang w:val="en-US"/>
        </w:rPr>
      </w:pPr>
      <w:r>
        <w:rPr>
          <w:lang w:val="en-US"/>
        </w:rPr>
        <w:t xml:space="preserve">As a result of the exercise, </w:t>
      </w:r>
      <w:r w:rsidR="005E76BA">
        <w:rPr>
          <w:lang w:val="en-US"/>
        </w:rPr>
        <w:t>41</w:t>
      </w:r>
      <w:r w:rsidR="00D50497">
        <w:rPr>
          <w:lang w:val="en-US"/>
        </w:rPr>
        <w:t xml:space="preserve"> targets </w:t>
      </w:r>
      <w:r w:rsidR="00D50497" w:rsidRPr="3C6FEB91">
        <w:rPr>
          <w:lang w:val="en-US"/>
        </w:rPr>
        <w:t xml:space="preserve">were considered </w:t>
      </w:r>
      <w:r w:rsidR="41116282" w:rsidRPr="3C6FEB91">
        <w:rPr>
          <w:lang w:val="en-US"/>
        </w:rPr>
        <w:t>applicable to the project level</w:t>
      </w:r>
      <w:r w:rsidR="00014CC1">
        <w:rPr>
          <w:lang w:val="en-US"/>
        </w:rPr>
        <w:t>.</w:t>
      </w:r>
      <w:r w:rsidR="00D50497">
        <w:rPr>
          <w:lang w:val="en-US"/>
        </w:rPr>
        <w:t xml:space="preserve"> </w:t>
      </w:r>
      <w:r w:rsidR="00B52979">
        <w:rPr>
          <w:lang w:val="en-US"/>
        </w:rPr>
        <w:t xml:space="preserve">The 41 targets </w:t>
      </w:r>
      <w:r w:rsidR="00280338">
        <w:rPr>
          <w:lang w:val="en-US"/>
        </w:rPr>
        <w:t xml:space="preserve">were </w:t>
      </w:r>
      <w:r w:rsidR="002B3E72">
        <w:rPr>
          <w:lang w:val="en-US"/>
        </w:rPr>
        <w:t xml:space="preserve">reduced down to keywords of topics that concern the SDG target, taken directly from the SDG target description. These keywords can be seen in Annex </w:t>
      </w:r>
      <w:r w:rsidR="003B262B">
        <w:rPr>
          <w:lang w:val="en-US"/>
        </w:rPr>
        <w:t>2</w:t>
      </w:r>
      <w:r w:rsidR="00014CC1">
        <w:rPr>
          <w:lang w:val="en-US"/>
        </w:rPr>
        <w:t>.</w:t>
      </w:r>
      <w:r w:rsidR="005E76BA">
        <w:rPr>
          <w:lang w:val="en-US"/>
        </w:rPr>
        <w:t xml:space="preserve"> </w:t>
      </w:r>
      <w:r w:rsidR="00E7232F">
        <w:rPr>
          <w:lang w:val="en-US"/>
        </w:rPr>
        <w:t xml:space="preserve">It is these </w:t>
      </w:r>
      <w:r w:rsidR="005E76BA">
        <w:rPr>
          <w:lang w:val="en-US"/>
        </w:rPr>
        <w:t>41</w:t>
      </w:r>
      <w:r w:rsidR="00E7232F">
        <w:rPr>
          <w:lang w:val="en-US"/>
        </w:rPr>
        <w:t xml:space="preserve"> targets that </w:t>
      </w:r>
      <w:r w:rsidR="00101A7B">
        <w:rPr>
          <w:lang w:val="en-US"/>
        </w:rPr>
        <w:t xml:space="preserve">were </w:t>
      </w:r>
      <w:r w:rsidR="00E7232F">
        <w:rPr>
          <w:lang w:val="en-US"/>
        </w:rPr>
        <w:t xml:space="preserve">considered in the following exercises that link SDGs to EIA parameters. </w:t>
      </w:r>
    </w:p>
    <w:p w14:paraId="0EE8AB98" w14:textId="4A80A95C" w:rsidR="00D50497" w:rsidRPr="00A86E3C" w:rsidRDefault="00D50497" w:rsidP="3C6FEB91">
      <w:pPr>
        <w:jc w:val="both"/>
        <w:rPr>
          <w:lang w:val="en-US"/>
        </w:rPr>
      </w:pPr>
    </w:p>
    <w:p w14:paraId="772E243A" w14:textId="66BA003A" w:rsidR="00D50497" w:rsidRPr="00A86E3C" w:rsidRDefault="00E7232F" w:rsidP="35D71C16">
      <w:pPr>
        <w:jc w:val="both"/>
        <w:rPr>
          <w:lang w:val="en-US"/>
        </w:rPr>
      </w:pPr>
      <w:r>
        <w:rPr>
          <w:lang w:val="en-US"/>
        </w:rPr>
        <w:t>Th</w:t>
      </w:r>
      <w:r w:rsidR="2E6189B5">
        <w:rPr>
          <w:lang w:val="en-US"/>
        </w:rPr>
        <w:t>e</w:t>
      </w:r>
      <w:r>
        <w:rPr>
          <w:lang w:val="en-US"/>
        </w:rPr>
        <w:t xml:space="preserve"> exercise </w:t>
      </w:r>
      <w:r w:rsidR="00085D94">
        <w:rPr>
          <w:lang w:val="en-US"/>
        </w:rPr>
        <w:t>identified</w:t>
      </w:r>
      <w:r w:rsidR="00920F43">
        <w:rPr>
          <w:lang w:val="en-US"/>
        </w:rPr>
        <w:t xml:space="preserve"> </w:t>
      </w:r>
      <w:r w:rsidR="00085D94">
        <w:rPr>
          <w:lang w:val="en-US"/>
        </w:rPr>
        <w:t>all</w:t>
      </w:r>
      <w:r w:rsidR="00237D1B">
        <w:rPr>
          <w:lang w:val="en-US"/>
        </w:rPr>
        <w:t xml:space="preserve"> targets from SDGs 5, 10, 16 and 17 to be </w:t>
      </w:r>
      <w:r w:rsidR="00A838A0">
        <w:rPr>
          <w:lang w:val="en-US"/>
        </w:rPr>
        <w:t xml:space="preserve">either </w:t>
      </w:r>
      <w:r w:rsidR="004F6213">
        <w:rPr>
          <w:lang w:val="en-US"/>
        </w:rPr>
        <w:t>more strategic</w:t>
      </w:r>
      <w:r w:rsidR="00A838A0">
        <w:rPr>
          <w:lang w:val="en-US"/>
        </w:rPr>
        <w:t xml:space="preserve"> or not applicable within a Danish context</w:t>
      </w:r>
      <w:r w:rsidR="00E93375">
        <w:rPr>
          <w:lang w:val="en-US"/>
        </w:rPr>
        <w:t xml:space="preserve">, thereby not considering them </w:t>
      </w:r>
      <w:r w:rsidR="002A3613">
        <w:rPr>
          <w:lang w:val="en-US"/>
        </w:rPr>
        <w:t>applicable</w:t>
      </w:r>
      <w:r w:rsidR="00E93375">
        <w:rPr>
          <w:lang w:val="en-US"/>
        </w:rPr>
        <w:t xml:space="preserve"> </w:t>
      </w:r>
      <w:r w:rsidR="002A3613">
        <w:rPr>
          <w:lang w:val="en-US"/>
        </w:rPr>
        <w:t>to</w:t>
      </w:r>
      <w:r>
        <w:rPr>
          <w:lang w:val="en-US"/>
        </w:rPr>
        <w:t xml:space="preserve"> </w:t>
      </w:r>
      <w:r w:rsidR="006A310A">
        <w:rPr>
          <w:lang w:val="en-US"/>
        </w:rPr>
        <w:t xml:space="preserve">Danish </w:t>
      </w:r>
      <w:r>
        <w:rPr>
          <w:lang w:val="en-US"/>
        </w:rPr>
        <w:t>EIA practice</w:t>
      </w:r>
      <w:r w:rsidR="002A3613">
        <w:rPr>
          <w:lang w:val="en-US"/>
        </w:rPr>
        <w:t xml:space="preserve">. </w:t>
      </w:r>
      <w:r w:rsidR="00493661">
        <w:rPr>
          <w:lang w:val="en-US"/>
        </w:rPr>
        <w:t xml:space="preserve">For instance, target 10.3 </w:t>
      </w:r>
      <w:r w:rsidR="00FE009C">
        <w:rPr>
          <w:lang w:val="en-US"/>
        </w:rPr>
        <w:t>“</w:t>
      </w:r>
      <w:r w:rsidR="00FE009C" w:rsidRPr="00FE009C">
        <w:rPr>
          <w:lang w:val="en-US"/>
        </w:rPr>
        <w:t>Ensure equal opportunity and reduce inequalities of outcome, including by eliminating discriminatory laws, policies and practices and promoting appropriate legislation, policies and action in this regard</w:t>
      </w:r>
      <w:r w:rsidR="00FE009C" w:rsidRPr="3C6FEB91">
        <w:rPr>
          <w:i/>
          <w:iCs/>
          <w:lang w:val="en-US"/>
        </w:rPr>
        <w:t>”</w:t>
      </w:r>
      <w:r w:rsidR="00FE009C">
        <w:rPr>
          <w:lang w:val="en-US"/>
        </w:rPr>
        <w:t xml:space="preserve"> </w:t>
      </w:r>
      <w:r w:rsidR="00493661">
        <w:rPr>
          <w:lang w:val="en-US"/>
        </w:rPr>
        <w:t xml:space="preserve">is far more concerned with the role of legislation, which may be more appropriate for strategic planning than project level. </w:t>
      </w:r>
      <w:r w:rsidR="00FE009C">
        <w:rPr>
          <w:lang w:val="en-US"/>
        </w:rPr>
        <w:t>It should be noted that t</w:t>
      </w:r>
      <w:r w:rsidR="00493661">
        <w:rPr>
          <w:lang w:val="en-US"/>
        </w:rPr>
        <w:t>his is a result of the interpretation that was made for this case and should not indicate that these goals cannot be applied to the EIA under different interpretations</w:t>
      </w:r>
      <w:r w:rsidR="00173392">
        <w:rPr>
          <w:lang w:val="en-US"/>
        </w:rPr>
        <w:t xml:space="preserve"> or contexts</w:t>
      </w:r>
      <w:r w:rsidR="00493661">
        <w:rPr>
          <w:lang w:val="en-US"/>
        </w:rPr>
        <w:t>.</w:t>
      </w:r>
      <w:r w:rsidR="00433D15">
        <w:rPr>
          <w:lang w:val="en-US"/>
        </w:rPr>
        <w:t xml:space="preserve"> </w:t>
      </w:r>
      <w:r>
        <w:rPr>
          <w:lang w:val="en-US"/>
        </w:rPr>
        <w:t xml:space="preserve">These </w:t>
      </w:r>
      <w:r w:rsidR="00392622">
        <w:rPr>
          <w:lang w:val="en-US"/>
        </w:rPr>
        <w:t>four</w:t>
      </w:r>
      <w:r>
        <w:rPr>
          <w:lang w:val="en-US"/>
        </w:rPr>
        <w:t xml:space="preserve"> SDGs </w:t>
      </w:r>
      <w:r w:rsidR="00392622">
        <w:rPr>
          <w:lang w:val="en-US"/>
        </w:rPr>
        <w:t>were</w:t>
      </w:r>
      <w:r w:rsidR="00101A7B">
        <w:rPr>
          <w:lang w:val="en-US"/>
        </w:rPr>
        <w:t xml:space="preserve"> </w:t>
      </w:r>
      <w:r>
        <w:rPr>
          <w:lang w:val="en-US"/>
        </w:rPr>
        <w:t>no</w:t>
      </w:r>
      <w:r w:rsidR="005E76BA">
        <w:rPr>
          <w:lang w:val="en-US"/>
        </w:rPr>
        <w:t>t</w:t>
      </w:r>
      <w:r>
        <w:rPr>
          <w:lang w:val="en-US"/>
        </w:rPr>
        <w:t xml:space="preserve"> incorporated in the proceeding exercises and are not considered for expanding EIA scoping practice. Therefore, when considering applicable SDG target links in the remainder of this research, it w</w:t>
      </w:r>
      <w:r w:rsidR="00101A7B">
        <w:rPr>
          <w:lang w:val="en-US"/>
        </w:rPr>
        <w:t xml:space="preserve">as </w:t>
      </w:r>
      <w:r>
        <w:rPr>
          <w:lang w:val="en-US"/>
        </w:rPr>
        <w:t xml:space="preserve">based on the remaining </w:t>
      </w:r>
      <w:r w:rsidR="00392622">
        <w:rPr>
          <w:lang w:val="en-US"/>
        </w:rPr>
        <w:t>thirteen</w:t>
      </w:r>
      <w:r>
        <w:rPr>
          <w:lang w:val="en-US"/>
        </w:rPr>
        <w:t xml:space="preserve"> SDGs </w:t>
      </w:r>
      <w:r w:rsidR="005E76BA">
        <w:rPr>
          <w:lang w:val="en-US"/>
        </w:rPr>
        <w:t xml:space="preserve">and 41 underlying targets </w:t>
      </w:r>
      <w:r w:rsidR="2900D43B">
        <w:rPr>
          <w:lang w:val="en-US"/>
        </w:rPr>
        <w:t>selected through the exercise</w:t>
      </w:r>
      <w:r w:rsidR="005E76BA">
        <w:rPr>
          <w:lang w:val="en-US"/>
        </w:rPr>
        <w:t>.</w:t>
      </w:r>
    </w:p>
    <w:p w14:paraId="4030BE4E" w14:textId="77777777" w:rsidR="00D50497" w:rsidRDefault="00D50497" w:rsidP="00B744A5">
      <w:pPr>
        <w:jc w:val="both"/>
        <w:rPr>
          <w:b/>
          <w:bCs/>
          <w:lang w:val="en-US"/>
        </w:rPr>
      </w:pPr>
    </w:p>
    <w:p w14:paraId="29018C48" w14:textId="77777777" w:rsidR="00265D51" w:rsidRPr="00136597" w:rsidRDefault="00265D51" w:rsidP="00136597">
      <w:pPr>
        <w:pStyle w:val="Overskrift3"/>
        <w:numPr>
          <w:ilvl w:val="0"/>
          <w:numId w:val="0"/>
        </w:numPr>
        <w:ind w:left="720" w:hanging="720"/>
        <w:jc w:val="both"/>
        <w:rPr>
          <w:b/>
          <w:bCs/>
          <w:lang w:val="en-US"/>
        </w:rPr>
      </w:pPr>
      <w:r w:rsidRPr="00136597">
        <w:rPr>
          <w:b/>
          <w:bCs/>
          <w:lang w:val="en-US"/>
        </w:rPr>
        <w:t>Selection of EIA reports</w:t>
      </w:r>
    </w:p>
    <w:p w14:paraId="3B6F66BF" w14:textId="4FC608BB" w:rsidR="00354F1E" w:rsidRDefault="18066F13" w:rsidP="00B744A5">
      <w:pPr>
        <w:jc w:val="both"/>
        <w:rPr>
          <w:lang w:val="en-US"/>
        </w:rPr>
      </w:pPr>
      <w:r w:rsidRPr="2E8ED96F">
        <w:rPr>
          <w:lang w:val="en-US"/>
        </w:rPr>
        <w:t xml:space="preserve">Understanding </w:t>
      </w:r>
      <w:r w:rsidR="007A0E37" w:rsidRPr="2E8ED96F">
        <w:rPr>
          <w:lang w:val="en-US"/>
        </w:rPr>
        <w:t xml:space="preserve">how the current </w:t>
      </w:r>
      <w:r w:rsidR="006A310A" w:rsidRPr="2E8ED96F">
        <w:rPr>
          <w:lang w:val="en-US"/>
        </w:rPr>
        <w:t xml:space="preserve">Danish </w:t>
      </w:r>
      <w:r w:rsidR="007A0E37" w:rsidRPr="2E8ED96F">
        <w:rPr>
          <w:lang w:val="en-US"/>
        </w:rPr>
        <w:t xml:space="preserve">EIA </w:t>
      </w:r>
      <w:r w:rsidR="000F50BD" w:rsidRPr="2E8ED96F">
        <w:rPr>
          <w:lang w:val="en-US"/>
        </w:rPr>
        <w:t>practice</w:t>
      </w:r>
      <w:r w:rsidR="007A0E37" w:rsidRPr="2E8ED96F">
        <w:rPr>
          <w:lang w:val="en-US"/>
        </w:rPr>
        <w:t xml:space="preserve"> corresponds to </w:t>
      </w:r>
      <w:r w:rsidR="00354F1E" w:rsidRPr="2E8ED96F">
        <w:rPr>
          <w:lang w:val="en-US"/>
        </w:rPr>
        <w:t xml:space="preserve">the </w:t>
      </w:r>
      <w:r w:rsidR="000F50BD" w:rsidRPr="2E8ED96F">
        <w:rPr>
          <w:lang w:val="en-US"/>
        </w:rPr>
        <w:t xml:space="preserve">applicable </w:t>
      </w:r>
      <w:r w:rsidR="007A0E37" w:rsidRPr="2E8ED96F">
        <w:rPr>
          <w:lang w:val="en-US"/>
        </w:rPr>
        <w:t>SDG</w:t>
      </w:r>
      <w:r w:rsidR="000F50BD" w:rsidRPr="2E8ED96F">
        <w:rPr>
          <w:lang w:val="en-US"/>
        </w:rPr>
        <w:t xml:space="preserve"> targets</w:t>
      </w:r>
      <w:r w:rsidR="63823BA3" w:rsidRPr="2E8ED96F">
        <w:rPr>
          <w:lang w:val="en-US"/>
        </w:rPr>
        <w:t xml:space="preserve"> required consulting</w:t>
      </w:r>
      <w:r w:rsidR="007A0E37" w:rsidRPr="2E8ED96F">
        <w:rPr>
          <w:lang w:val="en-US"/>
        </w:rPr>
        <w:t xml:space="preserve"> a</w:t>
      </w:r>
      <w:r w:rsidR="009B0E70">
        <w:rPr>
          <w:lang w:val="en-US"/>
        </w:rPr>
        <w:t xml:space="preserve">n </w:t>
      </w:r>
      <w:r w:rsidR="007A0E37" w:rsidRPr="2E8ED96F">
        <w:rPr>
          <w:lang w:val="en-US"/>
        </w:rPr>
        <w:t>EIA procedure</w:t>
      </w:r>
      <w:r w:rsidR="005316A2" w:rsidRPr="00A77C4C">
        <w:rPr>
          <w:lang w:val="en-US"/>
        </w:rPr>
        <w:t xml:space="preserve">. </w:t>
      </w:r>
      <w:r w:rsidR="005316A2">
        <w:rPr>
          <w:lang w:val="en-US"/>
        </w:rPr>
        <w:t xml:space="preserve">In this case, the point of departure has been </w:t>
      </w:r>
      <w:r w:rsidR="00781081">
        <w:rPr>
          <w:lang w:val="en-US"/>
        </w:rPr>
        <w:t xml:space="preserve">a procedure from a large consultancy company, producing a significant number </w:t>
      </w:r>
      <w:r w:rsidR="00E12F67">
        <w:rPr>
          <w:lang w:val="en-US"/>
        </w:rPr>
        <w:t>of EIA reports in Denmark.</w:t>
      </w:r>
      <w:r w:rsidR="005316A2">
        <w:rPr>
          <w:lang w:val="en-US"/>
        </w:rPr>
        <w:t xml:space="preserve"> </w:t>
      </w:r>
      <w:r w:rsidR="008E60A3">
        <w:rPr>
          <w:lang w:val="en-US"/>
        </w:rPr>
        <w:t xml:space="preserve">The assessment parameters that are </w:t>
      </w:r>
      <w:r w:rsidR="0011761E">
        <w:rPr>
          <w:lang w:val="en-US"/>
        </w:rPr>
        <w:t>considered part of the current</w:t>
      </w:r>
      <w:r w:rsidR="000F50BD" w:rsidRPr="2E8ED96F">
        <w:rPr>
          <w:lang w:val="en-US"/>
        </w:rPr>
        <w:t xml:space="preserve"> scoping procedure</w:t>
      </w:r>
      <w:r w:rsidR="0011761E">
        <w:rPr>
          <w:lang w:val="en-US"/>
        </w:rPr>
        <w:t xml:space="preserve"> take</w:t>
      </w:r>
      <w:r w:rsidR="009D3AE2">
        <w:rPr>
          <w:lang w:val="en-US"/>
        </w:rPr>
        <w:t>s</w:t>
      </w:r>
      <w:r w:rsidR="000F50BD" w:rsidRPr="2E8ED96F">
        <w:rPr>
          <w:lang w:val="en-US"/>
        </w:rPr>
        <w:t xml:space="preserve"> point of departure in the parameters</w:t>
      </w:r>
      <w:r w:rsidR="007808C8" w:rsidRPr="2E8ED96F">
        <w:rPr>
          <w:lang w:val="en-US"/>
        </w:rPr>
        <w:t xml:space="preserve"> as defined by EIA legislation (</w:t>
      </w:r>
      <w:r w:rsidR="009F0892" w:rsidRPr="2E8ED96F">
        <w:rPr>
          <w:lang w:val="en-US"/>
        </w:rPr>
        <w:t>Act</w:t>
      </w:r>
      <w:r w:rsidR="00FB0C88" w:rsidRPr="2E8ED96F">
        <w:rPr>
          <w:lang w:val="en-US"/>
        </w:rPr>
        <w:t xml:space="preserve"> n</w:t>
      </w:r>
      <w:r w:rsidR="009F0892" w:rsidRPr="2E8ED96F">
        <w:rPr>
          <w:lang w:val="en-US"/>
        </w:rPr>
        <w:t>o</w:t>
      </w:r>
      <w:r w:rsidR="00FB0C88" w:rsidRPr="2E8ED96F">
        <w:rPr>
          <w:lang w:val="en-US"/>
        </w:rPr>
        <w:t xml:space="preserve"> </w:t>
      </w:r>
      <w:r w:rsidR="00464FCC" w:rsidRPr="2E8ED96F">
        <w:rPr>
          <w:lang w:val="en-US"/>
        </w:rPr>
        <w:t>973</w:t>
      </w:r>
      <w:r w:rsidR="00FB0C88" w:rsidRPr="2E8ED96F">
        <w:rPr>
          <w:lang w:val="en-US"/>
        </w:rPr>
        <w:t xml:space="preserve"> 20</w:t>
      </w:r>
      <w:r w:rsidR="00464FCC" w:rsidRPr="2E8ED96F">
        <w:rPr>
          <w:lang w:val="en-US"/>
        </w:rPr>
        <w:t>20</w:t>
      </w:r>
      <w:r w:rsidR="007808C8" w:rsidRPr="2E8ED96F">
        <w:rPr>
          <w:lang w:val="en-US"/>
        </w:rPr>
        <w:t>).</w:t>
      </w:r>
      <w:r w:rsidR="00DE00B2" w:rsidRPr="2E8ED96F">
        <w:rPr>
          <w:lang w:val="en-US"/>
        </w:rPr>
        <w:t xml:space="preserve"> </w:t>
      </w:r>
      <w:r w:rsidR="000F50BD" w:rsidRPr="2E8ED96F">
        <w:rPr>
          <w:lang w:val="en-US"/>
        </w:rPr>
        <w:t xml:space="preserve">The </w:t>
      </w:r>
      <w:r w:rsidR="00392622" w:rsidRPr="2E8ED96F">
        <w:rPr>
          <w:lang w:val="en-US"/>
        </w:rPr>
        <w:t>assessment</w:t>
      </w:r>
      <w:r w:rsidR="000F50BD" w:rsidRPr="2E8ED96F">
        <w:rPr>
          <w:lang w:val="en-US"/>
        </w:rPr>
        <w:t xml:space="preserve"> parameters </w:t>
      </w:r>
      <w:r w:rsidR="005E76BA" w:rsidRPr="2E8ED96F">
        <w:rPr>
          <w:lang w:val="en-US"/>
        </w:rPr>
        <w:t xml:space="preserve">are population &amp; human health, biodiversity, soil, water, air &amp; climate, material assets, cultural heritage, landscape </w:t>
      </w:r>
      <w:r w:rsidR="003609A8">
        <w:rPr>
          <w:lang w:val="en-US"/>
        </w:rPr>
        <w:t xml:space="preserve">and </w:t>
      </w:r>
      <w:r w:rsidR="005E76BA" w:rsidRPr="2E8ED96F">
        <w:rPr>
          <w:lang w:val="en-US"/>
        </w:rPr>
        <w:t>resource efficiency</w:t>
      </w:r>
      <w:r w:rsidR="000F50BD" w:rsidRPr="2E8ED96F">
        <w:rPr>
          <w:lang w:val="en-US"/>
        </w:rPr>
        <w:t>.</w:t>
      </w:r>
    </w:p>
    <w:p w14:paraId="3BC576E4" w14:textId="77777777" w:rsidR="00354F1E" w:rsidRDefault="00354F1E" w:rsidP="00B744A5">
      <w:pPr>
        <w:jc w:val="both"/>
        <w:rPr>
          <w:lang w:val="en-US"/>
        </w:rPr>
      </w:pPr>
    </w:p>
    <w:p w14:paraId="216EE9F0" w14:textId="31E6D4F7" w:rsidR="007A0E37" w:rsidRDefault="007A0E37" w:rsidP="00B744A5">
      <w:pPr>
        <w:jc w:val="both"/>
        <w:rPr>
          <w:lang w:val="en-US"/>
        </w:rPr>
      </w:pPr>
      <w:r>
        <w:rPr>
          <w:lang w:val="en-US"/>
        </w:rPr>
        <w:t xml:space="preserve">The empirical data for this process is </w:t>
      </w:r>
      <w:r w:rsidR="007808C8">
        <w:rPr>
          <w:lang w:val="en-US"/>
        </w:rPr>
        <w:t>based on the</w:t>
      </w:r>
      <w:r>
        <w:rPr>
          <w:lang w:val="en-US"/>
        </w:rPr>
        <w:t xml:space="preserve"> investigation of </w:t>
      </w:r>
      <w:r w:rsidR="00FB0C88">
        <w:rPr>
          <w:lang w:val="en-US"/>
        </w:rPr>
        <w:t>five</w:t>
      </w:r>
      <w:r>
        <w:rPr>
          <w:lang w:val="en-US"/>
        </w:rPr>
        <w:t xml:space="preserve"> EIA reports</w:t>
      </w:r>
      <w:r w:rsidR="00DE00B2">
        <w:rPr>
          <w:lang w:val="en-US"/>
        </w:rPr>
        <w:t xml:space="preserve">, which inform the content of the environmental parameters considered within </w:t>
      </w:r>
      <w:r w:rsidR="000A3367">
        <w:rPr>
          <w:lang w:val="en-US"/>
        </w:rPr>
        <w:t>current</w:t>
      </w:r>
      <w:r w:rsidR="00DE00B2">
        <w:rPr>
          <w:lang w:val="en-US"/>
        </w:rPr>
        <w:t xml:space="preserve"> EIA practice</w:t>
      </w:r>
      <w:r>
        <w:rPr>
          <w:lang w:val="en-US"/>
        </w:rPr>
        <w:t>.</w:t>
      </w:r>
      <w:r w:rsidR="00C705E7">
        <w:rPr>
          <w:lang w:val="en-US"/>
        </w:rPr>
        <w:t xml:space="preserve"> </w:t>
      </w:r>
      <w:r w:rsidR="00B81879">
        <w:rPr>
          <w:lang w:val="en-US"/>
        </w:rPr>
        <w:t xml:space="preserve">EIA reports, rather than scoping reports, were consulted in order to understand the types of assessments included in each </w:t>
      </w:r>
      <w:r w:rsidR="00392622">
        <w:rPr>
          <w:lang w:val="en-US"/>
        </w:rPr>
        <w:t>assessment</w:t>
      </w:r>
      <w:r w:rsidR="00B81879">
        <w:rPr>
          <w:lang w:val="en-US"/>
        </w:rPr>
        <w:t xml:space="preserve"> parameter.</w:t>
      </w:r>
      <w:r w:rsidR="007808C8">
        <w:rPr>
          <w:lang w:val="en-US"/>
        </w:rPr>
        <w:t xml:space="preserve"> </w:t>
      </w:r>
      <w:r>
        <w:rPr>
          <w:lang w:val="en-US"/>
        </w:rPr>
        <w:t xml:space="preserve">These reports were selected to cover a diverse array of different project types, in order to gain a broad perspective of how the assessment procedure is conducted, as well as what factors are considered within </w:t>
      </w:r>
      <w:r w:rsidR="00354F1E">
        <w:rPr>
          <w:lang w:val="en-US"/>
        </w:rPr>
        <w:t xml:space="preserve">the EIA </w:t>
      </w:r>
      <w:r w:rsidR="00392622">
        <w:rPr>
          <w:lang w:val="en-US"/>
        </w:rPr>
        <w:t>assessment</w:t>
      </w:r>
      <w:r w:rsidR="00354F1E">
        <w:rPr>
          <w:lang w:val="en-US"/>
        </w:rPr>
        <w:t xml:space="preserve"> parameters</w:t>
      </w:r>
      <w:r>
        <w:rPr>
          <w:lang w:val="en-US"/>
        </w:rPr>
        <w:t>.</w:t>
      </w:r>
      <w:r w:rsidR="00354F1E">
        <w:rPr>
          <w:lang w:val="en-US"/>
        </w:rPr>
        <w:t xml:space="preserve"> The EIA</w:t>
      </w:r>
      <w:r w:rsidR="006C26DD">
        <w:rPr>
          <w:lang w:val="en-US"/>
        </w:rPr>
        <w:t xml:space="preserve"> reports have</w:t>
      </w:r>
      <w:r w:rsidR="00354F1E">
        <w:rPr>
          <w:lang w:val="en-US"/>
        </w:rPr>
        <w:t xml:space="preserve"> been </w:t>
      </w:r>
      <w:r w:rsidR="006C26DD">
        <w:rPr>
          <w:lang w:val="en-US"/>
        </w:rPr>
        <w:t>completed</w:t>
      </w:r>
      <w:r w:rsidR="00354F1E">
        <w:rPr>
          <w:lang w:val="en-US"/>
        </w:rPr>
        <w:t xml:space="preserve"> and the projects are therefore either in the implementation phase or have already been implemented. In order to</w:t>
      </w:r>
      <w:r w:rsidR="006C26DD">
        <w:rPr>
          <w:lang w:val="en-US"/>
        </w:rPr>
        <w:t xml:space="preserve"> ensure recency of </w:t>
      </w:r>
      <w:r w:rsidR="000A3367">
        <w:rPr>
          <w:lang w:val="en-US"/>
        </w:rPr>
        <w:t>the</w:t>
      </w:r>
      <w:r w:rsidR="006C26DD">
        <w:rPr>
          <w:lang w:val="en-US"/>
        </w:rPr>
        <w:t xml:space="preserve"> EIA practice, the projects are published no later than 2015.</w:t>
      </w:r>
      <w:r w:rsidR="00354F1E">
        <w:rPr>
          <w:lang w:val="en-US"/>
        </w:rPr>
        <w:t xml:space="preserve"> </w:t>
      </w:r>
      <w:r w:rsidR="00C705E7">
        <w:rPr>
          <w:lang w:val="en-US"/>
        </w:rPr>
        <w:t xml:space="preserve">It should be noted that the five reports cannot be assumed to be all encompassing of </w:t>
      </w:r>
      <w:r w:rsidR="000A3367">
        <w:rPr>
          <w:lang w:val="en-US"/>
        </w:rPr>
        <w:t xml:space="preserve">current </w:t>
      </w:r>
      <w:r w:rsidR="00C705E7">
        <w:rPr>
          <w:lang w:val="en-US"/>
        </w:rPr>
        <w:t xml:space="preserve">EIA procedure and that the corresponding SDG links could likely differ if referring to other EIA reports and to a larger selection. Therefore, additional research is required to get a more comprehensive and accurate picture of SDG links. The five reports used in this research are </w:t>
      </w:r>
      <w:r w:rsidR="00C705E7">
        <w:rPr>
          <w:lang w:val="en-US"/>
        </w:rPr>
        <w:lastRenderedPageBreak/>
        <w:t xml:space="preserve">nevertheless assumed to display a comprehensive enough array of content and assessment parameters to analyze an initial SDG linking. </w:t>
      </w:r>
      <w:r w:rsidR="00265D51">
        <w:rPr>
          <w:lang w:val="en-US"/>
        </w:rPr>
        <w:t>The projects are as follows:</w:t>
      </w:r>
    </w:p>
    <w:p w14:paraId="37115F40" w14:textId="77777777" w:rsidR="00B81879" w:rsidRDefault="00B81879" w:rsidP="00B744A5">
      <w:pPr>
        <w:jc w:val="both"/>
        <w:rPr>
          <w:lang w:val="en-US"/>
        </w:rPr>
      </w:pPr>
    </w:p>
    <w:p w14:paraId="580F13F2" w14:textId="22C1AA9E" w:rsidR="0034399C" w:rsidRDefault="0034399C" w:rsidP="0034399C">
      <w:pPr>
        <w:pStyle w:val="Listeafsnit"/>
        <w:numPr>
          <w:ilvl w:val="0"/>
          <w:numId w:val="12"/>
        </w:numPr>
        <w:autoSpaceDE w:val="0"/>
        <w:autoSpaceDN w:val="0"/>
        <w:adjustRightInd w:val="0"/>
        <w:rPr>
          <w:lang w:val="en-US"/>
        </w:rPr>
      </w:pPr>
      <w:r w:rsidRPr="00FE009C">
        <w:rPr>
          <w:lang w:val="en-US"/>
        </w:rPr>
        <w:t xml:space="preserve">Skagen </w:t>
      </w:r>
      <w:proofErr w:type="spellStart"/>
      <w:r w:rsidRPr="00FE009C">
        <w:rPr>
          <w:lang w:val="en-US"/>
        </w:rPr>
        <w:t>Havn</w:t>
      </w:r>
      <w:proofErr w:type="spellEnd"/>
      <w:r w:rsidRPr="00FE009C">
        <w:rPr>
          <w:lang w:val="en-US"/>
        </w:rPr>
        <w:t xml:space="preserve">: an expansion of Skagen’s harbor in order to create more space for industry. </w:t>
      </w:r>
    </w:p>
    <w:p w14:paraId="48BF0AAF" w14:textId="6B176B4A" w:rsidR="00E913FE" w:rsidRPr="00E913FE" w:rsidRDefault="00E913FE" w:rsidP="00E913FE">
      <w:pPr>
        <w:pStyle w:val="Listeafsnit"/>
        <w:numPr>
          <w:ilvl w:val="0"/>
          <w:numId w:val="12"/>
        </w:numPr>
        <w:autoSpaceDE w:val="0"/>
        <w:autoSpaceDN w:val="0"/>
        <w:adjustRightInd w:val="0"/>
        <w:rPr>
          <w:lang w:val="en-US"/>
        </w:rPr>
      </w:pPr>
      <w:proofErr w:type="spellStart"/>
      <w:r w:rsidRPr="00FE009C">
        <w:rPr>
          <w:lang w:val="en-US"/>
        </w:rPr>
        <w:t>Firskovvej</w:t>
      </w:r>
      <w:proofErr w:type="spellEnd"/>
      <w:r w:rsidRPr="00FE009C">
        <w:rPr>
          <w:lang w:val="en-US"/>
        </w:rPr>
        <w:t>: a road development project for the extension of a preexisting road</w:t>
      </w:r>
      <w:r w:rsidR="009751AB">
        <w:rPr>
          <w:lang w:val="en-US"/>
        </w:rPr>
        <w:t>.</w:t>
      </w:r>
    </w:p>
    <w:p w14:paraId="610625CD" w14:textId="7C7BD530" w:rsidR="00363C20" w:rsidRDefault="00363C20" w:rsidP="00F643CD">
      <w:pPr>
        <w:pStyle w:val="Listeafsnit"/>
        <w:numPr>
          <w:ilvl w:val="0"/>
          <w:numId w:val="12"/>
        </w:numPr>
        <w:autoSpaceDE w:val="0"/>
        <w:autoSpaceDN w:val="0"/>
        <w:adjustRightInd w:val="0"/>
        <w:rPr>
          <w:lang w:val="en-US"/>
        </w:rPr>
      </w:pPr>
      <w:proofErr w:type="spellStart"/>
      <w:r w:rsidRPr="00FE009C">
        <w:rPr>
          <w:lang w:val="en-US"/>
        </w:rPr>
        <w:t>Vestforbrænding</w:t>
      </w:r>
      <w:proofErr w:type="spellEnd"/>
      <w:r w:rsidRPr="00FE009C">
        <w:rPr>
          <w:lang w:val="en-US"/>
        </w:rPr>
        <w:t>: the development of a new waste management plan for incineration.</w:t>
      </w:r>
    </w:p>
    <w:p w14:paraId="6EC54CB4" w14:textId="512190E3" w:rsidR="00363C20" w:rsidRPr="00FE009C" w:rsidRDefault="00363C20" w:rsidP="00363C20">
      <w:pPr>
        <w:pStyle w:val="Listeafsnit"/>
        <w:numPr>
          <w:ilvl w:val="0"/>
          <w:numId w:val="12"/>
        </w:numPr>
        <w:autoSpaceDE w:val="0"/>
        <w:autoSpaceDN w:val="0"/>
        <w:adjustRightInd w:val="0"/>
        <w:rPr>
          <w:lang w:val="en-US"/>
        </w:rPr>
      </w:pPr>
      <w:r w:rsidRPr="00FE009C">
        <w:rPr>
          <w:lang w:val="en-US"/>
        </w:rPr>
        <w:t>Tuborg Syd: a housing development project</w:t>
      </w:r>
      <w:r w:rsidR="009751AB">
        <w:rPr>
          <w:lang w:val="en-US"/>
        </w:rPr>
        <w:t>.</w:t>
      </w:r>
    </w:p>
    <w:p w14:paraId="7E682F99" w14:textId="635943F4" w:rsidR="00F643CD" w:rsidRPr="00FE009C" w:rsidRDefault="00CC0523" w:rsidP="00F643CD">
      <w:pPr>
        <w:pStyle w:val="Listeafsnit"/>
        <w:numPr>
          <w:ilvl w:val="0"/>
          <w:numId w:val="12"/>
        </w:numPr>
        <w:autoSpaceDE w:val="0"/>
        <w:autoSpaceDN w:val="0"/>
        <w:adjustRightInd w:val="0"/>
        <w:rPr>
          <w:lang w:val="en-US"/>
        </w:rPr>
      </w:pPr>
      <w:proofErr w:type="spellStart"/>
      <w:r w:rsidRPr="00FE009C">
        <w:rPr>
          <w:lang w:val="en-US"/>
        </w:rPr>
        <w:t>Lindø</w:t>
      </w:r>
      <w:proofErr w:type="spellEnd"/>
      <w:r w:rsidRPr="00FE009C">
        <w:rPr>
          <w:lang w:val="en-US"/>
        </w:rPr>
        <w:t xml:space="preserve"> Port of Odense</w:t>
      </w:r>
      <w:r w:rsidR="00830915" w:rsidRPr="00FE009C">
        <w:rPr>
          <w:lang w:val="en-US"/>
        </w:rPr>
        <w:t xml:space="preserve">: an expansion of </w:t>
      </w:r>
      <w:r w:rsidR="00F51996">
        <w:rPr>
          <w:lang w:val="en-US"/>
        </w:rPr>
        <w:t xml:space="preserve">a </w:t>
      </w:r>
      <w:r w:rsidR="007E1BD2">
        <w:rPr>
          <w:lang w:val="en-US"/>
        </w:rPr>
        <w:t>port</w:t>
      </w:r>
      <w:r w:rsidR="00830915" w:rsidRPr="00FE009C">
        <w:rPr>
          <w:lang w:val="en-US"/>
        </w:rPr>
        <w:t xml:space="preserve"> for increased capacity for surface water treatment</w:t>
      </w:r>
      <w:r w:rsidR="009751AB">
        <w:rPr>
          <w:lang w:val="en-US"/>
        </w:rPr>
        <w:t>.</w:t>
      </w:r>
    </w:p>
    <w:p w14:paraId="3E8761A4" w14:textId="0CBF1A46" w:rsidR="00F643CD" w:rsidRPr="00FE009C" w:rsidRDefault="00F643CD" w:rsidP="00363C20">
      <w:pPr>
        <w:pStyle w:val="Listeafsnit"/>
        <w:autoSpaceDE w:val="0"/>
        <w:autoSpaceDN w:val="0"/>
        <w:adjustRightInd w:val="0"/>
        <w:rPr>
          <w:lang w:val="en-US"/>
        </w:rPr>
      </w:pPr>
    </w:p>
    <w:p w14:paraId="3548A49C" w14:textId="77777777" w:rsidR="002A6019" w:rsidRDefault="002A6019" w:rsidP="00B744A5">
      <w:pPr>
        <w:jc w:val="both"/>
        <w:rPr>
          <w:lang w:val="en-US"/>
        </w:rPr>
      </w:pPr>
    </w:p>
    <w:p w14:paraId="3EDFC419" w14:textId="77777777" w:rsidR="002A6019" w:rsidRPr="00136597" w:rsidRDefault="002A6019" w:rsidP="00136597">
      <w:pPr>
        <w:pStyle w:val="Overskrift3"/>
        <w:numPr>
          <w:ilvl w:val="0"/>
          <w:numId w:val="0"/>
        </w:numPr>
        <w:ind w:left="720" w:hanging="720"/>
        <w:jc w:val="both"/>
        <w:rPr>
          <w:b/>
          <w:bCs/>
          <w:lang w:val="en-US"/>
        </w:rPr>
      </w:pPr>
      <w:r w:rsidRPr="00136597">
        <w:rPr>
          <w:b/>
          <w:bCs/>
          <w:lang w:val="en-US"/>
        </w:rPr>
        <w:t xml:space="preserve">Analyzing the EIA reports for </w:t>
      </w:r>
      <w:r w:rsidR="00D50497" w:rsidRPr="00136597">
        <w:rPr>
          <w:b/>
          <w:bCs/>
          <w:lang w:val="en-US"/>
        </w:rPr>
        <w:t>keywords</w:t>
      </w:r>
    </w:p>
    <w:p w14:paraId="0151FB83" w14:textId="12DCC9CF" w:rsidR="002B3E72" w:rsidRDefault="007334ED" w:rsidP="002B3E72">
      <w:pPr>
        <w:jc w:val="both"/>
        <w:rPr>
          <w:lang w:val="en-US"/>
        </w:rPr>
      </w:pPr>
      <w:r>
        <w:rPr>
          <w:lang w:val="en-US"/>
        </w:rPr>
        <w:t xml:space="preserve">Considering the targets that were deemed applicable to EIA project-level assessments, the EIA reports were analyzed in order to identify which targets relate to the </w:t>
      </w:r>
      <w:r w:rsidR="00392622">
        <w:rPr>
          <w:lang w:val="en-US"/>
        </w:rPr>
        <w:t>assessment</w:t>
      </w:r>
      <w:r>
        <w:rPr>
          <w:lang w:val="en-US"/>
        </w:rPr>
        <w:t xml:space="preserve"> parameters described in each report. </w:t>
      </w:r>
      <w:r w:rsidR="00600D5F">
        <w:rPr>
          <w:lang w:val="en-US"/>
        </w:rPr>
        <w:t xml:space="preserve">Initially, keywords relating to the overall parameters (population &amp; </w:t>
      </w:r>
      <w:r w:rsidR="00392622">
        <w:rPr>
          <w:lang w:val="en-US"/>
        </w:rPr>
        <w:t>human</w:t>
      </w:r>
      <w:r w:rsidR="00600D5F">
        <w:rPr>
          <w:lang w:val="en-US"/>
        </w:rPr>
        <w:t xml:space="preserve"> health, biodiversity, etc.) discussed in each report were identified. This was done by creating a comprehensive list of the environmental topics concerned within each </w:t>
      </w:r>
      <w:r w:rsidR="00392622">
        <w:rPr>
          <w:lang w:val="en-US"/>
        </w:rPr>
        <w:t>assessment</w:t>
      </w:r>
      <w:r w:rsidR="00600D5F">
        <w:rPr>
          <w:lang w:val="en-US"/>
        </w:rPr>
        <w:t xml:space="preserve"> parameter in the individual EIA report. This result is presented in</w:t>
      </w:r>
      <w:r w:rsidR="00014CC1">
        <w:rPr>
          <w:lang w:val="en-US"/>
        </w:rPr>
        <w:t xml:space="preserve"> </w:t>
      </w:r>
      <w:r w:rsidR="00014CC1">
        <w:rPr>
          <w:lang w:val="en-US"/>
        </w:rPr>
        <w:fldChar w:fldCharType="begin"/>
      </w:r>
      <w:r w:rsidR="00014CC1">
        <w:rPr>
          <w:lang w:val="en-US"/>
        </w:rPr>
        <w:instrText xml:space="preserve"> REF _Ref51775861 \h </w:instrText>
      </w:r>
      <w:r w:rsidR="00014CC1">
        <w:rPr>
          <w:lang w:val="en-US"/>
        </w:rPr>
      </w:r>
      <w:r w:rsidR="00014CC1">
        <w:rPr>
          <w:lang w:val="en-US"/>
        </w:rPr>
        <w:fldChar w:fldCharType="separate"/>
      </w:r>
      <w:r w:rsidR="00014CC1" w:rsidRPr="00FB0C88">
        <w:rPr>
          <w:lang w:val="en-US"/>
        </w:rPr>
        <w:t>Tab</w:t>
      </w:r>
      <w:r w:rsidR="00014CC1">
        <w:rPr>
          <w:lang w:val="en-US"/>
        </w:rPr>
        <w:t>le</w:t>
      </w:r>
      <w:r w:rsidR="00014CC1" w:rsidRPr="00FB0C88">
        <w:rPr>
          <w:lang w:val="en-US"/>
        </w:rPr>
        <w:t xml:space="preserve"> </w:t>
      </w:r>
      <w:r w:rsidR="00014CC1" w:rsidRPr="00FB0C88">
        <w:rPr>
          <w:noProof/>
          <w:lang w:val="en-US"/>
        </w:rPr>
        <w:t>1</w:t>
      </w:r>
      <w:r w:rsidR="00014CC1">
        <w:rPr>
          <w:lang w:val="en-US"/>
        </w:rPr>
        <w:fldChar w:fldCharType="end"/>
      </w:r>
      <w:r w:rsidR="00600D5F">
        <w:rPr>
          <w:lang w:val="en-US"/>
        </w:rPr>
        <w:t xml:space="preserve">, which shows the keywords for each report and the corresponding </w:t>
      </w:r>
      <w:r w:rsidR="00392622">
        <w:rPr>
          <w:lang w:val="en-US"/>
        </w:rPr>
        <w:t>assessment</w:t>
      </w:r>
      <w:r w:rsidR="00600D5F">
        <w:rPr>
          <w:lang w:val="en-US"/>
        </w:rPr>
        <w:t xml:space="preserve"> parameters. The reports were in Danish and therefore, the coupling was initially performed in this language and later translated.</w:t>
      </w:r>
      <w:r w:rsidR="002B3E72">
        <w:rPr>
          <w:lang w:val="en-US"/>
        </w:rPr>
        <w:t xml:space="preserve"> </w:t>
      </w:r>
    </w:p>
    <w:p w14:paraId="2972BB3D" w14:textId="412A76CE" w:rsidR="007334ED" w:rsidRDefault="007334ED" w:rsidP="00B744A5">
      <w:pPr>
        <w:jc w:val="both"/>
        <w:rPr>
          <w:lang w:val="en-US"/>
        </w:rPr>
      </w:pPr>
    </w:p>
    <w:p w14:paraId="7DE06332" w14:textId="54AE3840" w:rsidR="00B658FF" w:rsidRDefault="002718BE" w:rsidP="00B744A5">
      <w:pPr>
        <w:jc w:val="both"/>
        <w:rPr>
          <w:lang w:val="en-US"/>
        </w:rPr>
      </w:pPr>
      <w:r>
        <w:rPr>
          <w:noProof/>
          <w:lang w:val="en-US"/>
        </w:rPr>
        <w:drawing>
          <wp:inline distT="0" distB="0" distL="0" distR="0" wp14:anchorId="3AB0CD96" wp14:editId="0FA3359E">
            <wp:extent cx="6116320" cy="3422015"/>
            <wp:effectExtent l="0" t="0" r="508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pic:nvPicPr>
                  <pic:blipFill>
                    <a:blip r:embed="rId12">
                      <a:extLst>
                        <a:ext uri="{28A0092B-C50C-407E-A947-70E740481C1C}">
                          <a14:useLocalDpi xmlns:a14="http://schemas.microsoft.com/office/drawing/2010/main" val="0"/>
                        </a:ext>
                      </a:extLst>
                    </a:blip>
                    <a:stretch>
                      <a:fillRect/>
                    </a:stretch>
                  </pic:blipFill>
                  <pic:spPr>
                    <a:xfrm>
                      <a:off x="0" y="0"/>
                      <a:ext cx="6116320" cy="3422015"/>
                    </a:xfrm>
                    <a:prstGeom prst="rect">
                      <a:avLst/>
                    </a:prstGeom>
                  </pic:spPr>
                </pic:pic>
              </a:graphicData>
            </a:graphic>
          </wp:inline>
        </w:drawing>
      </w:r>
    </w:p>
    <w:p w14:paraId="3185E9EE" w14:textId="50952A3C" w:rsidR="006D6A04" w:rsidRDefault="00FB0C88" w:rsidP="00615A3A">
      <w:pPr>
        <w:pStyle w:val="Billedtekst"/>
        <w:keepNext/>
        <w:jc w:val="both"/>
        <w:rPr>
          <w:lang w:val="en-US"/>
        </w:rPr>
      </w:pPr>
      <w:bookmarkStart w:id="0" w:name="_Ref51775861"/>
      <w:bookmarkStart w:id="1" w:name="_Ref50986100"/>
      <w:r w:rsidRPr="00FB0C88">
        <w:rPr>
          <w:lang w:val="en-US"/>
        </w:rPr>
        <w:t>Tab</w:t>
      </w:r>
      <w:r>
        <w:rPr>
          <w:lang w:val="en-US"/>
        </w:rPr>
        <w:t>le</w:t>
      </w:r>
      <w:r w:rsidRPr="00FB0C88">
        <w:rPr>
          <w:lang w:val="en-US"/>
        </w:rPr>
        <w:t xml:space="preserve"> </w:t>
      </w:r>
      <w:r>
        <w:fldChar w:fldCharType="begin"/>
      </w:r>
      <w:r w:rsidRPr="00FB0C88">
        <w:rPr>
          <w:lang w:val="en-US"/>
        </w:rPr>
        <w:instrText xml:space="preserve"> SEQ Tabel \* ARABIC </w:instrText>
      </w:r>
      <w:r>
        <w:fldChar w:fldCharType="separate"/>
      </w:r>
      <w:r w:rsidR="00C705E7">
        <w:rPr>
          <w:noProof/>
          <w:lang w:val="en-US"/>
        </w:rPr>
        <w:t>1</w:t>
      </w:r>
      <w:r>
        <w:fldChar w:fldCharType="end"/>
      </w:r>
      <w:bookmarkEnd w:id="0"/>
      <w:r w:rsidRPr="00FB0C88">
        <w:rPr>
          <w:lang w:val="en-US"/>
        </w:rPr>
        <w:t>: EIA reports analyzed and corresponding keywords</w:t>
      </w:r>
      <w:bookmarkEnd w:id="1"/>
    </w:p>
    <w:p w14:paraId="41ADAC5B" w14:textId="77777777" w:rsidR="006D6A04" w:rsidRDefault="006D6A04" w:rsidP="00B744A5">
      <w:pPr>
        <w:jc w:val="both"/>
        <w:rPr>
          <w:lang w:val="en-US"/>
        </w:rPr>
      </w:pPr>
    </w:p>
    <w:p w14:paraId="3EBA044A" w14:textId="24F513A4" w:rsidR="006D6A04" w:rsidRDefault="00666300" w:rsidP="00BF10A1">
      <w:pPr>
        <w:pStyle w:val="Overskrift2"/>
      </w:pPr>
      <w:r>
        <w:t>Analyzing current overlap</w:t>
      </w:r>
      <w:r w:rsidR="0067282C">
        <w:t>: Direct and indirect links</w:t>
      </w:r>
      <w:r>
        <w:t xml:space="preserve"> between environmental parameters and SDG targets</w:t>
      </w:r>
    </w:p>
    <w:p w14:paraId="01434D93" w14:textId="58755573" w:rsidR="006D6A04" w:rsidRDefault="006D6A04" w:rsidP="00B744A5">
      <w:pPr>
        <w:jc w:val="both"/>
        <w:rPr>
          <w:lang w:val="en-US"/>
        </w:rPr>
      </w:pPr>
      <w:r>
        <w:rPr>
          <w:lang w:val="en-US"/>
        </w:rPr>
        <w:t xml:space="preserve">After the keywords for each individual EIA report </w:t>
      </w:r>
      <w:r w:rsidR="00392622">
        <w:rPr>
          <w:lang w:val="en-US"/>
        </w:rPr>
        <w:t>were</w:t>
      </w:r>
      <w:r>
        <w:rPr>
          <w:lang w:val="en-US"/>
        </w:rPr>
        <w:t xml:space="preserve"> identified, they were grouped according </w:t>
      </w:r>
      <w:r w:rsidR="00073A3E">
        <w:rPr>
          <w:lang w:val="en-US"/>
        </w:rPr>
        <w:t xml:space="preserve">to </w:t>
      </w:r>
      <w:r w:rsidR="00392622">
        <w:rPr>
          <w:lang w:val="en-US"/>
        </w:rPr>
        <w:t>assessment</w:t>
      </w:r>
      <w:r>
        <w:rPr>
          <w:lang w:val="en-US"/>
        </w:rPr>
        <w:t xml:space="preserve"> parameters</w:t>
      </w:r>
      <w:r w:rsidR="0036138F">
        <w:rPr>
          <w:lang w:val="en-US"/>
        </w:rPr>
        <w:t xml:space="preserve"> listed in </w:t>
      </w:r>
      <w:r w:rsidR="007B0C53">
        <w:rPr>
          <w:lang w:val="en-US"/>
        </w:rPr>
        <w:t xml:space="preserve">the </w:t>
      </w:r>
      <w:r w:rsidR="00031967">
        <w:rPr>
          <w:lang w:val="en-US"/>
        </w:rPr>
        <w:t>EIA legislation</w:t>
      </w:r>
      <w:r w:rsidR="00C57521">
        <w:rPr>
          <w:lang w:val="en-US"/>
        </w:rPr>
        <w:t xml:space="preserve"> (</w:t>
      </w:r>
      <w:r w:rsidR="00031967" w:rsidRPr="2E8ED96F">
        <w:rPr>
          <w:lang w:val="en-US"/>
        </w:rPr>
        <w:t>Act no 973 2020)</w:t>
      </w:r>
      <w:r>
        <w:rPr>
          <w:lang w:val="en-US"/>
        </w:rPr>
        <w:t xml:space="preserve">. </w:t>
      </w:r>
      <w:r w:rsidR="00392622">
        <w:rPr>
          <w:lang w:val="en-US"/>
        </w:rPr>
        <w:t xml:space="preserve">A comprehensive list of the keywords corresponding to assessment parameters can be found in </w:t>
      </w:r>
      <w:r w:rsidR="00392622">
        <w:rPr>
          <w:lang w:val="en-US"/>
        </w:rPr>
        <w:fldChar w:fldCharType="begin"/>
      </w:r>
      <w:r w:rsidR="00392622">
        <w:rPr>
          <w:lang w:val="en-US"/>
        </w:rPr>
        <w:instrText xml:space="preserve"> REF _Ref53042842 \r \h </w:instrText>
      </w:r>
      <w:r w:rsidR="00392622">
        <w:rPr>
          <w:lang w:val="en-US"/>
        </w:rPr>
      </w:r>
      <w:r w:rsidR="00392622">
        <w:rPr>
          <w:lang w:val="en-US"/>
        </w:rPr>
        <w:fldChar w:fldCharType="separate"/>
      </w:r>
      <w:r w:rsidR="00392622">
        <w:rPr>
          <w:lang w:val="en-US"/>
        </w:rPr>
        <w:t>6.2</w:t>
      </w:r>
      <w:r w:rsidR="00392622">
        <w:rPr>
          <w:lang w:val="en-US"/>
        </w:rPr>
        <w:fldChar w:fldCharType="end"/>
      </w:r>
      <w:r w:rsidR="00392622">
        <w:rPr>
          <w:lang w:val="en-US"/>
        </w:rPr>
        <w:t xml:space="preserve"> Annex </w:t>
      </w:r>
      <w:r w:rsidR="00470005">
        <w:rPr>
          <w:lang w:val="en-US"/>
        </w:rPr>
        <w:t>3</w:t>
      </w:r>
      <w:r w:rsidR="00392622">
        <w:rPr>
          <w:lang w:val="en-US"/>
        </w:rPr>
        <w:t xml:space="preserve">. </w:t>
      </w:r>
      <w:r w:rsidR="00446FC7">
        <w:rPr>
          <w:lang w:val="en-US"/>
        </w:rPr>
        <w:t>The</w:t>
      </w:r>
      <w:r w:rsidR="0036138F">
        <w:rPr>
          <w:lang w:val="en-US"/>
        </w:rPr>
        <w:t xml:space="preserve"> keywords</w:t>
      </w:r>
      <w:r w:rsidR="00446FC7">
        <w:rPr>
          <w:lang w:val="en-US"/>
        </w:rPr>
        <w:t xml:space="preserve"> </w:t>
      </w:r>
      <w:r w:rsidR="00596DC0">
        <w:rPr>
          <w:lang w:val="en-US"/>
        </w:rPr>
        <w:t>provide an overview of the topics considered within the assessment parameters</w:t>
      </w:r>
      <w:r w:rsidR="00ED5EA9">
        <w:rPr>
          <w:lang w:val="en-US"/>
        </w:rPr>
        <w:t xml:space="preserve">. </w:t>
      </w:r>
      <w:r w:rsidR="005755D2">
        <w:rPr>
          <w:lang w:val="en-US"/>
        </w:rPr>
        <w:t>It is these keywords that were linked</w:t>
      </w:r>
      <w:r>
        <w:rPr>
          <w:lang w:val="en-US"/>
        </w:rPr>
        <w:t xml:space="preserve"> to </w:t>
      </w:r>
      <w:r w:rsidR="001C5D86">
        <w:rPr>
          <w:lang w:val="en-US"/>
        </w:rPr>
        <w:t xml:space="preserve">keywords from the 41 </w:t>
      </w:r>
      <w:r>
        <w:rPr>
          <w:lang w:val="en-US"/>
        </w:rPr>
        <w:t>SDG targets</w:t>
      </w:r>
      <w:r w:rsidR="001C5D86">
        <w:rPr>
          <w:lang w:val="en-US"/>
        </w:rPr>
        <w:t>.</w:t>
      </w:r>
      <w:r>
        <w:rPr>
          <w:lang w:val="en-US"/>
        </w:rPr>
        <w:t xml:space="preserve"> </w:t>
      </w:r>
    </w:p>
    <w:p w14:paraId="0E03A6D8" w14:textId="77777777" w:rsidR="00446FC7" w:rsidRDefault="00446FC7" w:rsidP="00B744A5">
      <w:pPr>
        <w:jc w:val="both"/>
        <w:rPr>
          <w:lang w:val="en-US"/>
        </w:rPr>
      </w:pPr>
    </w:p>
    <w:p w14:paraId="3D2466EA" w14:textId="3F715923" w:rsidR="00446FC7" w:rsidRDefault="00446FC7" w:rsidP="00B744A5">
      <w:pPr>
        <w:jc w:val="both"/>
        <w:rPr>
          <w:lang w:val="en-US"/>
        </w:rPr>
      </w:pPr>
      <w:r>
        <w:rPr>
          <w:lang w:val="en-US"/>
        </w:rPr>
        <w:t xml:space="preserve">The links were made by first identifying direct links between the SDG targets and the keywords identified in the EIA reports. </w:t>
      </w:r>
      <w:r w:rsidR="00662E03">
        <w:rPr>
          <w:lang w:val="en-US"/>
        </w:rPr>
        <w:t xml:space="preserve">The criteria for a direct link </w:t>
      </w:r>
      <w:r w:rsidR="00411C1E">
        <w:rPr>
          <w:lang w:val="en-US"/>
        </w:rPr>
        <w:t xml:space="preserve">was that a keyword from an EIA parameter matched a keyword </w:t>
      </w:r>
      <w:r w:rsidR="00075AA9">
        <w:rPr>
          <w:lang w:val="en-US"/>
        </w:rPr>
        <w:t xml:space="preserve">identified for an SDG target. </w:t>
      </w:r>
      <w:r w:rsidR="001C4049">
        <w:rPr>
          <w:lang w:val="en-US"/>
        </w:rPr>
        <w:t xml:space="preserve">For example, this exercise would link target 3.9 </w:t>
      </w:r>
      <w:r w:rsidR="0036138F">
        <w:rPr>
          <w:lang w:val="en-US"/>
        </w:rPr>
        <w:t xml:space="preserve">“by 2030 </w:t>
      </w:r>
      <w:r w:rsidR="0036138F" w:rsidRPr="0036138F">
        <w:rPr>
          <w:lang w:val="en-US"/>
        </w:rPr>
        <w:t>substantially reduce the number of deaths and illnesses from hazardous chemicals and air, water, and soil pollution and contamination</w:t>
      </w:r>
      <w:r w:rsidR="0036138F">
        <w:rPr>
          <w:lang w:val="en-US"/>
        </w:rPr>
        <w:t xml:space="preserve">” </w:t>
      </w:r>
      <w:r w:rsidR="001C4049">
        <w:rPr>
          <w:lang w:val="en-US"/>
        </w:rPr>
        <w:t xml:space="preserve">directly to </w:t>
      </w:r>
      <w:r w:rsidR="0036138F">
        <w:rPr>
          <w:lang w:val="en-US"/>
        </w:rPr>
        <w:t>p</w:t>
      </w:r>
      <w:r w:rsidR="001C4049">
        <w:rPr>
          <w:lang w:val="en-US"/>
        </w:rPr>
        <w:t xml:space="preserve">opulation &amp; </w:t>
      </w:r>
      <w:r w:rsidR="00392622">
        <w:rPr>
          <w:lang w:val="en-US"/>
        </w:rPr>
        <w:t>human</w:t>
      </w:r>
      <w:r w:rsidR="001C4049">
        <w:rPr>
          <w:lang w:val="en-US"/>
        </w:rPr>
        <w:t xml:space="preserve"> health based on the keyword “</w:t>
      </w:r>
      <w:r w:rsidR="00FE009C">
        <w:rPr>
          <w:lang w:val="en-US"/>
        </w:rPr>
        <w:t>pollution</w:t>
      </w:r>
      <w:r w:rsidR="001C4049">
        <w:rPr>
          <w:lang w:val="en-US"/>
        </w:rPr>
        <w:t xml:space="preserve">” which appears relevant for both the target and the </w:t>
      </w:r>
      <w:r w:rsidR="00392622">
        <w:rPr>
          <w:lang w:val="en-US"/>
        </w:rPr>
        <w:t>assessment</w:t>
      </w:r>
      <w:r w:rsidR="001C4049">
        <w:rPr>
          <w:lang w:val="en-US"/>
        </w:rPr>
        <w:t xml:space="preserve"> parameter. </w:t>
      </w:r>
      <w:r w:rsidR="000F64C7">
        <w:rPr>
          <w:lang w:val="en-US"/>
        </w:rPr>
        <w:t>51</w:t>
      </w:r>
      <w:r w:rsidR="001C4049">
        <w:rPr>
          <w:lang w:val="en-US"/>
        </w:rPr>
        <w:t xml:space="preserve"> direct links </w:t>
      </w:r>
      <w:r w:rsidR="0036138F">
        <w:rPr>
          <w:lang w:val="en-US"/>
        </w:rPr>
        <w:t xml:space="preserve">were identified </w:t>
      </w:r>
      <w:r w:rsidR="001C4049">
        <w:rPr>
          <w:lang w:val="en-US"/>
        </w:rPr>
        <w:t xml:space="preserve">between </w:t>
      </w:r>
      <w:r w:rsidR="00392622">
        <w:rPr>
          <w:lang w:val="en-US"/>
        </w:rPr>
        <w:t>assessment</w:t>
      </w:r>
      <w:r w:rsidR="001C4049">
        <w:rPr>
          <w:lang w:val="en-US"/>
        </w:rPr>
        <w:t xml:space="preserve"> parameters and SDG targets. </w:t>
      </w:r>
    </w:p>
    <w:p w14:paraId="388CF810" w14:textId="77777777" w:rsidR="001C4049" w:rsidRDefault="001C4049" w:rsidP="00B744A5">
      <w:pPr>
        <w:jc w:val="both"/>
        <w:rPr>
          <w:lang w:val="en-US"/>
        </w:rPr>
      </w:pPr>
    </w:p>
    <w:p w14:paraId="58836C08" w14:textId="3CC040E0" w:rsidR="00131158" w:rsidRDefault="001C4049" w:rsidP="00B744A5">
      <w:pPr>
        <w:jc w:val="both"/>
        <w:rPr>
          <w:lang w:val="en-US"/>
        </w:rPr>
      </w:pPr>
      <w:r>
        <w:rPr>
          <w:lang w:val="en-US"/>
        </w:rPr>
        <w:t xml:space="preserve">Due to the fact that the keywords for </w:t>
      </w:r>
      <w:r w:rsidR="00392622">
        <w:rPr>
          <w:lang w:val="en-US"/>
        </w:rPr>
        <w:t>assessment</w:t>
      </w:r>
      <w:r>
        <w:rPr>
          <w:lang w:val="en-US"/>
        </w:rPr>
        <w:t xml:space="preserve"> parameters are based on a limited number of reports, and are subjective with </w:t>
      </w:r>
      <w:r w:rsidR="00392622">
        <w:rPr>
          <w:lang w:val="en-US"/>
        </w:rPr>
        <w:t>varying</w:t>
      </w:r>
      <w:r>
        <w:rPr>
          <w:lang w:val="en-US"/>
        </w:rPr>
        <w:t xml:space="preserve"> interpretations, there are links between SDGs and EIA reports that </w:t>
      </w:r>
      <w:r w:rsidR="00074797">
        <w:rPr>
          <w:lang w:val="en-US"/>
        </w:rPr>
        <w:t>cannot</w:t>
      </w:r>
      <w:r>
        <w:rPr>
          <w:lang w:val="en-US"/>
        </w:rPr>
        <w:t xml:space="preserve"> be made </w:t>
      </w:r>
      <w:r w:rsidR="009642CC">
        <w:rPr>
          <w:lang w:val="en-US"/>
        </w:rPr>
        <w:t>by</w:t>
      </w:r>
      <w:r w:rsidR="00DF19CB">
        <w:rPr>
          <w:lang w:val="en-US"/>
        </w:rPr>
        <w:t xml:space="preserve"> directly</w:t>
      </w:r>
      <w:r>
        <w:rPr>
          <w:lang w:val="en-US"/>
        </w:rPr>
        <w:t xml:space="preserve"> linking keywords</w:t>
      </w:r>
      <w:r w:rsidR="00DF19CB">
        <w:rPr>
          <w:lang w:val="en-US"/>
        </w:rPr>
        <w:t xml:space="preserve">. </w:t>
      </w:r>
      <w:r>
        <w:rPr>
          <w:lang w:val="en-US"/>
        </w:rPr>
        <w:t xml:space="preserve">These links are what in this research </w:t>
      </w:r>
      <w:r w:rsidR="00B45BF2">
        <w:rPr>
          <w:lang w:val="en-US"/>
        </w:rPr>
        <w:t xml:space="preserve">were </w:t>
      </w:r>
      <w:r>
        <w:rPr>
          <w:lang w:val="en-US"/>
        </w:rPr>
        <w:t xml:space="preserve">considered an indirect link, in which a description of the SDG target does not precisely match a keyword for the </w:t>
      </w:r>
      <w:r w:rsidR="00F2532E">
        <w:rPr>
          <w:lang w:val="en-US"/>
        </w:rPr>
        <w:t>assessment</w:t>
      </w:r>
      <w:r>
        <w:rPr>
          <w:lang w:val="en-US"/>
        </w:rPr>
        <w:t xml:space="preserve"> </w:t>
      </w:r>
      <w:r w:rsidR="00E044BF">
        <w:rPr>
          <w:lang w:val="en-US"/>
        </w:rPr>
        <w:t xml:space="preserve">parameter but </w:t>
      </w:r>
      <w:r w:rsidR="00E23836">
        <w:rPr>
          <w:lang w:val="en-US"/>
        </w:rPr>
        <w:t>resemble</w:t>
      </w:r>
      <w:r w:rsidR="007B236D">
        <w:rPr>
          <w:lang w:val="en-US"/>
        </w:rPr>
        <w:t>s</w:t>
      </w:r>
      <w:r>
        <w:rPr>
          <w:lang w:val="en-US"/>
        </w:rPr>
        <w:t xml:space="preserve"> other keywords.</w:t>
      </w:r>
      <w:r w:rsidR="00CC4CE6">
        <w:rPr>
          <w:lang w:val="en-US"/>
        </w:rPr>
        <w:t xml:space="preserve"> </w:t>
      </w:r>
      <w:r w:rsidR="007B236D">
        <w:rPr>
          <w:lang w:val="en-US"/>
        </w:rPr>
        <w:t>This is primarily the case when a</w:t>
      </w:r>
      <w:r w:rsidR="0067553E">
        <w:rPr>
          <w:lang w:val="en-US"/>
        </w:rPr>
        <w:t xml:space="preserve">n SDG-target </w:t>
      </w:r>
      <w:r w:rsidR="007B236D">
        <w:rPr>
          <w:lang w:val="en-US"/>
        </w:rPr>
        <w:t xml:space="preserve">keyword is </w:t>
      </w:r>
      <w:r w:rsidR="00603B45">
        <w:rPr>
          <w:lang w:val="en-US"/>
        </w:rPr>
        <w:t>broad and implies</w:t>
      </w:r>
      <w:r w:rsidR="003C3581">
        <w:rPr>
          <w:lang w:val="en-US"/>
        </w:rPr>
        <w:t xml:space="preserve"> </w:t>
      </w:r>
      <w:r w:rsidR="001925B7">
        <w:rPr>
          <w:lang w:val="en-US"/>
        </w:rPr>
        <w:t xml:space="preserve">underlying activities or topics that </w:t>
      </w:r>
      <w:r w:rsidR="009123D3">
        <w:rPr>
          <w:lang w:val="en-US"/>
        </w:rPr>
        <w:t>link</w:t>
      </w:r>
      <w:r w:rsidR="001925B7">
        <w:rPr>
          <w:lang w:val="en-US"/>
        </w:rPr>
        <w:t xml:space="preserve"> directly to a</w:t>
      </w:r>
      <w:r w:rsidR="0067553E">
        <w:rPr>
          <w:lang w:val="en-US"/>
        </w:rPr>
        <w:t>n assessment parameter</w:t>
      </w:r>
      <w:r w:rsidR="001925B7">
        <w:rPr>
          <w:lang w:val="en-US"/>
        </w:rPr>
        <w:t xml:space="preserve"> keyword, </w:t>
      </w:r>
      <w:r w:rsidR="0067553E">
        <w:rPr>
          <w:lang w:val="en-US"/>
        </w:rPr>
        <w:t>just</w:t>
      </w:r>
      <w:r w:rsidR="001925B7">
        <w:rPr>
          <w:lang w:val="en-US"/>
        </w:rPr>
        <w:t xml:space="preserve"> as</w:t>
      </w:r>
      <w:r w:rsidR="0067553E">
        <w:rPr>
          <w:lang w:val="en-US"/>
        </w:rPr>
        <w:t xml:space="preserve"> </w:t>
      </w:r>
      <w:r w:rsidR="003C3581">
        <w:rPr>
          <w:lang w:val="en-US"/>
        </w:rPr>
        <w:t xml:space="preserve">the </w:t>
      </w:r>
      <w:r w:rsidR="0067553E">
        <w:rPr>
          <w:lang w:val="en-US"/>
        </w:rPr>
        <w:t xml:space="preserve">“infrastructure” in target 9.1 </w:t>
      </w:r>
      <w:r w:rsidR="003C3581">
        <w:rPr>
          <w:lang w:val="en-US"/>
        </w:rPr>
        <w:t>implies a link to</w:t>
      </w:r>
      <w:r w:rsidR="001925B7">
        <w:rPr>
          <w:lang w:val="en-US"/>
        </w:rPr>
        <w:t xml:space="preserve"> </w:t>
      </w:r>
      <w:r w:rsidR="009123D3">
        <w:rPr>
          <w:lang w:val="en-US"/>
        </w:rPr>
        <w:t xml:space="preserve">keywords </w:t>
      </w:r>
      <w:r w:rsidR="00487D8B">
        <w:rPr>
          <w:lang w:val="en-US"/>
        </w:rPr>
        <w:t>“roads” and “traffic” considered under population &amp; human health.</w:t>
      </w:r>
      <w:r w:rsidR="00562A2A">
        <w:rPr>
          <w:lang w:val="en-US"/>
        </w:rPr>
        <w:t xml:space="preserve"> </w:t>
      </w:r>
      <w:r w:rsidR="00CD4605">
        <w:rPr>
          <w:lang w:val="en-US"/>
        </w:rPr>
        <w:t xml:space="preserve">The </w:t>
      </w:r>
      <w:r w:rsidR="0047147E">
        <w:rPr>
          <w:lang w:val="en-US"/>
        </w:rPr>
        <w:t xml:space="preserve">opposite also implies, in which </w:t>
      </w:r>
      <w:r w:rsidR="00C341A7">
        <w:rPr>
          <w:lang w:val="en-US"/>
        </w:rPr>
        <w:t xml:space="preserve">an </w:t>
      </w:r>
      <w:r w:rsidR="005B7965">
        <w:rPr>
          <w:lang w:val="en-US"/>
        </w:rPr>
        <w:t xml:space="preserve">SDG-target keyword is </w:t>
      </w:r>
      <w:r w:rsidR="00A5788D">
        <w:rPr>
          <w:lang w:val="en-US"/>
        </w:rPr>
        <w:t xml:space="preserve">too narrow and is encapsulated under a broader </w:t>
      </w:r>
      <w:r w:rsidR="00906F59">
        <w:rPr>
          <w:lang w:val="en-US"/>
        </w:rPr>
        <w:t xml:space="preserve">assessment parameter keyword, </w:t>
      </w:r>
      <w:r w:rsidR="00ED299B">
        <w:rPr>
          <w:lang w:val="en-US"/>
        </w:rPr>
        <w:t>just</w:t>
      </w:r>
      <w:r w:rsidR="00906F59">
        <w:rPr>
          <w:lang w:val="en-US"/>
        </w:rPr>
        <w:t xml:space="preserve"> as </w:t>
      </w:r>
      <w:r w:rsidR="00FA7A25">
        <w:rPr>
          <w:lang w:val="en-US"/>
        </w:rPr>
        <w:t xml:space="preserve">the </w:t>
      </w:r>
      <w:r w:rsidR="004D2EEA">
        <w:rPr>
          <w:lang w:val="en-US"/>
        </w:rPr>
        <w:t xml:space="preserve">air &amp; climate keyword “emissions” </w:t>
      </w:r>
      <w:r w:rsidR="003210F3">
        <w:rPr>
          <w:lang w:val="en-US"/>
        </w:rPr>
        <w:t xml:space="preserve">implies </w:t>
      </w:r>
      <w:r w:rsidR="008B21FA">
        <w:rPr>
          <w:lang w:val="en-US"/>
        </w:rPr>
        <w:t>“</w:t>
      </w:r>
      <w:r w:rsidR="004E5631">
        <w:rPr>
          <w:lang w:val="en-US"/>
        </w:rPr>
        <w:t xml:space="preserve">clean technologies” </w:t>
      </w:r>
      <w:r w:rsidR="00382194">
        <w:rPr>
          <w:lang w:val="en-US"/>
        </w:rPr>
        <w:t>under target 9.4.</w:t>
      </w:r>
      <w:r w:rsidR="00046DFC">
        <w:rPr>
          <w:lang w:val="en-US"/>
        </w:rPr>
        <w:t xml:space="preserve"> </w:t>
      </w:r>
      <w:r w:rsidR="00E93952">
        <w:rPr>
          <w:lang w:val="en-US"/>
        </w:rPr>
        <w:t>In this way, the indirect links also need</w:t>
      </w:r>
      <w:r w:rsidR="0001749F">
        <w:rPr>
          <w:lang w:val="en-US"/>
        </w:rPr>
        <w:t>ed</w:t>
      </w:r>
      <w:r w:rsidR="00E93952">
        <w:rPr>
          <w:lang w:val="en-US"/>
        </w:rPr>
        <w:t xml:space="preserve"> to account for the </w:t>
      </w:r>
      <w:r w:rsidR="006A3CC6">
        <w:rPr>
          <w:lang w:val="en-US"/>
        </w:rPr>
        <w:t xml:space="preserve">wider context of these </w:t>
      </w:r>
      <w:r w:rsidR="0059271A">
        <w:rPr>
          <w:lang w:val="en-US"/>
        </w:rPr>
        <w:t>broad a</w:t>
      </w:r>
      <w:r w:rsidR="008472BA">
        <w:rPr>
          <w:lang w:val="en-US"/>
        </w:rPr>
        <w:t>nd</w:t>
      </w:r>
      <w:r w:rsidR="0059271A">
        <w:rPr>
          <w:lang w:val="en-US"/>
        </w:rPr>
        <w:t xml:space="preserve"> narrow </w:t>
      </w:r>
      <w:r w:rsidR="00A069EA">
        <w:rPr>
          <w:lang w:val="en-US"/>
        </w:rPr>
        <w:t>keywords</w:t>
      </w:r>
      <w:r w:rsidR="007141D9">
        <w:rPr>
          <w:lang w:val="en-US"/>
        </w:rPr>
        <w:t xml:space="preserve"> so </w:t>
      </w:r>
      <w:r w:rsidR="005B62C1">
        <w:rPr>
          <w:lang w:val="en-US"/>
        </w:rPr>
        <w:t xml:space="preserve">that </w:t>
      </w:r>
      <w:r w:rsidR="002B1DC2">
        <w:rPr>
          <w:lang w:val="en-US"/>
        </w:rPr>
        <w:t xml:space="preserve">unrelated </w:t>
      </w:r>
      <w:r w:rsidR="00044D72">
        <w:rPr>
          <w:lang w:val="en-US"/>
        </w:rPr>
        <w:t xml:space="preserve">links </w:t>
      </w:r>
      <w:r w:rsidR="0001749F">
        <w:rPr>
          <w:lang w:val="en-US"/>
        </w:rPr>
        <w:t>were</w:t>
      </w:r>
      <w:r w:rsidR="00116FBA">
        <w:rPr>
          <w:lang w:val="en-US"/>
        </w:rPr>
        <w:t xml:space="preserve"> </w:t>
      </w:r>
      <w:r w:rsidR="0001749F">
        <w:rPr>
          <w:lang w:val="en-US"/>
        </w:rPr>
        <w:t xml:space="preserve">not </w:t>
      </w:r>
      <w:r w:rsidR="005E6570">
        <w:rPr>
          <w:lang w:val="en-US"/>
        </w:rPr>
        <w:t>established. For instance, the same target 9.4 keyword “clean technologies”</w:t>
      </w:r>
      <w:r w:rsidR="006A3CC6">
        <w:rPr>
          <w:lang w:val="en-US"/>
        </w:rPr>
        <w:t xml:space="preserve"> </w:t>
      </w:r>
      <w:r w:rsidR="005E6570">
        <w:rPr>
          <w:lang w:val="en-US"/>
        </w:rPr>
        <w:t>was not</w:t>
      </w:r>
      <w:r w:rsidR="00384854">
        <w:rPr>
          <w:lang w:val="en-US"/>
        </w:rPr>
        <w:t xml:space="preserve"> linked to </w:t>
      </w:r>
      <w:r w:rsidR="00F91CD3">
        <w:rPr>
          <w:lang w:val="en-US"/>
        </w:rPr>
        <w:t>soil</w:t>
      </w:r>
      <w:r w:rsidR="00ED4351">
        <w:rPr>
          <w:lang w:val="en-US"/>
        </w:rPr>
        <w:t xml:space="preserve">, in which the </w:t>
      </w:r>
      <w:r w:rsidR="00E9057F">
        <w:rPr>
          <w:lang w:val="en-US"/>
        </w:rPr>
        <w:t>keyword “emissions” is also present</w:t>
      </w:r>
      <w:r w:rsidR="005E6570">
        <w:rPr>
          <w:lang w:val="en-US"/>
        </w:rPr>
        <w:t>,</w:t>
      </w:r>
      <w:r w:rsidR="00E9057F">
        <w:rPr>
          <w:lang w:val="en-US"/>
        </w:rPr>
        <w:t xml:space="preserve"> because the </w:t>
      </w:r>
      <w:r w:rsidR="00D117E6">
        <w:rPr>
          <w:lang w:val="en-US"/>
        </w:rPr>
        <w:t xml:space="preserve">“clean technologies” </w:t>
      </w:r>
      <w:r w:rsidR="00CD331C">
        <w:rPr>
          <w:lang w:val="en-US"/>
        </w:rPr>
        <w:t xml:space="preserve">referred to in the SDG target </w:t>
      </w:r>
      <w:r w:rsidR="001C400B">
        <w:rPr>
          <w:lang w:val="en-US"/>
        </w:rPr>
        <w:t>are CO</w:t>
      </w:r>
      <w:r w:rsidR="001C400B" w:rsidRPr="00A77C4C">
        <w:rPr>
          <w:vertAlign w:val="subscript"/>
          <w:lang w:val="en-US"/>
        </w:rPr>
        <w:t>2</w:t>
      </w:r>
      <w:r w:rsidR="001C400B">
        <w:rPr>
          <w:lang w:val="en-US"/>
        </w:rPr>
        <w:t xml:space="preserve"> </w:t>
      </w:r>
      <w:r w:rsidR="007819D8">
        <w:rPr>
          <w:lang w:val="en-US"/>
        </w:rPr>
        <w:t>emissions</w:t>
      </w:r>
      <w:r w:rsidR="00E00C14">
        <w:rPr>
          <w:lang w:val="en-US"/>
        </w:rPr>
        <w:t xml:space="preserve"> (</w:t>
      </w:r>
      <w:r w:rsidR="00556D03">
        <w:rPr>
          <w:lang w:val="en-US"/>
        </w:rPr>
        <w:t>according to the indicator). CO</w:t>
      </w:r>
      <w:r w:rsidR="00556D03" w:rsidRPr="00A77C4C">
        <w:rPr>
          <w:vertAlign w:val="subscript"/>
          <w:lang w:val="en-US"/>
        </w:rPr>
        <w:t>2</w:t>
      </w:r>
      <w:r w:rsidR="00556D03">
        <w:rPr>
          <w:lang w:val="en-US"/>
        </w:rPr>
        <w:t xml:space="preserve"> emissions are in this case determined </w:t>
      </w:r>
      <w:r w:rsidR="00A32921">
        <w:rPr>
          <w:lang w:val="en-US"/>
        </w:rPr>
        <w:t xml:space="preserve">to link </w:t>
      </w:r>
      <w:r w:rsidR="00556D03">
        <w:rPr>
          <w:lang w:val="en-US"/>
        </w:rPr>
        <w:t xml:space="preserve">more </w:t>
      </w:r>
      <w:r w:rsidR="00A32921">
        <w:rPr>
          <w:lang w:val="en-US"/>
        </w:rPr>
        <w:t xml:space="preserve">directly </w:t>
      </w:r>
      <w:r w:rsidR="00556D03">
        <w:rPr>
          <w:lang w:val="en-US"/>
        </w:rPr>
        <w:t xml:space="preserve">to air </w:t>
      </w:r>
      <w:r w:rsidR="00E87A2F">
        <w:rPr>
          <w:lang w:val="en-US"/>
        </w:rPr>
        <w:t xml:space="preserve">&amp; climate than to soil. </w:t>
      </w:r>
    </w:p>
    <w:p w14:paraId="4564927F" w14:textId="77777777" w:rsidR="00F70061" w:rsidRDefault="00F70061" w:rsidP="00B744A5">
      <w:pPr>
        <w:jc w:val="both"/>
        <w:rPr>
          <w:lang w:val="en-US"/>
        </w:rPr>
      </w:pPr>
    </w:p>
    <w:p w14:paraId="13153FE7" w14:textId="3685ACDD" w:rsidR="001C4049" w:rsidRDefault="00D26875" w:rsidP="00B744A5">
      <w:pPr>
        <w:jc w:val="both"/>
        <w:rPr>
          <w:lang w:val="en-US"/>
        </w:rPr>
      </w:pPr>
      <w:r>
        <w:rPr>
          <w:lang w:val="en-US"/>
        </w:rPr>
        <w:t xml:space="preserve">The method for establishing links draws upon interpretation from </w:t>
      </w:r>
      <w:r w:rsidR="009221E2">
        <w:rPr>
          <w:lang w:val="en-US"/>
        </w:rPr>
        <w:t>different</w:t>
      </w:r>
      <w:r>
        <w:rPr>
          <w:lang w:val="en-US"/>
        </w:rPr>
        <w:t xml:space="preserve"> perspectives. R</w:t>
      </w:r>
      <w:r w:rsidR="005906C4">
        <w:rPr>
          <w:lang w:val="en-US"/>
        </w:rPr>
        <w:t>ecognizing that there exist “multiple interpretations of the text” (</w:t>
      </w:r>
      <w:proofErr w:type="spellStart"/>
      <w:r w:rsidR="005906C4">
        <w:rPr>
          <w:lang w:val="en-US"/>
        </w:rPr>
        <w:t>Hawkin</w:t>
      </w:r>
      <w:r w:rsidR="00C25FC9">
        <w:rPr>
          <w:lang w:val="en-US"/>
        </w:rPr>
        <w:t>g</w:t>
      </w:r>
      <w:r w:rsidR="005906C4">
        <w:rPr>
          <w:lang w:val="en-US"/>
        </w:rPr>
        <w:t>s</w:t>
      </w:r>
      <w:proofErr w:type="spellEnd"/>
      <w:r w:rsidR="005906C4">
        <w:rPr>
          <w:lang w:val="en-US"/>
        </w:rPr>
        <w:t xml:space="preserve"> 2018, p. 9), interpret</w:t>
      </w:r>
      <w:r w:rsidR="009901BC">
        <w:rPr>
          <w:lang w:val="en-US"/>
        </w:rPr>
        <w:t>ing links between SDGs and EIA parameters</w:t>
      </w:r>
      <w:r w:rsidR="00107165">
        <w:rPr>
          <w:lang w:val="en-US"/>
        </w:rPr>
        <w:t xml:space="preserve"> </w:t>
      </w:r>
      <w:r w:rsidR="005906C4">
        <w:rPr>
          <w:lang w:val="en-US"/>
        </w:rPr>
        <w:t xml:space="preserve">was </w:t>
      </w:r>
      <w:r w:rsidR="009901BC">
        <w:rPr>
          <w:lang w:val="en-US"/>
        </w:rPr>
        <w:t>performed</w:t>
      </w:r>
      <w:r w:rsidR="005906C4">
        <w:rPr>
          <w:lang w:val="en-US"/>
        </w:rPr>
        <w:t xml:space="preserve"> by a </w:t>
      </w:r>
      <w:r w:rsidR="00F2532E">
        <w:rPr>
          <w:lang w:val="en-US"/>
        </w:rPr>
        <w:t>representative</w:t>
      </w:r>
      <w:r w:rsidR="005906C4">
        <w:rPr>
          <w:lang w:val="en-US"/>
        </w:rPr>
        <w:t xml:space="preserve"> from research and a </w:t>
      </w:r>
      <w:r w:rsidR="00F2532E">
        <w:rPr>
          <w:lang w:val="en-US"/>
        </w:rPr>
        <w:t>representative</w:t>
      </w:r>
      <w:r w:rsidR="005906C4">
        <w:rPr>
          <w:lang w:val="en-US"/>
        </w:rPr>
        <w:t xml:space="preserve"> from practice,</w:t>
      </w:r>
      <w:r w:rsidR="00F2532E">
        <w:rPr>
          <w:lang w:val="en-US"/>
        </w:rPr>
        <w:t xml:space="preserve"> and thereby</w:t>
      </w:r>
      <w:r w:rsidR="005906C4">
        <w:rPr>
          <w:lang w:val="en-US"/>
        </w:rPr>
        <w:t xml:space="preserve"> representing different </w:t>
      </w:r>
      <w:r w:rsidR="009221E2">
        <w:rPr>
          <w:lang w:val="en-US"/>
        </w:rPr>
        <w:t>stakeholders</w:t>
      </w:r>
      <w:r w:rsidR="005906C4">
        <w:rPr>
          <w:lang w:val="en-US"/>
        </w:rPr>
        <w:t xml:space="preserve"> and experiences.</w:t>
      </w:r>
      <w:r w:rsidR="00BF10A1">
        <w:rPr>
          <w:lang w:val="en-US"/>
        </w:rPr>
        <w:t xml:space="preserve"> </w:t>
      </w:r>
      <w:r w:rsidR="009221E2">
        <w:rPr>
          <w:lang w:val="en-US"/>
        </w:rPr>
        <w:t>Through the linking practice, there</w:t>
      </w:r>
      <w:r w:rsidR="00562A2A">
        <w:rPr>
          <w:lang w:val="en-US"/>
        </w:rPr>
        <w:t xml:space="preserve"> were identified </w:t>
      </w:r>
      <w:r w:rsidR="00580ED5">
        <w:rPr>
          <w:lang w:val="en-US"/>
        </w:rPr>
        <w:t>7</w:t>
      </w:r>
      <w:r w:rsidR="00562A2A">
        <w:rPr>
          <w:lang w:val="en-US"/>
        </w:rPr>
        <w:t xml:space="preserve"> indirect links between </w:t>
      </w:r>
      <w:r w:rsidR="00F2532E">
        <w:rPr>
          <w:lang w:val="en-US"/>
        </w:rPr>
        <w:t>assessment</w:t>
      </w:r>
      <w:r w:rsidR="00562A2A">
        <w:rPr>
          <w:lang w:val="en-US"/>
        </w:rPr>
        <w:t xml:space="preserve"> parameters and SDG targets</w:t>
      </w:r>
      <w:r w:rsidR="00766593">
        <w:rPr>
          <w:lang w:val="en-US"/>
        </w:rPr>
        <w:t xml:space="preserve">. </w:t>
      </w:r>
    </w:p>
    <w:p w14:paraId="31413C56" w14:textId="77777777" w:rsidR="00446FC7" w:rsidRDefault="00446FC7" w:rsidP="00B744A5">
      <w:pPr>
        <w:jc w:val="both"/>
        <w:rPr>
          <w:lang w:val="en-US"/>
        </w:rPr>
      </w:pPr>
    </w:p>
    <w:p w14:paraId="2EB48AA8" w14:textId="7A4A8698" w:rsidR="00446FC7" w:rsidRDefault="00446FC7" w:rsidP="00BF10A1">
      <w:pPr>
        <w:pStyle w:val="Overskrift2"/>
      </w:pPr>
      <w:r>
        <w:t>Developing future scoping framework</w:t>
      </w:r>
      <w:r w:rsidR="0067282C">
        <w:t xml:space="preserve">: </w:t>
      </w:r>
      <w:r w:rsidR="00666300">
        <w:t>Unexplored</w:t>
      </w:r>
      <w:r w:rsidR="0067282C">
        <w:t xml:space="preserve"> links</w:t>
      </w:r>
      <w:r w:rsidR="00666300">
        <w:t xml:space="preserve"> between environmental parameters and SDG targets</w:t>
      </w:r>
    </w:p>
    <w:p w14:paraId="71ED5ED0" w14:textId="77777777" w:rsidR="001F2F81" w:rsidRDefault="0067282C" w:rsidP="008254BB">
      <w:pPr>
        <w:jc w:val="both"/>
        <w:rPr>
          <w:lang w:val="en-US"/>
        </w:rPr>
      </w:pPr>
      <w:r>
        <w:rPr>
          <w:lang w:val="en-US"/>
        </w:rPr>
        <w:t>After conducting both direct and indirect links</w:t>
      </w:r>
      <w:r w:rsidR="0036138F">
        <w:rPr>
          <w:lang w:val="en-US"/>
        </w:rPr>
        <w:t xml:space="preserve"> to </w:t>
      </w:r>
      <w:r w:rsidR="00F2532E">
        <w:rPr>
          <w:lang w:val="en-US"/>
        </w:rPr>
        <w:t>assessment</w:t>
      </w:r>
      <w:r w:rsidR="0036138F">
        <w:rPr>
          <w:lang w:val="en-US"/>
        </w:rPr>
        <w:t xml:space="preserve"> parameters of Danish EIA practice</w:t>
      </w:r>
      <w:r>
        <w:rPr>
          <w:lang w:val="en-US"/>
        </w:rPr>
        <w:t xml:space="preserve">, there were </w:t>
      </w:r>
      <w:r w:rsidR="000F64C7">
        <w:rPr>
          <w:lang w:val="en-US"/>
        </w:rPr>
        <w:t>11</w:t>
      </w:r>
      <w:r>
        <w:rPr>
          <w:lang w:val="en-US"/>
        </w:rPr>
        <w:t xml:space="preserve"> applicable SDG targets that were not linked to corresponding </w:t>
      </w:r>
      <w:r w:rsidR="009221E2">
        <w:rPr>
          <w:lang w:val="en-US"/>
        </w:rPr>
        <w:t>assessment</w:t>
      </w:r>
      <w:r>
        <w:rPr>
          <w:lang w:val="en-US"/>
        </w:rPr>
        <w:t xml:space="preserve"> parameters</w:t>
      </w:r>
      <w:r w:rsidR="006C26DD">
        <w:rPr>
          <w:lang w:val="en-US"/>
        </w:rPr>
        <w:t xml:space="preserve"> and </w:t>
      </w:r>
      <w:r w:rsidR="00823AE6">
        <w:rPr>
          <w:lang w:val="en-US"/>
        </w:rPr>
        <w:t xml:space="preserve">are </w:t>
      </w:r>
      <w:r w:rsidR="006C26DD">
        <w:rPr>
          <w:lang w:val="en-US"/>
        </w:rPr>
        <w:t>therefore not</w:t>
      </w:r>
      <w:r w:rsidR="00F2532E">
        <w:rPr>
          <w:lang w:val="en-US"/>
        </w:rPr>
        <w:t xml:space="preserve"> determined to be</w:t>
      </w:r>
      <w:r w:rsidR="006C26DD">
        <w:rPr>
          <w:lang w:val="en-US"/>
        </w:rPr>
        <w:t xml:space="preserve"> preexisting assessment</w:t>
      </w:r>
      <w:r w:rsidR="00837B64">
        <w:rPr>
          <w:lang w:val="en-US"/>
        </w:rPr>
        <w:t>s</w:t>
      </w:r>
      <w:r w:rsidR="006C26DD">
        <w:rPr>
          <w:lang w:val="en-US"/>
        </w:rPr>
        <w:t xml:space="preserve"> in EIA pr</w:t>
      </w:r>
      <w:r w:rsidR="00360901">
        <w:rPr>
          <w:lang w:val="en-US"/>
        </w:rPr>
        <w:t>actice</w:t>
      </w:r>
      <w:r>
        <w:rPr>
          <w:lang w:val="en-US"/>
        </w:rPr>
        <w:t xml:space="preserve">. Here focus was on mapping the </w:t>
      </w:r>
      <w:r w:rsidR="00BD68E8">
        <w:rPr>
          <w:lang w:val="en-US"/>
        </w:rPr>
        <w:t>unexplored</w:t>
      </w:r>
      <w:r>
        <w:rPr>
          <w:lang w:val="en-US"/>
        </w:rPr>
        <w:t xml:space="preserve"> links between SDG </w:t>
      </w:r>
      <w:r w:rsidR="00F2532E">
        <w:rPr>
          <w:lang w:val="en-US"/>
        </w:rPr>
        <w:t xml:space="preserve">targets </w:t>
      </w:r>
      <w:r>
        <w:rPr>
          <w:lang w:val="en-US"/>
        </w:rPr>
        <w:t xml:space="preserve">and the EIA practice in order to </w:t>
      </w:r>
      <w:r w:rsidR="00F2532E">
        <w:rPr>
          <w:lang w:val="en-US"/>
        </w:rPr>
        <w:t>close gaps in current scoping practice and t</w:t>
      </w:r>
      <w:r w:rsidR="00AA000A">
        <w:rPr>
          <w:lang w:val="en-US"/>
        </w:rPr>
        <w:t xml:space="preserve">hereby </w:t>
      </w:r>
      <w:r w:rsidR="00F2532E">
        <w:rPr>
          <w:lang w:val="en-US"/>
        </w:rPr>
        <w:t>integrate</w:t>
      </w:r>
      <w:r w:rsidR="00BD0F0C">
        <w:rPr>
          <w:lang w:val="en-US"/>
        </w:rPr>
        <w:t xml:space="preserve"> a more comprehensive</w:t>
      </w:r>
      <w:r w:rsidR="00F2532E">
        <w:rPr>
          <w:lang w:val="en-US"/>
        </w:rPr>
        <w:t xml:space="preserve"> understanding of </w:t>
      </w:r>
      <w:r>
        <w:rPr>
          <w:lang w:val="en-US"/>
        </w:rPr>
        <w:t>sustainability. Since these SDG targets are ones determined to have neither direct nor indirect links to the existing EIA practice, these links were made based on a</w:t>
      </w:r>
      <w:r w:rsidR="00977B47">
        <w:rPr>
          <w:lang w:val="en-US"/>
        </w:rPr>
        <w:t xml:space="preserve"> qualitative </w:t>
      </w:r>
      <w:r>
        <w:rPr>
          <w:lang w:val="en-US"/>
        </w:rPr>
        <w:t xml:space="preserve">assessment of whether the SDG target, already deemed relevant to project-level assessments, could be relevant for the parameters. </w:t>
      </w:r>
    </w:p>
    <w:p w14:paraId="5C0F015E" w14:textId="77777777" w:rsidR="00574C73" w:rsidRDefault="00574C73" w:rsidP="008254BB">
      <w:pPr>
        <w:jc w:val="both"/>
        <w:rPr>
          <w:lang w:val="en-US"/>
        </w:rPr>
      </w:pPr>
    </w:p>
    <w:p w14:paraId="20D3C67C" w14:textId="3A5B4FBE" w:rsidR="00574C73" w:rsidRDefault="00574C73" w:rsidP="008254BB">
      <w:pPr>
        <w:jc w:val="both"/>
        <w:rPr>
          <w:lang w:val="en-US"/>
        </w:rPr>
        <w:sectPr w:rsidR="00574C73" w:rsidSect="0003205B">
          <w:headerReference w:type="even" r:id="rId13"/>
          <w:headerReference w:type="default" r:id="rId14"/>
          <w:footerReference w:type="even" r:id="rId15"/>
          <w:footerReference w:type="default" r:id="rId16"/>
          <w:headerReference w:type="first" r:id="rId17"/>
          <w:footerReference w:type="first" r:id="rId18"/>
          <w:pgSz w:w="11900" w:h="16840"/>
          <w:pgMar w:top="1701" w:right="1134" w:bottom="1701" w:left="1134" w:header="708" w:footer="708" w:gutter="0"/>
          <w:cols w:space="720"/>
          <w:docGrid w:linePitch="360"/>
        </w:sectPr>
      </w:pPr>
    </w:p>
    <w:p w14:paraId="77723E89" w14:textId="490722CC" w:rsidR="006D6A04" w:rsidRDefault="006D6A04" w:rsidP="00DF3C63">
      <w:pPr>
        <w:pStyle w:val="Overskrift1"/>
        <w:rPr>
          <w:lang w:val="en-US"/>
        </w:rPr>
      </w:pPr>
      <w:r>
        <w:rPr>
          <w:lang w:val="en-US"/>
        </w:rPr>
        <w:t xml:space="preserve">Results: </w:t>
      </w:r>
      <w:r w:rsidRPr="008254BB">
        <w:rPr>
          <w:lang w:val="en-US"/>
        </w:rPr>
        <w:t>Findings</w:t>
      </w:r>
      <w:r>
        <w:rPr>
          <w:lang w:val="en-US"/>
        </w:rPr>
        <w:t xml:space="preserve"> from SDG linking</w:t>
      </w:r>
    </w:p>
    <w:p w14:paraId="2AB64109" w14:textId="77777777" w:rsidR="0066113F" w:rsidRDefault="0066113F" w:rsidP="00B744A5">
      <w:pPr>
        <w:jc w:val="both"/>
        <w:rPr>
          <w:lang w:val="en-US"/>
        </w:rPr>
      </w:pPr>
    </w:p>
    <w:p w14:paraId="74D61683" w14:textId="4A7CA441" w:rsidR="00BB0934" w:rsidRDefault="00BB0934" w:rsidP="00B744A5">
      <w:pPr>
        <w:jc w:val="both"/>
        <w:rPr>
          <w:lang w:val="en-US"/>
        </w:rPr>
        <w:sectPr w:rsidR="00BB0934" w:rsidSect="0003205B">
          <w:type w:val="continuous"/>
          <w:pgSz w:w="11900" w:h="16840"/>
          <w:pgMar w:top="1701" w:right="1134" w:bottom="1701" w:left="1134" w:header="708" w:footer="708" w:gutter="0"/>
          <w:cols w:space="720"/>
          <w:docGrid w:linePitch="360"/>
        </w:sectPr>
      </w:pPr>
    </w:p>
    <w:p w14:paraId="6E9A01CB" w14:textId="5B8B78FF" w:rsidR="00C01366" w:rsidRDefault="00C01366" w:rsidP="00C01366">
      <w:pPr>
        <w:jc w:val="both"/>
        <w:rPr>
          <w:lang w:val="en-US"/>
        </w:rPr>
      </w:pPr>
      <w:r>
        <w:rPr>
          <w:lang w:val="en-US"/>
        </w:rPr>
        <w:t xml:space="preserve">The results first present the direct and indirect links between SDG targets and the </w:t>
      </w:r>
      <w:r w:rsidR="0014510F">
        <w:rPr>
          <w:lang w:val="en-US"/>
        </w:rPr>
        <w:t xml:space="preserve">assessment parameter </w:t>
      </w:r>
      <w:r>
        <w:rPr>
          <w:lang w:val="en-US"/>
        </w:rPr>
        <w:t xml:space="preserve">keywords from </w:t>
      </w:r>
      <w:r w:rsidR="00842095">
        <w:rPr>
          <w:lang w:val="en-US"/>
        </w:rPr>
        <w:t xml:space="preserve">the </w:t>
      </w:r>
      <w:r>
        <w:rPr>
          <w:lang w:val="en-US"/>
        </w:rPr>
        <w:t>EIA reports</w:t>
      </w:r>
      <w:r w:rsidR="000B4FAD">
        <w:rPr>
          <w:lang w:val="en-US"/>
        </w:rPr>
        <w:t>. This is</w:t>
      </w:r>
      <w:r>
        <w:rPr>
          <w:lang w:val="en-US"/>
        </w:rPr>
        <w:t xml:space="preserve"> </w:t>
      </w:r>
      <w:r w:rsidR="000B4FAD">
        <w:rPr>
          <w:lang w:val="en-US"/>
        </w:rPr>
        <w:t>to</w:t>
      </w:r>
      <w:r>
        <w:rPr>
          <w:lang w:val="en-US"/>
        </w:rPr>
        <w:t xml:space="preserve"> provide insight into the current overlap between the SDGs and EIA practice. The second </w:t>
      </w:r>
      <w:r w:rsidR="000A7D10">
        <w:rPr>
          <w:lang w:val="en-US"/>
        </w:rPr>
        <w:t xml:space="preserve">section </w:t>
      </w:r>
      <w:r>
        <w:rPr>
          <w:lang w:val="en-US"/>
        </w:rPr>
        <w:t>of the results focuses on the unexplored links and how these can be used to expand EIA scoping practice.</w:t>
      </w:r>
    </w:p>
    <w:p w14:paraId="6F357FAA" w14:textId="35A569EE" w:rsidR="003C7B6B" w:rsidRDefault="003C7B6B" w:rsidP="00B744A5">
      <w:pPr>
        <w:jc w:val="both"/>
        <w:rPr>
          <w:lang w:val="en-US"/>
        </w:rPr>
      </w:pPr>
    </w:p>
    <w:p w14:paraId="25DD8FD4" w14:textId="74A1E68D" w:rsidR="0036138F" w:rsidRDefault="0036138F" w:rsidP="00BF10A1">
      <w:pPr>
        <w:pStyle w:val="Overskrift2"/>
        <w:numPr>
          <w:ilvl w:val="1"/>
          <w:numId w:val="13"/>
        </w:numPr>
      </w:pPr>
      <w:r>
        <w:lastRenderedPageBreak/>
        <w:t>C</w:t>
      </w:r>
      <w:r w:rsidRPr="0036138F">
        <w:t>urrent overlap: Direct</w:t>
      </w:r>
      <w:r w:rsidR="00F2532E">
        <w:t xml:space="preserve"> and indirect</w:t>
      </w:r>
      <w:r w:rsidRPr="0036138F">
        <w:t xml:space="preserve"> links between </w:t>
      </w:r>
      <w:r>
        <w:t>Danish EIA practice and SDG</w:t>
      </w:r>
    </w:p>
    <w:p w14:paraId="71E6C047" w14:textId="3091902E" w:rsidR="00542EA3" w:rsidRDefault="00C01366" w:rsidP="001F2F81">
      <w:pPr>
        <w:jc w:val="both"/>
        <w:rPr>
          <w:lang w:val="en-US"/>
        </w:rPr>
      </w:pPr>
      <w:r>
        <w:rPr>
          <w:lang w:val="en-US"/>
        </w:rPr>
        <w:t xml:space="preserve">The findings from mapping the interrelations between project-applicable SDG targets and the </w:t>
      </w:r>
      <w:r w:rsidR="00F2532E">
        <w:rPr>
          <w:lang w:val="en-US"/>
        </w:rPr>
        <w:t>assessment</w:t>
      </w:r>
      <w:r>
        <w:rPr>
          <w:lang w:val="en-US"/>
        </w:rPr>
        <w:t xml:space="preserve"> parameters relevant in EIA scoping is firstly related to the practice as defined by the EIA reports. </w:t>
      </w:r>
      <w:r w:rsidR="00526D08">
        <w:rPr>
          <w:lang w:val="en-US"/>
        </w:rPr>
        <w:fldChar w:fldCharType="begin"/>
      </w:r>
      <w:r w:rsidR="00526D08">
        <w:rPr>
          <w:lang w:val="en-US"/>
        </w:rPr>
        <w:instrText xml:space="preserve"> REF _Ref61358378 \h </w:instrText>
      </w:r>
      <w:r w:rsidR="00526D08">
        <w:rPr>
          <w:lang w:val="en-US"/>
        </w:rPr>
      </w:r>
      <w:r w:rsidR="00526D08">
        <w:rPr>
          <w:lang w:val="en-US"/>
        </w:rPr>
        <w:fldChar w:fldCharType="separate"/>
      </w:r>
      <w:r w:rsidR="00526D08" w:rsidRPr="00A77C4C">
        <w:rPr>
          <w:lang w:val="en-US"/>
        </w:rPr>
        <w:t>Tab</w:t>
      </w:r>
      <w:r w:rsidR="00526D08">
        <w:rPr>
          <w:lang w:val="en-US"/>
        </w:rPr>
        <w:t>le</w:t>
      </w:r>
      <w:r w:rsidR="00526D08" w:rsidRPr="00A77C4C">
        <w:rPr>
          <w:lang w:val="en-US"/>
        </w:rPr>
        <w:t xml:space="preserve"> </w:t>
      </w:r>
      <w:r w:rsidR="00526D08" w:rsidRPr="00A77C4C">
        <w:rPr>
          <w:noProof/>
          <w:lang w:val="en-US"/>
        </w:rPr>
        <w:t>2</w:t>
      </w:r>
      <w:r w:rsidR="00526D08">
        <w:rPr>
          <w:lang w:val="en-US"/>
        </w:rPr>
        <w:fldChar w:fldCharType="end"/>
      </w:r>
      <w:r>
        <w:rPr>
          <w:lang w:val="en-US"/>
        </w:rPr>
        <w:t xml:space="preserve"> illustrates the findings when linking SDG targets to the keywords from the analyzed EIA reports. It reveals that 30 of the applicable 41 SDG targets are linked to corresponding </w:t>
      </w:r>
      <w:r w:rsidR="00F2532E">
        <w:rPr>
          <w:lang w:val="en-US"/>
        </w:rPr>
        <w:t>assessment</w:t>
      </w:r>
      <w:r>
        <w:rPr>
          <w:lang w:val="en-US"/>
        </w:rPr>
        <w:t xml:space="preserve"> parameters, of which 27 can be linked directly to the EIA parameters and </w:t>
      </w:r>
      <w:r w:rsidR="00F2532E">
        <w:rPr>
          <w:lang w:val="en-US"/>
        </w:rPr>
        <w:t>6</w:t>
      </w:r>
      <w:r>
        <w:rPr>
          <w:lang w:val="en-US"/>
        </w:rPr>
        <w:t xml:space="preserve"> can be linked indirectly</w:t>
      </w:r>
      <w:r w:rsidR="72BB50F2">
        <w:rPr>
          <w:lang w:val="en-US"/>
        </w:rPr>
        <w:t xml:space="preserve"> (3 targets have both direct and indirect links)</w:t>
      </w:r>
      <w:r>
        <w:rPr>
          <w:lang w:val="en-US"/>
        </w:rPr>
        <w:t>.</w:t>
      </w:r>
      <w:r w:rsidR="00542EA3">
        <w:rPr>
          <w:lang w:val="en-US"/>
        </w:rPr>
        <w:t xml:space="preserve"> </w:t>
      </w:r>
      <w:r w:rsidR="00464FCC">
        <w:rPr>
          <w:lang w:val="en-US"/>
        </w:rPr>
        <w:t xml:space="preserve">There is a total of 51 direct links and </w:t>
      </w:r>
      <w:r w:rsidR="00580ED5">
        <w:rPr>
          <w:lang w:val="en-US"/>
        </w:rPr>
        <w:t>7</w:t>
      </w:r>
      <w:r w:rsidR="00464FCC">
        <w:rPr>
          <w:lang w:val="en-US"/>
        </w:rPr>
        <w:t xml:space="preserve"> indirect links. </w:t>
      </w:r>
      <w:r w:rsidR="003C7B6B">
        <w:rPr>
          <w:lang w:val="en-US"/>
        </w:rPr>
        <w:t xml:space="preserve">The SDG targets have been grouped according to a </w:t>
      </w:r>
      <w:r w:rsidR="00542EA3">
        <w:rPr>
          <w:lang w:val="en-US"/>
        </w:rPr>
        <w:t>categorization</w:t>
      </w:r>
      <w:r w:rsidR="00C01C2C">
        <w:rPr>
          <w:lang w:val="en-US"/>
        </w:rPr>
        <w:t xml:space="preserve"> presented by</w:t>
      </w:r>
      <w:r w:rsidR="003C7B6B">
        <w:rPr>
          <w:lang w:val="en-US"/>
        </w:rPr>
        <w:t xml:space="preserve"> </w:t>
      </w:r>
      <w:proofErr w:type="spellStart"/>
      <w:r w:rsidR="003C7B6B">
        <w:rPr>
          <w:lang w:val="en-US"/>
        </w:rPr>
        <w:t>Rockström</w:t>
      </w:r>
      <w:proofErr w:type="spellEnd"/>
      <w:r w:rsidR="003C7B6B">
        <w:rPr>
          <w:lang w:val="en-US"/>
        </w:rPr>
        <w:t xml:space="preserve"> and Sukhdev</w:t>
      </w:r>
      <w:r w:rsidR="00AA039C">
        <w:rPr>
          <w:lang w:val="en-US"/>
        </w:rPr>
        <w:t xml:space="preserve"> (Stockholm Resilience Centre 2016)</w:t>
      </w:r>
      <w:r w:rsidR="003C7B6B">
        <w:rPr>
          <w:lang w:val="en-US"/>
        </w:rPr>
        <w:t xml:space="preserve">, that breaks the SDGs into economic (SDGs 8, 9, 10, and 12), societal (SDGs 1, 2, 3, 4, 5, 7, 11, and 16), and </w:t>
      </w:r>
      <w:proofErr w:type="spellStart"/>
      <w:r w:rsidR="003C7B6B">
        <w:rPr>
          <w:lang w:val="en-US"/>
        </w:rPr>
        <w:t>biospheric</w:t>
      </w:r>
      <w:proofErr w:type="spellEnd"/>
      <w:r w:rsidR="003C7B6B">
        <w:rPr>
          <w:lang w:val="en-US"/>
        </w:rPr>
        <w:t xml:space="preserve"> (SDGs 6, 13, 14, and 15) paradigms.</w:t>
      </w:r>
    </w:p>
    <w:p w14:paraId="72F7FF0A" w14:textId="77777777" w:rsidR="00BB6FEF" w:rsidRDefault="00BB6FEF" w:rsidP="001F2F81">
      <w:pPr>
        <w:jc w:val="both"/>
        <w:rPr>
          <w:lang w:val="en-US"/>
        </w:rPr>
      </w:pPr>
    </w:p>
    <w:p w14:paraId="2B515AA2" w14:textId="5BBD66B6" w:rsidR="00BB0B6E" w:rsidRDefault="00BB6FEF" w:rsidP="001F2F81">
      <w:pPr>
        <w:jc w:val="both"/>
        <w:rPr>
          <w:lang w:val="en-US"/>
        </w:rPr>
      </w:pPr>
      <w:r>
        <w:rPr>
          <w:noProof/>
          <w:lang w:val="en-US"/>
        </w:rPr>
        <w:drawing>
          <wp:inline distT="0" distB="0" distL="0" distR="0" wp14:anchorId="0C1A3860" wp14:editId="5E7B9C91">
            <wp:extent cx="3485063" cy="5130800"/>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lede 7"/>
                    <pic:cNvPicPr/>
                  </pic:nvPicPr>
                  <pic:blipFill rotWithShape="1">
                    <a:blip r:embed="rId19">
                      <a:extLst>
                        <a:ext uri="{28A0092B-C50C-407E-A947-70E740481C1C}">
                          <a14:useLocalDpi xmlns:a14="http://schemas.microsoft.com/office/drawing/2010/main" val="0"/>
                        </a:ext>
                      </a:extLst>
                    </a:blip>
                    <a:srcRect l="5351" t="4287" r="36872" b="35579"/>
                    <a:stretch/>
                  </pic:blipFill>
                  <pic:spPr bwMode="auto">
                    <a:xfrm>
                      <a:off x="0" y="0"/>
                      <a:ext cx="3485442" cy="5131357"/>
                    </a:xfrm>
                    <a:prstGeom prst="rect">
                      <a:avLst/>
                    </a:prstGeom>
                    <a:ln>
                      <a:noFill/>
                    </a:ln>
                    <a:extLst>
                      <a:ext uri="{53640926-AAD7-44D8-BBD7-CCE9431645EC}">
                        <a14:shadowObscured xmlns:a14="http://schemas.microsoft.com/office/drawing/2010/main"/>
                      </a:ext>
                    </a:extLst>
                  </pic:spPr>
                </pic:pic>
              </a:graphicData>
            </a:graphic>
          </wp:inline>
        </w:drawing>
      </w:r>
    </w:p>
    <w:p w14:paraId="6D12850D" w14:textId="579FA6D3" w:rsidR="00F71150" w:rsidRDefault="00F71150" w:rsidP="00A77C4C">
      <w:pPr>
        <w:pStyle w:val="Billedtekst"/>
        <w:rPr>
          <w:lang w:val="en-US"/>
        </w:rPr>
      </w:pPr>
      <w:bookmarkStart w:id="2" w:name="_Ref61358378"/>
      <w:r w:rsidRPr="00A77C4C">
        <w:rPr>
          <w:lang w:val="en-US"/>
        </w:rPr>
        <w:t>Tab</w:t>
      </w:r>
      <w:r>
        <w:rPr>
          <w:lang w:val="en-US"/>
        </w:rPr>
        <w:t>le</w:t>
      </w:r>
      <w:r w:rsidRPr="00A77C4C">
        <w:rPr>
          <w:lang w:val="en-US"/>
        </w:rPr>
        <w:t xml:space="preserve"> </w:t>
      </w:r>
      <w:r>
        <w:fldChar w:fldCharType="begin"/>
      </w:r>
      <w:r w:rsidRPr="00A77C4C">
        <w:rPr>
          <w:lang w:val="en-US"/>
        </w:rPr>
        <w:instrText xml:space="preserve"> SEQ Tabel \* ARABIC </w:instrText>
      </w:r>
      <w:r>
        <w:fldChar w:fldCharType="separate"/>
      </w:r>
      <w:r w:rsidRPr="00A77C4C">
        <w:rPr>
          <w:noProof/>
          <w:lang w:val="en-US"/>
        </w:rPr>
        <w:t>2</w:t>
      </w:r>
      <w:r>
        <w:fldChar w:fldCharType="end"/>
      </w:r>
      <w:bookmarkEnd w:id="2"/>
      <w:r w:rsidRPr="00A77C4C">
        <w:rPr>
          <w:lang w:val="en-US"/>
        </w:rPr>
        <w:t>: Linking exercise between SDG targets and assessment parameters. Direct links are indicated in orange, indirect links are indicated in blue, and the targets that cannot be linked are indicated in grey.</w:t>
      </w:r>
    </w:p>
    <w:p w14:paraId="7A7B7256" w14:textId="77777777" w:rsidR="00542EA3" w:rsidRDefault="00542EA3" w:rsidP="001F2F81">
      <w:pPr>
        <w:jc w:val="both"/>
        <w:rPr>
          <w:lang w:val="en-US"/>
        </w:rPr>
      </w:pPr>
    </w:p>
    <w:p w14:paraId="543131E8" w14:textId="3D9F341F" w:rsidR="0066113F" w:rsidRDefault="004E4A08" w:rsidP="001F2F81">
      <w:pPr>
        <w:jc w:val="both"/>
        <w:rPr>
          <w:lang w:val="en-US"/>
        </w:rPr>
      </w:pPr>
      <w:r>
        <w:rPr>
          <w:lang w:val="en-US"/>
        </w:rPr>
        <w:t xml:space="preserve">According to the linking exercise, the keywords from the EIA reports can link to </w:t>
      </w:r>
      <w:r w:rsidR="009D15D8">
        <w:rPr>
          <w:lang w:val="en-US"/>
        </w:rPr>
        <w:t>ten</w:t>
      </w:r>
      <w:r>
        <w:rPr>
          <w:lang w:val="en-US"/>
        </w:rPr>
        <w:t xml:space="preserve"> of the SDGs, namely SDGs 3, 6, 7, 8, 9, 11, 12, 13, 14, and 15. These applicable SDGs encapsulate economic, social and </w:t>
      </w:r>
      <w:proofErr w:type="spellStart"/>
      <w:r w:rsidR="002447A2">
        <w:rPr>
          <w:lang w:val="en-US"/>
        </w:rPr>
        <w:t>biospheric</w:t>
      </w:r>
      <w:proofErr w:type="spellEnd"/>
      <w:r w:rsidR="002447A2">
        <w:rPr>
          <w:lang w:val="en-US"/>
        </w:rPr>
        <w:t xml:space="preserve"> </w:t>
      </w:r>
      <w:r>
        <w:rPr>
          <w:lang w:val="en-US"/>
        </w:rPr>
        <w:t xml:space="preserve">SDGs, implying that current EIA practice covers </w:t>
      </w:r>
      <w:r w:rsidR="003806D9">
        <w:rPr>
          <w:lang w:val="en-US"/>
        </w:rPr>
        <w:t>the three facets of sustainability</w:t>
      </w:r>
      <w:r>
        <w:rPr>
          <w:lang w:val="en-US"/>
        </w:rPr>
        <w:t xml:space="preserve">. It is also possible to link SDG targets to all assessment parameters; however, it is not all </w:t>
      </w:r>
      <w:r w:rsidR="003806D9">
        <w:rPr>
          <w:lang w:val="en-US"/>
        </w:rPr>
        <w:t>assessment</w:t>
      </w:r>
      <w:r>
        <w:rPr>
          <w:lang w:val="en-US"/>
        </w:rPr>
        <w:t xml:space="preserve"> parameters that consider all sustainability facets (economic, social, and </w:t>
      </w:r>
      <w:proofErr w:type="spellStart"/>
      <w:r w:rsidR="006D6905">
        <w:rPr>
          <w:lang w:val="en-US"/>
        </w:rPr>
        <w:t>biospheric</w:t>
      </w:r>
      <w:proofErr w:type="spellEnd"/>
      <w:r>
        <w:rPr>
          <w:lang w:val="en-US"/>
        </w:rPr>
        <w:t>).</w:t>
      </w:r>
      <w:r w:rsidR="00E7232F">
        <w:rPr>
          <w:lang w:val="en-US"/>
        </w:rPr>
        <w:t xml:space="preserve"> </w:t>
      </w:r>
      <w:r w:rsidR="003806D9">
        <w:rPr>
          <w:lang w:val="en-US"/>
        </w:rPr>
        <w:t>The</w:t>
      </w:r>
      <w:r>
        <w:rPr>
          <w:lang w:val="en-US"/>
        </w:rPr>
        <w:t xml:space="preserve"> links</w:t>
      </w:r>
      <w:r w:rsidR="00AD3AF2">
        <w:rPr>
          <w:lang w:val="en-US"/>
        </w:rPr>
        <w:t xml:space="preserve"> according to SDGs</w:t>
      </w:r>
      <w:r w:rsidR="00464FCC">
        <w:rPr>
          <w:lang w:val="en-US"/>
        </w:rPr>
        <w:t xml:space="preserve"> and SDG targets</w:t>
      </w:r>
      <w:r>
        <w:rPr>
          <w:lang w:val="en-US"/>
        </w:rPr>
        <w:t xml:space="preserve"> are represented i</w:t>
      </w:r>
      <w:r w:rsidR="00223592">
        <w:rPr>
          <w:lang w:val="en-US"/>
        </w:rPr>
        <w:t>n</w:t>
      </w:r>
      <w:r w:rsidR="00C86554">
        <w:rPr>
          <w:lang w:val="en-US"/>
        </w:rPr>
        <w:t xml:space="preserve"> </w:t>
      </w:r>
      <w:r w:rsidR="00C86554">
        <w:rPr>
          <w:lang w:val="en-US"/>
        </w:rPr>
        <w:fldChar w:fldCharType="begin"/>
      </w:r>
      <w:r w:rsidR="00C86554">
        <w:rPr>
          <w:lang w:val="en-US"/>
        </w:rPr>
        <w:instrText xml:space="preserve"> REF _Ref61358398 \h </w:instrText>
      </w:r>
      <w:r w:rsidR="00C86554">
        <w:rPr>
          <w:lang w:val="en-US"/>
        </w:rPr>
      </w:r>
      <w:r w:rsidR="00C86554">
        <w:rPr>
          <w:lang w:val="en-US"/>
        </w:rPr>
        <w:fldChar w:fldCharType="separate"/>
      </w:r>
      <w:r w:rsidR="00C86554" w:rsidRPr="00A77C4C">
        <w:rPr>
          <w:lang w:val="en-US"/>
        </w:rPr>
        <w:t xml:space="preserve">Table </w:t>
      </w:r>
      <w:r w:rsidR="00C86554" w:rsidRPr="00A77C4C">
        <w:rPr>
          <w:noProof/>
          <w:lang w:val="en-US"/>
        </w:rPr>
        <w:t>3</w:t>
      </w:r>
      <w:r w:rsidR="00C86554">
        <w:rPr>
          <w:lang w:val="en-US"/>
        </w:rPr>
        <w:fldChar w:fldCharType="end"/>
      </w:r>
      <w:r w:rsidR="00C86554">
        <w:rPr>
          <w:lang w:val="en-US"/>
        </w:rPr>
        <w:t>.</w:t>
      </w:r>
    </w:p>
    <w:p w14:paraId="138BEB3B" w14:textId="064CB7A7" w:rsidR="00F71150" w:rsidRDefault="0011418F" w:rsidP="001F2F81">
      <w:pPr>
        <w:jc w:val="both"/>
        <w:rPr>
          <w:lang w:val="en-US"/>
        </w:rPr>
      </w:pPr>
      <w:r>
        <w:rPr>
          <w:noProof/>
          <w:lang w:val="en-US"/>
        </w:rPr>
        <w:lastRenderedPageBreak/>
        <w:drawing>
          <wp:inline distT="0" distB="0" distL="0" distR="0" wp14:anchorId="482E2961" wp14:editId="7F03E783">
            <wp:extent cx="4657247" cy="3129878"/>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ede 8"/>
                    <pic:cNvPicPr/>
                  </pic:nvPicPr>
                  <pic:blipFill rotWithShape="1">
                    <a:blip r:embed="rId20">
                      <a:extLst>
                        <a:ext uri="{28A0092B-C50C-407E-A947-70E740481C1C}">
                          <a14:useLocalDpi xmlns:a14="http://schemas.microsoft.com/office/drawing/2010/main" val="0"/>
                        </a:ext>
                      </a:extLst>
                    </a:blip>
                    <a:srcRect l="1605" t="4161" r="21179" b="59154"/>
                    <a:stretch/>
                  </pic:blipFill>
                  <pic:spPr bwMode="auto">
                    <a:xfrm>
                      <a:off x="0" y="0"/>
                      <a:ext cx="4658045" cy="3130414"/>
                    </a:xfrm>
                    <a:prstGeom prst="rect">
                      <a:avLst/>
                    </a:prstGeom>
                    <a:ln>
                      <a:noFill/>
                    </a:ln>
                    <a:extLst>
                      <a:ext uri="{53640926-AAD7-44D8-BBD7-CCE9431645EC}">
                        <a14:shadowObscured xmlns:a14="http://schemas.microsoft.com/office/drawing/2010/main"/>
                      </a:ext>
                    </a:extLst>
                  </pic:spPr>
                </pic:pic>
              </a:graphicData>
            </a:graphic>
          </wp:inline>
        </w:drawing>
      </w:r>
    </w:p>
    <w:p w14:paraId="4CB94151" w14:textId="5FCFA0B4" w:rsidR="0066113F" w:rsidRDefault="00F71150" w:rsidP="00A77C4C">
      <w:pPr>
        <w:pStyle w:val="Billedtekst"/>
        <w:rPr>
          <w:i w:val="0"/>
          <w:iCs w:val="0"/>
          <w:lang w:val="en-US"/>
        </w:rPr>
        <w:sectPr w:rsidR="0066113F" w:rsidSect="00DA3D69">
          <w:type w:val="continuous"/>
          <w:pgSz w:w="11900" w:h="16840"/>
          <w:pgMar w:top="1701" w:right="1134" w:bottom="1701" w:left="1134" w:header="708" w:footer="708" w:gutter="0"/>
          <w:cols w:space="720"/>
          <w:docGrid w:linePitch="360"/>
        </w:sectPr>
      </w:pPr>
      <w:bookmarkStart w:id="3" w:name="_Ref61358398"/>
      <w:r w:rsidRPr="00A77C4C">
        <w:rPr>
          <w:lang w:val="en-US"/>
        </w:rPr>
        <w:t xml:space="preserve">Table </w:t>
      </w:r>
      <w:r>
        <w:fldChar w:fldCharType="begin"/>
      </w:r>
      <w:r w:rsidRPr="00A77C4C">
        <w:rPr>
          <w:lang w:val="en-US"/>
        </w:rPr>
        <w:instrText xml:space="preserve"> SEQ Tabel \* ARABIC </w:instrText>
      </w:r>
      <w:r>
        <w:fldChar w:fldCharType="separate"/>
      </w:r>
      <w:r w:rsidRPr="00A77C4C">
        <w:rPr>
          <w:noProof/>
          <w:lang w:val="en-US"/>
        </w:rPr>
        <w:t>3</w:t>
      </w:r>
      <w:r>
        <w:fldChar w:fldCharType="end"/>
      </w:r>
      <w:bookmarkEnd w:id="3"/>
      <w:r w:rsidRPr="00A77C4C">
        <w:rPr>
          <w:lang w:val="en-US"/>
        </w:rPr>
        <w:t>: Current overlap between SDG targets and EIA practice. The grey columns indicate unexplored SDGs</w:t>
      </w:r>
    </w:p>
    <w:p w14:paraId="4AC7045C" w14:textId="77777777" w:rsidR="00A77C4C" w:rsidRDefault="00A77C4C" w:rsidP="00A77C4C">
      <w:pPr>
        <w:pStyle w:val="Overskrift2"/>
        <w:numPr>
          <w:ilvl w:val="0"/>
          <w:numId w:val="0"/>
        </w:numPr>
        <w:ind w:left="576" w:hanging="576"/>
      </w:pPr>
    </w:p>
    <w:p w14:paraId="17DACB06" w14:textId="037C1890" w:rsidR="0036138F" w:rsidRPr="00154326" w:rsidRDefault="0036138F" w:rsidP="00154326">
      <w:pPr>
        <w:pStyle w:val="Overskrift2"/>
      </w:pPr>
      <w:r>
        <w:t>Unexplored links between SDG targets and Danish EIA practice</w:t>
      </w:r>
    </w:p>
    <w:p w14:paraId="45F5A80A" w14:textId="378B3D93" w:rsidR="00AD3AF2" w:rsidRDefault="00AD3AF2" w:rsidP="00AD3AF2">
      <w:pPr>
        <w:jc w:val="both"/>
        <w:rPr>
          <w:lang w:val="en-US"/>
        </w:rPr>
      </w:pPr>
      <w:r>
        <w:rPr>
          <w:lang w:val="en-US"/>
        </w:rPr>
        <w:t xml:space="preserve">The targets that can neither be linked directly </w:t>
      </w:r>
      <w:r w:rsidR="00154326">
        <w:rPr>
          <w:lang w:val="en-US"/>
        </w:rPr>
        <w:t>n</w:t>
      </w:r>
      <w:r>
        <w:rPr>
          <w:lang w:val="en-US"/>
        </w:rPr>
        <w:t xml:space="preserve">or indirectly are </w:t>
      </w:r>
      <w:r w:rsidR="00C705E7">
        <w:rPr>
          <w:lang w:val="en-US"/>
        </w:rPr>
        <w:t>indicated</w:t>
      </w:r>
      <w:r>
        <w:rPr>
          <w:lang w:val="en-US"/>
        </w:rPr>
        <w:t xml:space="preserve"> in grey in</w:t>
      </w:r>
      <w:r w:rsidR="00C705E7">
        <w:rPr>
          <w:lang w:val="en-US"/>
        </w:rPr>
        <w:t xml:space="preserve"> </w:t>
      </w:r>
      <w:r w:rsidR="00A31D8B">
        <w:rPr>
          <w:lang w:val="en-US"/>
        </w:rPr>
        <w:fldChar w:fldCharType="begin"/>
      </w:r>
      <w:r w:rsidR="00A31D8B">
        <w:rPr>
          <w:lang w:val="en-US"/>
        </w:rPr>
        <w:instrText xml:space="preserve"> REF _Ref61358378 \h </w:instrText>
      </w:r>
      <w:r w:rsidR="00A31D8B">
        <w:rPr>
          <w:lang w:val="en-US"/>
        </w:rPr>
      </w:r>
      <w:r w:rsidR="00A31D8B">
        <w:rPr>
          <w:lang w:val="en-US"/>
        </w:rPr>
        <w:fldChar w:fldCharType="separate"/>
      </w:r>
      <w:r w:rsidR="00A31D8B" w:rsidRPr="00A77C4C">
        <w:rPr>
          <w:lang w:val="en-US"/>
        </w:rPr>
        <w:t>Tab</w:t>
      </w:r>
      <w:r w:rsidR="00A31D8B">
        <w:rPr>
          <w:lang w:val="en-US"/>
        </w:rPr>
        <w:t>le</w:t>
      </w:r>
      <w:r w:rsidR="00A31D8B" w:rsidRPr="00A77C4C">
        <w:rPr>
          <w:lang w:val="en-US"/>
        </w:rPr>
        <w:t xml:space="preserve"> </w:t>
      </w:r>
      <w:r w:rsidR="00A31D8B" w:rsidRPr="00A77C4C">
        <w:rPr>
          <w:noProof/>
          <w:lang w:val="en-US"/>
        </w:rPr>
        <w:t>2</w:t>
      </w:r>
      <w:r w:rsidR="00A31D8B">
        <w:rPr>
          <w:lang w:val="en-US"/>
        </w:rPr>
        <w:fldChar w:fldCharType="end"/>
      </w:r>
      <w:r>
        <w:rPr>
          <w:lang w:val="en-US"/>
        </w:rPr>
        <w:t>. These targets are what this research considers to be unexplored targets, as they remain unexplored within current EIA practice. As can be seen in</w:t>
      </w:r>
      <w:r w:rsidR="00C705E7">
        <w:rPr>
          <w:lang w:val="en-US"/>
        </w:rPr>
        <w:t xml:space="preserve"> </w:t>
      </w:r>
      <w:r w:rsidR="00C705E7">
        <w:rPr>
          <w:lang w:val="en-US"/>
        </w:rPr>
        <w:fldChar w:fldCharType="begin"/>
      </w:r>
      <w:r w:rsidR="00C705E7">
        <w:rPr>
          <w:lang w:val="en-US"/>
        </w:rPr>
        <w:instrText xml:space="preserve"> REF _Ref55979498 \h </w:instrText>
      </w:r>
      <w:r w:rsidR="00C705E7">
        <w:rPr>
          <w:lang w:val="en-US"/>
        </w:rPr>
      </w:r>
      <w:r w:rsidR="00C705E7">
        <w:rPr>
          <w:lang w:val="en-US"/>
        </w:rPr>
        <w:fldChar w:fldCharType="separate"/>
      </w:r>
      <w:r w:rsidR="00C705E7" w:rsidRPr="00C705E7">
        <w:rPr>
          <w:lang w:val="en-US"/>
        </w:rPr>
        <w:t xml:space="preserve">Table </w:t>
      </w:r>
      <w:r w:rsidR="00C705E7">
        <w:rPr>
          <w:noProof/>
          <w:lang w:val="en-US"/>
        </w:rPr>
        <w:t>3</w:t>
      </w:r>
      <w:r w:rsidR="00C705E7">
        <w:rPr>
          <w:lang w:val="en-US"/>
        </w:rPr>
        <w:fldChar w:fldCharType="end"/>
      </w:r>
      <w:r>
        <w:rPr>
          <w:lang w:val="en-US"/>
        </w:rPr>
        <w:t xml:space="preserve">, there is a total of 11 unexplored targets that fall under SDG 1, SDG 2, SDG 4, SDG 6, SDG 7, SDG </w:t>
      </w:r>
      <w:proofErr w:type="gramStart"/>
      <w:r>
        <w:rPr>
          <w:lang w:val="en-US"/>
        </w:rPr>
        <w:t>11</w:t>
      </w:r>
      <w:proofErr w:type="gramEnd"/>
      <w:r>
        <w:rPr>
          <w:lang w:val="en-US"/>
        </w:rPr>
        <w:t xml:space="preserve"> and SDG 12. </w:t>
      </w:r>
      <w:r w:rsidR="00C705E7">
        <w:rPr>
          <w:lang w:val="en-US"/>
        </w:rPr>
        <w:t xml:space="preserve">These are targets linked in dark green in </w:t>
      </w:r>
      <w:r w:rsidR="00C705E7">
        <w:rPr>
          <w:lang w:val="en-US"/>
        </w:rPr>
        <w:fldChar w:fldCharType="begin"/>
      </w:r>
      <w:r w:rsidR="00C705E7">
        <w:rPr>
          <w:lang w:val="en-US"/>
        </w:rPr>
        <w:instrText xml:space="preserve"> REF _Ref55986010 \h </w:instrText>
      </w:r>
      <w:r w:rsidR="00C705E7">
        <w:rPr>
          <w:lang w:val="en-US"/>
        </w:rPr>
      </w:r>
      <w:r w:rsidR="00C705E7">
        <w:rPr>
          <w:lang w:val="en-US"/>
        </w:rPr>
        <w:fldChar w:fldCharType="separate"/>
      </w:r>
      <w:r w:rsidR="00C705E7" w:rsidRPr="00C705E7">
        <w:rPr>
          <w:lang w:val="en-US"/>
        </w:rPr>
        <w:t>Tab</w:t>
      </w:r>
      <w:r w:rsidR="00C705E7">
        <w:rPr>
          <w:lang w:val="en-US"/>
        </w:rPr>
        <w:t>le</w:t>
      </w:r>
      <w:r w:rsidR="00C705E7" w:rsidRPr="00C705E7">
        <w:rPr>
          <w:lang w:val="en-US"/>
        </w:rPr>
        <w:t xml:space="preserve"> </w:t>
      </w:r>
      <w:r w:rsidR="00C705E7" w:rsidRPr="00C705E7">
        <w:rPr>
          <w:noProof/>
          <w:lang w:val="en-US"/>
        </w:rPr>
        <w:t>4</w:t>
      </w:r>
      <w:r w:rsidR="00C705E7">
        <w:rPr>
          <w:lang w:val="en-US"/>
        </w:rPr>
        <w:fldChar w:fldCharType="end"/>
      </w:r>
      <w:r w:rsidR="00C705E7">
        <w:rPr>
          <w:lang w:val="en-US"/>
        </w:rPr>
        <w:t xml:space="preserve"> below and they stem</w:t>
      </w:r>
      <w:r>
        <w:rPr>
          <w:lang w:val="en-US"/>
        </w:rPr>
        <w:t xml:space="preserve"> from economic, social and </w:t>
      </w:r>
      <w:proofErr w:type="spellStart"/>
      <w:r w:rsidR="006D6905">
        <w:rPr>
          <w:lang w:val="en-US"/>
        </w:rPr>
        <w:t>biospheric</w:t>
      </w:r>
      <w:proofErr w:type="spellEnd"/>
      <w:r w:rsidR="006D6905">
        <w:rPr>
          <w:lang w:val="en-US"/>
        </w:rPr>
        <w:t xml:space="preserve"> </w:t>
      </w:r>
      <w:r>
        <w:rPr>
          <w:lang w:val="en-US"/>
        </w:rPr>
        <w:t>SDGs, meaning there is room for expanding scoping practice in all paradigms.</w:t>
      </w:r>
      <w:r w:rsidR="00C705E7">
        <w:rPr>
          <w:lang w:val="en-US"/>
        </w:rPr>
        <w:t xml:space="preserve"> </w:t>
      </w:r>
    </w:p>
    <w:p w14:paraId="7C3C53D5" w14:textId="77777777" w:rsidR="00AD3AF2" w:rsidRDefault="00AD3AF2" w:rsidP="00AD3AF2">
      <w:pPr>
        <w:jc w:val="both"/>
        <w:rPr>
          <w:lang w:val="en-US"/>
        </w:rPr>
      </w:pPr>
    </w:p>
    <w:p w14:paraId="3169082B" w14:textId="73C5FFAC" w:rsidR="00AD3AF2" w:rsidRDefault="00AD3AF2" w:rsidP="00AD3AF2">
      <w:pPr>
        <w:jc w:val="both"/>
        <w:rPr>
          <w:lang w:val="en-US"/>
        </w:rPr>
      </w:pPr>
      <w:r>
        <w:rPr>
          <w:lang w:val="en-US"/>
        </w:rPr>
        <w:t xml:space="preserve">As such, this research proposes that these 11 unexplored targets can be used as a guideline to propose new parameters that have a more inclusive approach to engaging SDGs, so that previously unexplored assessment parameters are also reflected in EIA practice and included when scoping for relevant impacts. </w:t>
      </w:r>
      <w:r w:rsidR="00C705E7">
        <w:rPr>
          <w:lang w:val="en-US"/>
        </w:rPr>
        <w:t xml:space="preserve">A hypothesized proposal for linking supplementary parameters, including the 11 unexplored targets, to the EIA procedure is shown in </w:t>
      </w:r>
      <w:r w:rsidR="00C705E7">
        <w:rPr>
          <w:lang w:val="en-US"/>
        </w:rPr>
        <w:fldChar w:fldCharType="begin"/>
      </w:r>
      <w:r w:rsidR="00C705E7">
        <w:rPr>
          <w:lang w:val="en-US"/>
        </w:rPr>
        <w:instrText xml:space="preserve"> REF _Ref55986010 \h </w:instrText>
      </w:r>
      <w:r w:rsidR="00C705E7">
        <w:rPr>
          <w:lang w:val="en-US"/>
        </w:rPr>
      </w:r>
      <w:r w:rsidR="00C705E7">
        <w:rPr>
          <w:lang w:val="en-US"/>
        </w:rPr>
        <w:fldChar w:fldCharType="separate"/>
      </w:r>
      <w:r w:rsidR="00C705E7" w:rsidRPr="00C705E7">
        <w:rPr>
          <w:lang w:val="en-US"/>
        </w:rPr>
        <w:t>Tab</w:t>
      </w:r>
      <w:r w:rsidR="00C705E7">
        <w:rPr>
          <w:lang w:val="en-US"/>
        </w:rPr>
        <w:t>le</w:t>
      </w:r>
      <w:r w:rsidR="00C705E7" w:rsidRPr="00C705E7">
        <w:rPr>
          <w:lang w:val="en-US"/>
        </w:rPr>
        <w:t xml:space="preserve"> </w:t>
      </w:r>
      <w:r w:rsidR="00C705E7" w:rsidRPr="00C705E7">
        <w:rPr>
          <w:noProof/>
          <w:lang w:val="en-US"/>
        </w:rPr>
        <w:t>4</w:t>
      </w:r>
      <w:r w:rsidR="00C705E7">
        <w:rPr>
          <w:lang w:val="en-US"/>
        </w:rPr>
        <w:fldChar w:fldCharType="end"/>
      </w:r>
      <w:r w:rsidR="00C705E7">
        <w:rPr>
          <w:lang w:val="en-US"/>
        </w:rPr>
        <w:t xml:space="preserve">. </w:t>
      </w:r>
      <w:r>
        <w:rPr>
          <w:lang w:val="en-US"/>
        </w:rPr>
        <w:t xml:space="preserve">A total of 15 new links are made overall, 12 of which are formed based on linking </w:t>
      </w:r>
      <w:r w:rsidR="00C705E7">
        <w:rPr>
          <w:lang w:val="en-US"/>
        </w:rPr>
        <w:t xml:space="preserve">11 </w:t>
      </w:r>
      <w:r>
        <w:rPr>
          <w:lang w:val="en-US"/>
        </w:rPr>
        <w:t>unexplored targets (SDG 1.2, 1.5, 2.1, 2.3, 4.7, 6.2, 7.1, 7.2, 11.1, 11.5 and 12.8) and 3 of which link previously linked targets (SDG 6.1, 11.4 and 13.1) that have facets relevant to parameters that are not currently considered in EIA practice.</w:t>
      </w:r>
      <w:r w:rsidR="00C705E7">
        <w:rPr>
          <w:lang w:val="en-US"/>
        </w:rPr>
        <w:t xml:space="preserve"> The targets that have been previously explored but reveal unexplored links to new assessment parameters are indicated in light green in </w:t>
      </w:r>
      <w:r w:rsidR="00C705E7">
        <w:rPr>
          <w:lang w:val="en-US"/>
        </w:rPr>
        <w:fldChar w:fldCharType="begin"/>
      </w:r>
      <w:r w:rsidR="00C705E7">
        <w:rPr>
          <w:lang w:val="en-US"/>
        </w:rPr>
        <w:instrText xml:space="preserve"> REF _Ref55986010 \h </w:instrText>
      </w:r>
      <w:r w:rsidR="00C705E7">
        <w:rPr>
          <w:lang w:val="en-US"/>
        </w:rPr>
      </w:r>
      <w:r w:rsidR="00C705E7">
        <w:rPr>
          <w:lang w:val="en-US"/>
        </w:rPr>
        <w:fldChar w:fldCharType="separate"/>
      </w:r>
      <w:r w:rsidR="00C705E7" w:rsidRPr="00C705E7">
        <w:rPr>
          <w:lang w:val="en-US"/>
        </w:rPr>
        <w:t>Tab</w:t>
      </w:r>
      <w:r w:rsidR="00C705E7">
        <w:rPr>
          <w:lang w:val="en-US"/>
        </w:rPr>
        <w:t>le</w:t>
      </w:r>
      <w:r w:rsidR="00C705E7" w:rsidRPr="00C705E7">
        <w:rPr>
          <w:lang w:val="en-US"/>
        </w:rPr>
        <w:t xml:space="preserve"> </w:t>
      </w:r>
      <w:r w:rsidR="00C705E7" w:rsidRPr="00C705E7">
        <w:rPr>
          <w:noProof/>
          <w:lang w:val="en-US"/>
        </w:rPr>
        <w:t>4</w:t>
      </w:r>
      <w:r w:rsidR="00C705E7">
        <w:rPr>
          <w:lang w:val="en-US"/>
        </w:rPr>
        <w:fldChar w:fldCharType="end"/>
      </w:r>
      <w:r w:rsidR="00C705E7">
        <w:rPr>
          <w:lang w:val="en-US"/>
        </w:rPr>
        <w:t xml:space="preserve">. </w:t>
      </w:r>
      <w:r>
        <w:rPr>
          <w:lang w:val="en-US"/>
        </w:rPr>
        <w:t xml:space="preserve"> </w:t>
      </w:r>
    </w:p>
    <w:p w14:paraId="21132ABD" w14:textId="77777777" w:rsidR="0011418F" w:rsidRDefault="0011418F" w:rsidP="00AD3AF2">
      <w:pPr>
        <w:jc w:val="both"/>
        <w:rPr>
          <w:lang w:val="en-US"/>
        </w:rPr>
      </w:pPr>
    </w:p>
    <w:p w14:paraId="176FDA0C" w14:textId="132CA5AC" w:rsidR="006A7099" w:rsidRDefault="0011418F" w:rsidP="00AD3AF2">
      <w:pPr>
        <w:jc w:val="both"/>
        <w:rPr>
          <w:lang w:val="en-US"/>
        </w:rPr>
      </w:pPr>
      <w:r>
        <w:rPr>
          <w:noProof/>
          <w:lang w:val="en-US"/>
        </w:rPr>
        <w:lastRenderedPageBreak/>
        <w:drawing>
          <wp:inline distT="0" distB="0" distL="0" distR="0" wp14:anchorId="32DC706E" wp14:editId="3B04836A">
            <wp:extent cx="3560782" cy="2070419"/>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lede 9"/>
                    <pic:cNvPicPr/>
                  </pic:nvPicPr>
                  <pic:blipFill rotWithShape="1">
                    <a:blip r:embed="rId21">
                      <a:extLst>
                        <a:ext uri="{28A0092B-C50C-407E-A947-70E740481C1C}">
                          <a14:useLocalDpi xmlns:a14="http://schemas.microsoft.com/office/drawing/2010/main" val="0"/>
                        </a:ext>
                      </a:extLst>
                    </a:blip>
                    <a:srcRect l="5173" t="4161" r="31343" b="69743"/>
                    <a:stretch/>
                  </pic:blipFill>
                  <pic:spPr bwMode="auto">
                    <a:xfrm>
                      <a:off x="0" y="0"/>
                      <a:ext cx="3572838" cy="2077429"/>
                    </a:xfrm>
                    <a:prstGeom prst="rect">
                      <a:avLst/>
                    </a:prstGeom>
                    <a:ln>
                      <a:noFill/>
                    </a:ln>
                    <a:extLst>
                      <a:ext uri="{53640926-AAD7-44D8-BBD7-CCE9431645EC}">
                        <a14:shadowObscured xmlns:a14="http://schemas.microsoft.com/office/drawing/2010/main"/>
                      </a:ext>
                    </a:extLst>
                  </pic:spPr>
                </pic:pic>
              </a:graphicData>
            </a:graphic>
          </wp:inline>
        </w:drawing>
      </w:r>
    </w:p>
    <w:p w14:paraId="3A8A4853" w14:textId="428D83E6" w:rsidR="006A7099" w:rsidRPr="00615A3A" w:rsidRDefault="00C705E7" w:rsidP="00615A3A">
      <w:pPr>
        <w:pStyle w:val="Billedtekst"/>
        <w:keepNext/>
        <w:jc w:val="both"/>
        <w:rPr>
          <w:lang w:val="en-US"/>
        </w:rPr>
      </w:pPr>
      <w:bookmarkStart w:id="4" w:name="_Ref55986010"/>
      <w:r w:rsidRPr="00C705E7">
        <w:rPr>
          <w:lang w:val="en-US"/>
        </w:rPr>
        <w:t>Tab</w:t>
      </w:r>
      <w:r>
        <w:rPr>
          <w:lang w:val="en-US"/>
        </w:rPr>
        <w:t>le</w:t>
      </w:r>
      <w:r w:rsidRPr="00C705E7">
        <w:rPr>
          <w:lang w:val="en-US"/>
        </w:rPr>
        <w:t xml:space="preserve"> </w:t>
      </w:r>
      <w:r>
        <w:fldChar w:fldCharType="begin"/>
      </w:r>
      <w:r w:rsidRPr="00C705E7">
        <w:rPr>
          <w:lang w:val="en-US"/>
        </w:rPr>
        <w:instrText xml:space="preserve"> SEQ Tabel \* ARABIC </w:instrText>
      </w:r>
      <w:r>
        <w:fldChar w:fldCharType="separate"/>
      </w:r>
      <w:r w:rsidRPr="00C705E7">
        <w:rPr>
          <w:noProof/>
          <w:lang w:val="en-US"/>
        </w:rPr>
        <w:t>4</w:t>
      </w:r>
      <w:r>
        <w:fldChar w:fldCharType="end"/>
      </w:r>
      <w:bookmarkEnd w:id="4"/>
      <w:r w:rsidRPr="00C705E7">
        <w:rPr>
          <w:lang w:val="en-US"/>
        </w:rPr>
        <w:t>: Potential links between unexplored targets and EIA parameters. 11 unexplored target links are indicated in dark green and 3 previously explored targets with links to new assessment parameters are indicated in light green.</w:t>
      </w:r>
    </w:p>
    <w:p w14:paraId="448C5096" w14:textId="77777777" w:rsidR="00615A3A" w:rsidRDefault="00615A3A" w:rsidP="006A7099">
      <w:pPr>
        <w:jc w:val="both"/>
        <w:rPr>
          <w:lang w:val="en-US"/>
        </w:rPr>
      </w:pPr>
    </w:p>
    <w:p w14:paraId="43A512D1" w14:textId="761FFF26" w:rsidR="006A7099" w:rsidRDefault="006A7099" w:rsidP="006A7099">
      <w:pPr>
        <w:jc w:val="both"/>
        <w:rPr>
          <w:lang w:val="en-US"/>
        </w:rPr>
      </w:pPr>
      <w:r>
        <w:rPr>
          <w:lang w:val="en-US"/>
        </w:rPr>
        <w:t xml:space="preserve">As the </w:t>
      </w:r>
      <w:r w:rsidR="00C705E7">
        <w:rPr>
          <w:lang w:val="en-US"/>
        </w:rPr>
        <w:t>table</w:t>
      </w:r>
      <w:r>
        <w:rPr>
          <w:lang w:val="en-US"/>
        </w:rPr>
        <w:t xml:space="preserve"> illustrates, these unexplored SDG targets can primarily be linked to population &amp; human health, but can also be linked to air &amp; climate, landscape, and resource efficiency. An example of breaking these targets into EIA parameter topics can be seen in</w:t>
      </w:r>
      <w:r w:rsidR="00C705E7">
        <w:rPr>
          <w:lang w:val="en-US"/>
        </w:rPr>
        <w:t xml:space="preserve"> </w:t>
      </w:r>
      <w:r w:rsidR="00C705E7">
        <w:rPr>
          <w:lang w:val="en-US"/>
        </w:rPr>
        <w:fldChar w:fldCharType="begin"/>
      </w:r>
      <w:r w:rsidR="00C705E7">
        <w:rPr>
          <w:lang w:val="en-US"/>
        </w:rPr>
        <w:instrText xml:space="preserve"> REF _Ref55985872 \h </w:instrText>
      </w:r>
      <w:r w:rsidR="00C705E7">
        <w:rPr>
          <w:lang w:val="en-US"/>
        </w:rPr>
      </w:r>
      <w:r w:rsidR="00C705E7">
        <w:rPr>
          <w:lang w:val="en-US"/>
        </w:rPr>
        <w:fldChar w:fldCharType="separate"/>
      </w:r>
      <w:r w:rsidR="00C705E7" w:rsidRPr="00C705E7">
        <w:rPr>
          <w:lang w:val="en-US"/>
        </w:rPr>
        <w:t xml:space="preserve">Table </w:t>
      </w:r>
      <w:r w:rsidR="00C705E7">
        <w:rPr>
          <w:noProof/>
          <w:lang w:val="en-US"/>
        </w:rPr>
        <w:t>5</w:t>
      </w:r>
      <w:r w:rsidR="00C705E7">
        <w:rPr>
          <w:lang w:val="en-US"/>
        </w:rPr>
        <w:fldChar w:fldCharType="end"/>
      </w:r>
      <w:r w:rsidR="00C705E7">
        <w:rPr>
          <w:lang w:val="en-US"/>
        </w:rPr>
        <w:t xml:space="preserve"> </w:t>
      </w:r>
      <w:r>
        <w:rPr>
          <w:lang w:val="en-US"/>
        </w:rPr>
        <w:t xml:space="preserve">below. </w:t>
      </w:r>
    </w:p>
    <w:p w14:paraId="62A6C42C" w14:textId="77777777" w:rsidR="0011418F" w:rsidRDefault="0011418F" w:rsidP="006A7099">
      <w:pPr>
        <w:jc w:val="both"/>
        <w:rPr>
          <w:lang w:val="en-US"/>
        </w:rPr>
      </w:pPr>
    </w:p>
    <w:p w14:paraId="2ECFA73B" w14:textId="501DEB45" w:rsidR="006A7099" w:rsidRDefault="0011418F" w:rsidP="006A7099">
      <w:pPr>
        <w:jc w:val="both"/>
        <w:rPr>
          <w:lang w:val="en-US"/>
        </w:rPr>
      </w:pPr>
      <w:r>
        <w:rPr>
          <w:noProof/>
          <w:lang w:val="en-US"/>
        </w:rPr>
        <w:drawing>
          <wp:inline distT="0" distB="0" distL="0" distR="0" wp14:anchorId="26D787F7" wp14:editId="5C559868">
            <wp:extent cx="4831414" cy="5034579"/>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lede 10"/>
                    <pic:cNvPicPr/>
                  </pic:nvPicPr>
                  <pic:blipFill rotWithShape="1">
                    <a:blip r:embed="rId22">
                      <a:extLst>
                        <a:ext uri="{28A0092B-C50C-407E-A947-70E740481C1C}">
                          <a14:useLocalDpi xmlns:a14="http://schemas.microsoft.com/office/drawing/2010/main" val="0"/>
                        </a:ext>
                      </a:extLst>
                    </a:blip>
                    <a:srcRect l="1784" t="4287" r="21892" b="39487"/>
                    <a:stretch/>
                  </pic:blipFill>
                  <pic:spPr bwMode="auto">
                    <a:xfrm>
                      <a:off x="0" y="0"/>
                      <a:ext cx="4846706" cy="5050514"/>
                    </a:xfrm>
                    <a:prstGeom prst="rect">
                      <a:avLst/>
                    </a:prstGeom>
                    <a:ln>
                      <a:noFill/>
                    </a:ln>
                    <a:extLst>
                      <a:ext uri="{53640926-AAD7-44D8-BBD7-CCE9431645EC}">
                        <a14:shadowObscured xmlns:a14="http://schemas.microsoft.com/office/drawing/2010/main"/>
                      </a:ext>
                    </a:extLst>
                  </pic:spPr>
                </pic:pic>
              </a:graphicData>
            </a:graphic>
          </wp:inline>
        </w:drawing>
      </w:r>
    </w:p>
    <w:p w14:paraId="1CA99E8B" w14:textId="4B6D4B2F" w:rsidR="006A7099" w:rsidRDefault="00C705E7" w:rsidP="00615A3A">
      <w:pPr>
        <w:pStyle w:val="Billedtekst"/>
        <w:keepNext/>
        <w:jc w:val="both"/>
        <w:rPr>
          <w:lang w:val="en-US"/>
        </w:rPr>
      </w:pPr>
      <w:bookmarkStart w:id="5" w:name="_Ref55985872"/>
      <w:r w:rsidRPr="00C705E7">
        <w:rPr>
          <w:lang w:val="en-US"/>
        </w:rPr>
        <w:lastRenderedPageBreak/>
        <w:t xml:space="preserve">Table </w:t>
      </w:r>
      <w:r>
        <w:fldChar w:fldCharType="begin"/>
      </w:r>
      <w:r w:rsidRPr="00C705E7">
        <w:rPr>
          <w:lang w:val="en-US"/>
        </w:rPr>
        <w:instrText xml:space="preserve"> SEQ Tabel \* ARABIC </w:instrText>
      </w:r>
      <w:r>
        <w:fldChar w:fldCharType="separate"/>
      </w:r>
      <w:r>
        <w:rPr>
          <w:noProof/>
          <w:lang w:val="en-US"/>
        </w:rPr>
        <w:t>5</w:t>
      </w:r>
      <w:r>
        <w:fldChar w:fldCharType="end"/>
      </w:r>
      <w:bookmarkEnd w:id="5"/>
      <w:r w:rsidRPr="00C705E7">
        <w:rPr>
          <w:lang w:val="en-US"/>
        </w:rPr>
        <w:t xml:space="preserve">: New proposed overlap between unexplored targets and EIA parameters expressed as parameter topics. The grey rows indicate a new parameter and its corresponding SDG target. SDGs 1, 2, and 4 are previously unexplored SDGs. The new targets under each parameter heading </w:t>
      </w:r>
      <w:r w:rsidR="006075F7">
        <w:rPr>
          <w:lang w:val="en-US"/>
        </w:rPr>
        <w:t xml:space="preserve">are in bold and the previously explored targets with new links are italicized. </w:t>
      </w:r>
    </w:p>
    <w:p w14:paraId="000A045F" w14:textId="77777777" w:rsidR="00617E43" w:rsidRDefault="00617E43" w:rsidP="006A7099">
      <w:pPr>
        <w:jc w:val="both"/>
        <w:rPr>
          <w:lang w:val="en-US"/>
        </w:rPr>
      </w:pPr>
    </w:p>
    <w:p w14:paraId="6ADBEF2C" w14:textId="29435DCD" w:rsidR="006A7099" w:rsidRDefault="006A7099" w:rsidP="006A7099">
      <w:pPr>
        <w:jc w:val="both"/>
        <w:rPr>
          <w:lang w:val="en-US"/>
        </w:rPr>
      </w:pPr>
      <w:r>
        <w:rPr>
          <w:lang w:val="en-US"/>
        </w:rPr>
        <w:t>These additional topics are as follows: economic conditions, vulnerability to climate-related occurrences, impacted by catastrophe, access to energy, access to adequate sanitation and hygiene facilities, access to safe drinking water, access to nutritious and adequate food, access to safe housing, increased knowledge about sustainable development, decreased emissions with renewable energies, natural-heritage, and increased use of renewable energy. By linking the</w:t>
      </w:r>
      <w:r w:rsidR="00EB7DA5">
        <w:rPr>
          <w:lang w:val="en-US"/>
        </w:rPr>
        <w:t xml:space="preserve"> SDG</w:t>
      </w:r>
      <w:r>
        <w:rPr>
          <w:lang w:val="en-US"/>
        </w:rPr>
        <w:t xml:space="preserve"> </w:t>
      </w:r>
      <w:r w:rsidR="00EB7DA5">
        <w:rPr>
          <w:lang w:val="en-US"/>
        </w:rPr>
        <w:t>targets</w:t>
      </w:r>
      <w:r>
        <w:rPr>
          <w:lang w:val="en-US"/>
        </w:rPr>
        <w:t xml:space="preserve"> </w:t>
      </w:r>
      <w:r w:rsidR="00EB7DA5">
        <w:rPr>
          <w:lang w:val="en-US"/>
        </w:rPr>
        <w:t>with</w:t>
      </w:r>
      <w:r>
        <w:rPr>
          <w:lang w:val="en-US"/>
        </w:rPr>
        <w:t xml:space="preserve"> additional parameters, they can be used to expand the EIA scoping framework and thereby allow for a more detailed inclusion of assessments in the EIA procedure.</w:t>
      </w:r>
      <w:r w:rsidR="00C705E7">
        <w:rPr>
          <w:lang w:val="en-US"/>
        </w:rPr>
        <w:t xml:space="preserve"> </w:t>
      </w:r>
    </w:p>
    <w:p w14:paraId="12734F8B" w14:textId="77777777" w:rsidR="006A7099" w:rsidRDefault="006A7099" w:rsidP="006A7099">
      <w:pPr>
        <w:jc w:val="both"/>
        <w:rPr>
          <w:lang w:val="en-US"/>
        </w:rPr>
      </w:pPr>
    </w:p>
    <w:p w14:paraId="02CB7F68" w14:textId="75021881" w:rsidR="00C847FF" w:rsidRDefault="006A7099" w:rsidP="00C847FF">
      <w:pPr>
        <w:jc w:val="both"/>
        <w:rPr>
          <w:rFonts w:cstheme="minorHAnsi"/>
          <w:lang w:val="en-US"/>
        </w:rPr>
      </w:pPr>
      <w:r>
        <w:rPr>
          <w:lang w:val="en-US"/>
        </w:rPr>
        <w:t xml:space="preserve">As can also be seen </w:t>
      </w:r>
      <w:r w:rsidR="00C705E7">
        <w:rPr>
          <w:lang w:val="en-US"/>
        </w:rPr>
        <w:t xml:space="preserve">in </w:t>
      </w:r>
      <w:r w:rsidR="00C705E7">
        <w:rPr>
          <w:lang w:val="en-US"/>
        </w:rPr>
        <w:fldChar w:fldCharType="begin"/>
      </w:r>
      <w:r w:rsidR="00C705E7">
        <w:rPr>
          <w:lang w:val="en-US"/>
        </w:rPr>
        <w:instrText xml:space="preserve"> REF _Ref55986010 \h </w:instrText>
      </w:r>
      <w:r w:rsidR="00C705E7">
        <w:rPr>
          <w:lang w:val="en-US"/>
        </w:rPr>
      </w:r>
      <w:r w:rsidR="00C705E7">
        <w:rPr>
          <w:lang w:val="en-US"/>
        </w:rPr>
        <w:fldChar w:fldCharType="separate"/>
      </w:r>
      <w:r w:rsidR="00C705E7" w:rsidRPr="00C705E7">
        <w:rPr>
          <w:lang w:val="en-US"/>
        </w:rPr>
        <w:t>Tab</w:t>
      </w:r>
      <w:r w:rsidR="00C705E7">
        <w:rPr>
          <w:lang w:val="en-US"/>
        </w:rPr>
        <w:t>le</w:t>
      </w:r>
      <w:r w:rsidR="00C705E7" w:rsidRPr="00C705E7">
        <w:rPr>
          <w:lang w:val="en-US"/>
        </w:rPr>
        <w:t xml:space="preserve"> </w:t>
      </w:r>
      <w:r w:rsidR="00C705E7" w:rsidRPr="00C705E7">
        <w:rPr>
          <w:noProof/>
          <w:lang w:val="en-US"/>
        </w:rPr>
        <w:t>4</w:t>
      </w:r>
      <w:r w:rsidR="00C705E7">
        <w:rPr>
          <w:lang w:val="en-US"/>
        </w:rPr>
        <w:fldChar w:fldCharType="end"/>
      </w:r>
      <w:r>
        <w:rPr>
          <w:lang w:val="en-US"/>
        </w:rPr>
        <w:t xml:space="preserve">, </w:t>
      </w:r>
      <w:proofErr w:type="gramStart"/>
      <w:r>
        <w:rPr>
          <w:lang w:val="en-US"/>
        </w:rPr>
        <w:t>a majority of</w:t>
      </w:r>
      <w:proofErr w:type="gramEnd"/>
      <w:r>
        <w:rPr>
          <w:lang w:val="en-US"/>
        </w:rPr>
        <w:t xml:space="preserve"> these unexplored targets stem from SDGs that are considered more socially inclined through the </w:t>
      </w:r>
      <w:proofErr w:type="spellStart"/>
      <w:r>
        <w:rPr>
          <w:lang w:val="en-US"/>
        </w:rPr>
        <w:t>Rockström</w:t>
      </w:r>
      <w:proofErr w:type="spellEnd"/>
      <w:r>
        <w:rPr>
          <w:lang w:val="en-US"/>
        </w:rPr>
        <w:t xml:space="preserve"> and Sukhdev model (</w:t>
      </w:r>
      <w:r w:rsidR="000C6795">
        <w:rPr>
          <w:lang w:val="en-US"/>
        </w:rPr>
        <w:t xml:space="preserve">Stockholm Resilience Centre </w:t>
      </w:r>
      <w:r>
        <w:rPr>
          <w:lang w:val="en-US"/>
        </w:rPr>
        <w:t xml:space="preserve">2016). This implies a particular gap between the consideration of social aspects and current EIA practice, meaning it is the assessment of these social aspects that presents potential for improving the quality of EIA scoping practice, for which adopting the additional assessment parameters proposed in </w:t>
      </w:r>
      <w:r w:rsidR="00C705E7">
        <w:rPr>
          <w:lang w:val="en-US"/>
        </w:rPr>
        <w:fldChar w:fldCharType="begin"/>
      </w:r>
      <w:r w:rsidR="00C705E7">
        <w:rPr>
          <w:lang w:val="en-US"/>
        </w:rPr>
        <w:instrText xml:space="preserve"> REF _Ref55985872 \h </w:instrText>
      </w:r>
      <w:r w:rsidR="00C705E7">
        <w:rPr>
          <w:lang w:val="en-US"/>
        </w:rPr>
      </w:r>
      <w:r w:rsidR="00C705E7">
        <w:rPr>
          <w:lang w:val="en-US"/>
        </w:rPr>
        <w:fldChar w:fldCharType="separate"/>
      </w:r>
      <w:r w:rsidR="00C705E7" w:rsidRPr="00C705E7">
        <w:rPr>
          <w:lang w:val="en-US"/>
        </w:rPr>
        <w:t xml:space="preserve">Table </w:t>
      </w:r>
      <w:r w:rsidR="00C705E7">
        <w:rPr>
          <w:noProof/>
          <w:lang w:val="en-US"/>
        </w:rPr>
        <w:t>5</w:t>
      </w:r>
      <w:r w:rsidR="00C705E7">
        <w:rPr>
          <w:lang w:val="en-US"/>
        </w:rPr>
        <w:fldChar w:fldCharType="end"/>
      </w:r>
      <w:r w:rsidR="00C705E7">
        <w:rPr>
          <w:lang w:val="en-US"/>
        </w:rPr>
        <w:t xml:space="preserve"> </w:t>
      </w:r>
      <w:r>
        <w:rPr>
          <w:lang w:val="en-US"/>
        </w:rPr>
        <w:t xml:space="preserve">would be a hypothesized </w:t>
      </w:r>
      <w:r w:rsidR="00CD1CED">
        <w:rPr>
          <w:lang w:val="en-US"/>
        </w:rPr>
        <w:t xml:space="preserve">way </w:t>
      </w:r>
      <w:r>
        <w:rPr>
          <w:lang w:val="en-US"/>
        </w:rPr>
        <w:t xml:space="preserve">for strengthening social inclusion. </w:t>
      </w:r>
      <w:r w:rsidR="00C847FF">
        <w:rPr>
          <w:rFonts w:cstheme="minorHAnsi"/>
          <w:lang w:val="en-US"/>
        </w:rPr>
        <w:t xml:space="preserve">This broader inclusion of new EIA assessment parameters compliments authors such as </w:t>
      </w:r>
      <w:proofErr w:type="spellStart"/>
      <w:r w:rsidR="00C847FF" w:rsidRPr="00BD2B20">
        <w:rPr>
          <w:rFonts w:cstheme="minorHAnsi"/>
          <w:lang w:val="en-US"/>
        </w:rPr>
        <w:t>Hresc</w:t>
      </w:r>
      <w:proofErr w:type="spellEnd"/>
      <w:r w:rsidR="00C847FF" w:rsidRPr="00BD2B20">
        <w:rPr>
          <w:rFonts w:cstheme="minorHAnsi"/>
          <w:lang w:val="en-US"/>
        </w:rPr>
        <w:t xml:space="preserve"> et al. (2018), </w:t>
      </w:r>
      <w:r w:rsidR="00C847FF">
        <w:rPr>
          <w:rFonts w:cstheme="minorHAnsi"/>
          <w:lang w:val="en-US"/>
        </w:rPr>
        <w:t xml:space="preserve">that suggest that </w:t>
      </w:r>
      <w:r w:rsidR="00C847FF" w:rsidRPr="00BD2B20">
        <w:rPr>
          <w:rFonts w:cstheme="minorHAnsi"/>
          <w:lang w:val="en-US"/>
        </w:rPr>
        <w:t>the SDGs can provide a normative list for the EIA to include social issues as poverty, good health and wellbeing, gender equality, sustainable cities and communities, and reduced inequalities.</w:t>
      </w:r>
      <w:r w:rsidR="00C847FF">
        <w:rPr>
          <w:rFonts w:cstheme="minorHAnsi"/>
          <w:lang w:val="en-US"/>
        </w:rPr>
        <w:t xml:space="preserve"> In addition, it compliments Hacking’s (2019) proposal to</w:t>
      </w:r>
      <w:r w:rsidR="00503216">
        <w:rPr>
          <w:rFonts w:cstheme="minorHAnsi"/>
          <w:lang w:val="en-US"/>
        </w:rPr>
        <w:t xml:space="preserve"> use SDGs to</w:t>
      </w:r>
      <w:r w:rsidR="00C847FF">
        <w:rPr>
          <w:rFonts w:cstheme="minorHAnsi"/>
          <w:lang w:val="en-US"/>
        </w:rPr>
        <w:t xml:space="preserve"> ‘stretch’ the EIA procedure, so as to extend its scope to be more inclusive of all sustainability themes, beyond the bio-physical environment.</w:t>
      </w:r>
    </w:p>
    <w:p w14:paraId="7DED43A5" w14:textId="77777777" w:rsidR="006A7099" w:rsidRDefault="006A7099" w:rsidP="006A7099">
      <w:pPr>
        <w:jc w:val="both"/>
        <w:rPr>
          <w:lang w:val="en-US"/>
        </w:rPr>
      </w:pPr>
    </w:p>
    <w:p w14:paraId="019FDEC5" w14:textId="04862208" w:rsidR="001F2F81" w:rsidRDefault="006A7099" w:rsidP="00AD3AF2">
      <w:pPr>
        <w:jc w:val="both"/>
        <w:rPr>
          <w:lang w:val="en-US"/>
        </w:rPr>
        <w:sectPr w:rsidR="001F2F81" w:rsidSect="0003205B">
          <w:type w:val="continuous"/>
          <w:pgSz w:w="11900" w:h="16840"/>
          <w:pgMar w:top="1701" w:right="1134" w:bottom="1701" w:left="1134" w:header="708" w:footer="708" w:gutter="0"/>
          <w:cols w:space="720"/>
          <w:docGrid w:linePitch="360"/>
        </w:sectPr>
      </w:pPr>
      <w:r>
        <w:rPr>
          <w:lang w:val="en-US"/>
        </w:rPr>
        <w:t xml:space="preserve">Furthermore, linking these unexplored targets engages 3 unexplored SDGs that have been deemed relevant to project-level assessments but have not been previously linked to current practice. These unexplored SDGs are SDGs 1, 2, and 4, in which no prior target links can be made </w:t>
      </w:r>
      <w:r w:rsidR="00EB7DA5">
        <w:rPr>
          <w:lang w:val="en-US"/>
        </w:rPr>
        <w:t>n</w:t>
      </w:r>
      <w:r>
        <w:rPr>
          <w:lang w:val="en-US"/>
        </w:rPr>
        <w:t xml:space="preserve">either directly </w:t>
      </w:r>
      <w:r w:rsidR="00EB7DA5">
        <w:rPr>
          <w:lang w:val="en-US"/>
        </w:rPr>
        <w:t>n</w:t>
      </w:r>
      <w:r>
        <w:rPr>
          <w:lang w:val="en-US"/>
        </w:rPr>
        <w:t xml:space="preserve">or indirectly, despite their determined relevance to project development. According to the </w:t>
      </w:r>
      <w:proofErr w:type="spellStart"/>
      <w:r>
        <w:rPr>
          <w:lang w:val="en-US"/>
        </w:rPr>
        <w:t>Rockström</w:t>
      </w:r>
      <w:proofErr w:type="spellEnd"/>
      <w:r>
        <w:rPr>
          <w:lang w:val="en-US"/>
        </w:rPr>
        <w:t xml:space="preserve"> and Sukhdev model (</w:t>
      </w:r>
      <w:r w:rsidR="000C6795">
        <w:rPr>
          <w:lang w:val="en-US"/>
        </w:rPr>
        <w:t xml:space="preserve">Stockholm Resilience Centre </w:t>
      </w:r>
      <w:r>
        <w:rPr>
          <w:lang w:val="en-US"/>
        </w:rPr>
        <w:t xml:space="preserve">2016), SDGs 1, 2 and 4 are all socially oriented, meaning that linking the unexplored targets would not only engage in supplementary assessment parameters to strengthen scoping, it would also expand the repertoire of relevant SDGs from </w:t>
      </w:r>
      <w:r w:rsidR="00C705E7">
        <w:rPr>
          <w:lang w:val="en-US"/>
        </w:rPr>
        <w:t>10</w:t>
      </w:r>
      <w:r>
        <w:rPr>
          <w:lang w:val="en-US"/>
        </w:rPr>
        <w:t xml:space="preserve"> to </w:t>
      </w:r>
      <w:r w:rsidR="00C705E7">
        <w:rPr>
          <w:lang w:val="en-US"/>
        </w:rPr>
        <w:t>13</w:t>
      </w:r>
      <w:r>
        <w:rPr>
          <w:lang w:val="en-US"/>
        </w:rPr>
        <w:t>, and thus, draw greater parallels with global goals for sustainable developmen</w:t>
      </w:r>
      <w:r w:rsidR="008254BB">
        <w:rPr>
          <w:lang w:val="en-US"/>
        </w:rPr>
        <w:t>t</w:t>
      </w:r>
    </w:p>
    <w:p w14:paraId="6D31D440" w14:textId="57A8E107" w:rsidR="001F2F81" w:rsidRDefault="001F2F81" w:rsidP="007D4B8B">
      <w:pPr>
        <w:pStyle w:val="Billedtekst"/>
        <w:jc w:val="both"/>
        <w:rPr>
          <w:lang w:val="en-US"/>
        </w:rPr>
        <w:sectPr w:rsidR="001F2F81" w:rsidSect="0003205B">
          <w:type w:val="continuous"/>
          <w:pgSz w:w="11900" w:h="16840"/>
          <w:pgMar w:top="1701" w:right="1134" w:bottom="1701" w:left="1134" w:header="708" w:footer="708" w:gutter="0"/>
          <w:cols w:space="720"/>
          <w:docGrid w:linePitch="360"/>
        </w:sectPr>
      </w:pPr>
    </w:p>
    <w:p w14:paraId="339C9580" w14:textId="2ED5905A" w:rsidR="00A9078E" w:rsidRDefault="00A9078E">
      <w:pPr>
        <w:rPr>
          <w:rFonts w:asciiTheme="majorHAnsi" w:eastAsiaTheme="majorEastAsia" w:hAnsiTheme="majorHAnsi" w:cstheme="majorBidi"/>
          <w:color w:val="2F5496" w:themeColor="accent1" w:themeShade="BF"/>
          <w:sz w:val="32"/>
          <w:szCs w:val="32"/>
          <w:lang w:val="en-US"/>
        </w:rPr>
      </w:pPr>
    </w:p>
    <w:p w14:paraId="6962884A" w14:textId="53CE7CF5" w:rsidR="004B57DD" w:rsidRDefault="004B57DD" w:rsidP="00DF3C63">
      <w:pPr>
        <w:pStyle w:val="Overskrift1"/>
        <w:rPr>
          <w:lang w:val="en-US"/>
        </w:rPr>
      </w:pPr>
      <w:r>
        <w:rPr>
          <w:lang w:val="en-US"/>
        </w:rPr>
        <w:t xml:space="preserve">Discussion: </w:t>
      </w:r>
      <w:r w:rsidR="0036138F">
        <w:rPr>
          <w:lang w:val="en-US"/>
        </w:rPr>
        <w:t>SDG</w:t>
      </w:r>
      <w:r w:rsidR="00505FCA">
        <w:rPr>
          <w:lang w:val="en-US"/>
        </w:rPr>
        <w:t>s</w:t>
      </w:r>
      <w:r w:rsidR="0036138F">
        <w:rPr>
          <w:lang w:val="en-US"/>
        </w:rPr>
        <w:t xml:space="preserve"> to enhance EIA scoping</w:t>
      </w:r>
    </w:p>
    <w:p w14:paraId="30B2E3F3" w14:textId="77777777" w:rsidR="00A86E3C" w:rsidRPr="00A86E3C" w:rsidRDefault="00A86E3C" w:rsidP="00A86E3C">
      <w:pPr>
        <w:rPr>
          <w:lang w:val="en-US"/>
        </w:rPr>
      </w:pPr>
    </w:p>
    <w:p w14:paraId="2FB8FB6C" w14:textId="4FFF122A" w:rsidR="0036138F" w:rsidRDefault="0036138F" w:rsidP="00EB7DA5">
      <w:pPr>
        <w:jc w:val="both"/>
        <w:rPr>
          <w:lang w:val="en-US"/>
        </w:rPr>
      </w:pPr>
      <w:r w:rsidRPr="33F0DE72">
        <w:rPr>
          <w:lang w:val="en-US"/>
        </w:rPr>
        <w:t xml:space="preserve">With point of departure in the findings, </w:t>
      </w:r>
      <w:r w:rsidR="00EB7DA5" w:rsidRPr="33F0DE72">
        <w:rPr>
          <w:lang w:val="en-US"/>
        </w:rPr>
        <w:t>this discussion</w:t>
      </w:r>
      <w:r w:rsidR="5C117806" w:rsidRPr="33F0DE72">
        <w:rPr>
          <w:lang w:val="en-US"/>
        </w:rPr>
        <w:t xml:space="preserve"> first</w:t>
      </w:r>
      <w:r w:rsidR="00EB7DA5" w:rsidRPr="33F0DE72">
        <w:rPr>
          <w:lang w:val="en-US"/>
        </w:rPr>
        <w:t xml:space="preserve"> delves into how the </w:t>
      </w:r>
      <w:r w:rsidR="003427F4">
        <w:rPr>
          <w:lang w:val="en-US"/>
        </w:rPr>
        <w:t>findings are context</w:t>
      </w:r>
      <w:r w:rsidR="00094580">
        <w:rPr>
          <w:lang w:val="en-US"/>
        </w:rPr>
        <w:t>ually dependent</w:t>
      </w:r>
      <w:r w:rsidR="009D5234">
        <w:rPr>
          <w:lang w:val="en-US"/>
        </w:rPr>
        <w:t xml:space="preserve"> and aligns with ongoing literary discussions</w:t>
      </w:r>
      <w:r w:rsidR="00EB7DA5" w:rsidRPr="33F0DE72">
        <w:rPr>
          <w:lang w:val="en-US"/>
        </w:rPr>
        <w:t xml:space="preserve">. Afterwards, it explores how adopting a more comprehensive approach compliments a larger system </w:t>
      </w:r>
      <w:r w:rsidR="565BE7CD" w:rsidRPr="33F0DE72">
        <w:rPr>
          <w:lang w:val="en-US"/>
        </w:rPr>
        <w:t xml:space="preserve">in </w:t>
      </w:r>
      <w:r w:rsidR="00EB7DA5" w:rsidRPr="33F0DE72">
        <w:rPr>
          <w:lang w:val="en-US"/>
        </w:rPr>
        <w:t xml:space="preserve">transitioning towards sustainable development </w:t>
      </w:r>
      <w:r w:rsidRPr="33F0DE72">
        <w:rPr>
          <w:lang w:val="en-US"/>
        </w:rPr>
        <w:t xml:space="preserve">and how this </w:t>
      </w:r>
      <w:r w:rsidR="00EB7DA5" w:rsidRPr="33F0DE72">
        <w:rPr>
          <w:lang w:val="en-US"/>
        </w:rPr>
        <w:t>can</w:t>
      </w:r>
      <w:r w:rsidRPr="33F0DE72">
        <w:rPr>
          <w:lang w:val="en-US"/>
        </w:rPr>
        <w:t xml:space="preserve"> be </w:t>
      </w:r>
      <w:r w:rsidR="00EB7DA5" w:rsidRPr="33F0DE72">
        <w:rPr>
          <w:lang w:val="en-US"/>
        </w:rPr>
        <w:t>perceived</w:t>
      </w:r>
      <w:r w:rsidRPr="33F0DE72">
        <w:rPr>
          <w:lang w:val="en-US"/>
        </w:rPr>
        <w:t xml:space="preserve"> </w:t>
      </w:r>
      <w:r w:rsidR="4D005206" w:rsidRPr="33F0DE72">
        <w:rPr>
          <w:lang w:val="en-US"/>
        </w:rPr>
        <w:t xml:space="preserve">as a part of a </w:t>
      </w:r>
      <w:r w:rsidRPr="33F0DE72">
        <w:rPr>
          <w:lang w:val="en-US"/>
        </w:rPr>
        <w:t xml:space="preserve">wider societal </w:t>
      </w:r>
      <w:r w:rsidR="50E84C35" w:rsidRPr="33F0DE72">
        <w:rPr>
          <w:lang w:val="en-US"/>
        </w:rPr>
        <w:t>shift</w:t>
      </w:r>
      <w:r w:rsidRPr="33F0DE72">
        <w:rPr>
          <w:lang w:val="en-US"/>
        </w:rPr>
        <w:t xml:space="preserve">. </w:t>
      </w:r>
    </w:p>
    <w:p w14:paraId="491BA487" w14:textId="77777777" w:rsidR="00665DB5" w:rsidRDefault="00665DB5" w:rsidP="00EB7DA5">
      <w:pPr>
        <w:jc w:val="both"/>
        <w:rPr>
          <w:lang w:val="en-US"/>
        </w:rPr>
      </w:pPr>
    </w:p>
    <w:p w14:paraId="0B5727BE" w14:textId="366A82BC" w:rsidR="00665DB5" w:rsidRDefault="001D42C2" w:rsidP="00A77C4C">
      <w:pPr>
        <w:pStyle w:val="Overskrift2"/>
      </w:pPr>
      <w:r>
        <w:t>SDGs to fill contextually-bound knowledge gaps in EIA</w:t>
      </w:r>
    </w:p>
    <w:p w14:paraId="1E911CB4" w14:textId="47F802D1" w:rsidR="00B250F1" w:rsidRDefault="006200BF" w:rsidP="00A77C4C">
      <w:pPr>
        <w:jc w:val="both"/>
        <w:rPr>
          <w:lang w:val="en-US"/>
        </w:rPr>
      </w:pPr>
      <w:r>
        <w:rPr>
          <w:lang w:val="en-US"/>
        </w:rPr>
        <w:t xml:space="preserve">This paper has </w:t>
      </w:r>
      <w:r w:rsidR="00C66984">
        <w:rPr>
          <w:lang w:val="en-US"/>
        </w:rPr>
        <w:t xml:space="preserve">identified </w:t>
      </w:r>
      <w:r w:rsidR="00BE73CB">
        <w:rPr>
          <w:lang w:val="en-US"/>
        </w:rPr>
        <w:t xml:space="preserve">gaps in </w:t>
      </w:r>
      <w:r>
        <w:rPr>
          <w:lang w:val="en-US"/>
        </w:rPr>
        <w:t xml:space="preserve">EIA scoping practice and proposed </w:t>
      </w:r>
      <w:r w:rsidR="00C66984">
        <w:rPr>
          <w:lang w:val="en-US"/>
        </w:rPr>
        <w:t xml:space="preserve">the SDGs as means for leveraging </w:t>
      </w:r>
      <w:r w:rsidR="00452432">
        <w:rPr>
          <w:lang w:val="en-US"/>
        </w:rPr>
        <w:t xml:space="preserve">social components of </w:t>
      </w:r>
      <w:r w:rsidR="00B65B1A">
        <w:rPr>
          <w:lang w:val="en-US"/>
        </w:rPr>
        <w:t>EIA</w:t>
      </w:r>
      <w:r w:rsidR="00452432">
        <w:rPr>
          <w:lang w:val="en-US"/>
        </w:rPr>
        <w:t>. However,</w:t>
      </w:r>
      <w:r w:rsidR="00885F49">
        <w:rPr>
          <w:lang w:val="en-US"/>
        </w:rPr>
        <w:t xml:space="preserve"> the </w:t>
      </w:r>
      <w:r w:rsidR="00126435">
        <w:rPr>
          <w:lang w:val="en-US"/>
        </w:rPr>
        <w:t>‘lever’</w:t>
      </w:r>
      <w:r w:rsidR="00885F49">
        <w:rPr>
          <w:lang w:val="en-US"/>
        </w:rPr>
        <w:t xml:space="preserve"> </w:t>
      </w:r>
      <w:r w:rsidR="00186160">
        <w:rPr>
          <w:lang w:val="en-US"/>
        </w:rPr>
        <w:t>is</w:t>
      </w:r>
      <w:r w:rsidR="00885F49">
        <w:rPr>
          <w:lang w:val="en-US"/>
        </w:rPr>
        <w:t xml:space="preserve"> not </w:t>
      </w:r>
      <w:r w:rsidR="00257379">
        <w:rPr>
          <w:lang w:val="en-US"/>
        </w:rPr>
        <w:t>autonomous</w:t>
      </w:r>
      <w:r w:rsidR="002E4B6A">
        <w:rPr>
          <w:lang w:val="en-US"/>
        </w:rPr>
        <w:t xml:space="preserve"> from </w:t>
      </w:r>
      <w:r w:rsidR="00186160">
        <w:rPr>
          <w:lang w:val="en-US"/>
        </w:rPr>
        <w:t xml:space="preserve">the context within which it is embedded. </w:t>
      </w:r>
      <w:r w:rsidR="00715C13">
        <w:rPr>
          <w:lang w:val="en-US"/>
        </w:rPr>
        <w:t xml:space="preserve">The five </w:t>
      </w:r>
      <w:r w:rsidR="00FB2930">
        <w:rPr>
          <w:lang w:val="en-US"/>
        </w:rPr>
        <w:t>EIA reports that have been consulted provide a</w:t>
      </w:r>
      <w:r w:rsidR="00523A2C">
        <w:rPr>
          <w:lang w:val="en-US"/>
        </w:rPr>
        <w:t xml:space="preserve"> small</w:t>
      </w:r>
      <w:r w:rsidR="00FB2930">
        <w:rPr>
          <w:lang w:val="en-US"/>
        </w:rPr>
        <w:t xml:space="preserve"> </w:t>
      </w:r>
      <w:r w:rsidR="00D50A9B">
        <w:rPr>
          <w:lang w:val="en-US"/>
        </w:rPr>
        <w:t xml:space="preserve">window into </w:t>
      </w:r>
      <w:r w:rsidR="008A33FB">
        <w:rPr>
          <w:lang w:val="en-US"/>
        </w:rPr>
        <w:t>scoping practices</w:t>
      </w:r>
      <w:r w:rsidR="00082178">
        <w:rPr>
          <w:lang w:val="en-US"/>
        </w:rPr>
        <w:t xml:space="preserve"> </w:t>
      </w:r>
      <w:r w:rsidR="00160A73">
        <w:rPr>
          <w:lang w:val="en-US"/>
        </w:rPr>
        <w:t>and</w:t>
      </w:r>
      <w:r w:rsidR="00082178">
        <w:rPr>
          <w:lang w:val="en-US"/>
        </w:rPr>
        <w:t xml:space="preserve"> </w:t>
      </w:r>
      <w:r w:rsidR="00502128">
        <w:rPr>
          <w:lang w:val="en-US"/>
        </w:rPr>
        <w:t>draw conclusions regarding</w:t>
      </w:r>
      <w:r w:rsidR="00365727">
        <w:rPr>
          <w:lang w:val="en-US"/>
        </w:rPr>
        <w:t>, on the smallest scale, an individual consultanc</w:t>
      </w:r>
      <w:r w:rsidR="006435E2">
        <w:rPr>
          <w:lang w:val="en-US"/>
        </w:rPr>
        <w:t>y’s E</w:t>
      </w:r>
      <w:r w:rsidR="00C55CDD">
        <w:rPr>
          <w:lang w:val="en-US"/>
        </w:rPr>
        <w:t>I</w:t>
      </w:r>
      <w:r w:rsidR="006435E2">
        <w:rPr>
          <w:lang w:val="en-US"/>
        </w:rPr>
        <w:t>A procedure</w:t>
      </w:r>
      <w:r w:rsidR="006852BD">
        <w:rPr>
          <w:lang w:val="en-US"/>
        </w:rPr>
        <w:t xml:space="preserve">. </w:t>
      </w:r>
      <w:r w:rsidR="006E4E7D">
        <w:rPr>
          <w:lang w:val="en-US"/>
        </w:rPr>
        <w:t>It is a reflection of</w:t>
      </w:r>
      <w:r w:rsidR="00DE03AC">
        <w:rPr>
          <w:lang w:val="en-US"/>
        </w:rPr>
        <w:t xml:space="preserve"> the assessments of</w:t>
      </w:r>
      <w:r w:rsidR="006E4E7D">
        <w:rPr>
          <w:lang w:val="en-US"/>
        </w:rPr>
        <w:t xml:space="preserve"> </w:t>
      </w:r>
      <w:r w:rsidR="009A1666">
        <w:rPr>
          <w:lang w:val="en-US"/>
        </w:rPr>
        <w:t xml:space="preserve">particular project types </w:t>
      </w:r>
      <w:r w:rsidR="00DE03AC">
        <w:rPr>
          <w:lang w:val="en-US"/>
        </w:rPr>
        <w:t>influenced by biophysical, cultural and legislative</w:t>
      </w:r>
      <w:r w:rsidR="000758C7">
        <w:rPr>
          <w:lang w:val="en-US"/>
        </w:rPr>
        <w:t xml:space="preserve"> </w:t>
      </w:r>
      <w:r w:rsidR="00430986">
        <w:rPr>
          <w:lang w:val="en-US"/>
        </w:rPr>
        <w:t>contexts</w:t>
      </w:r>
      <w:r w:rsidR="007F2987">
        <w:rPr>
          <w:lang w:val="en-US"/>
        </w:rPr>
        <w:t>.</w:t>
      </w:r>
      <w:r w:rsidR="008E0AEA">
        <w:rPr>
          <w:lang w:val="en-US"/>
        </w:rPr>
        <w:t xml:space="preserve"> </w:t>
      </w:r>
    </w:p>
    <w:p w14:paraId="65B42089" w14:textId="77777777" w:rsidR="00B250F1" w:rsidRDefault="00B250F1" w:rsidP="00A77C4C">
      <w:pPr>
        <w:jc w:val="both"/>
        <w:rPr>
          <w:lang w:val="en-US"/>
        </w:rPr>
      </w:pPr>
    </w:p>
    <w:p w14:paraId="59125C37" w14:textId="29385372" w:rsidR="00B250F1" w:rsidRDefault="00792F6E" w:rsidP="00A77C4C">
      <w:pPr>
        <w:jc w:val="both"/>
        <w:rPr>
          <w:lang w:val="en-US"/>
        </w:rPr>
      </w:pPr>
      <w:r>
        <w:rPr>
          <w:lang w:val="en-US"/>
        </w:rPr>
        <w:lastRenderedPageBreak/>
        <w:t xml:space="preserve">On </w:t>
      </w:r>
      <w:r w:rsidR="001E5EC8">
        <w:rPr>
          <w:lang w:val="en-US"/>
        </w:rPr>
        <w:t xml:space="preserve">a bigger scale, the </w:t>
      </w:r>
      <w:r w:rsidR="004154A2">
        <w:rPr>
          <w:lang w:val="en-US"/>
        </w:rPr>
        <w:t xml:space="preserve">gaps in assessment parameters reflect </w:t>
      </w:r>
      <w:r w:rsidR="008C04D7">
        <w:rPr>
          <w:lang w:val="en-US"/>
        </w:rPr>
        <w:t xml:space="preserve">a common theme </w:t>
      </w:r>
      <w:r w:rsidR="00204A01">
        <w:rPr>
          <w:lang w:val="en-US"/>
        </w:rPr>
        <w:t>in EA literature</w:t>
      </w:r>
      <w:r w:rsidR="00532EFC">
        <w:rPr>
          <w:lang w:val="en-US"/>
        </w:rPr>
        <w:t xml:space="preserve"> as well as the academic focus </w:t>
      </w:r>
      <w:r w:rsidR="00B250F1">
        <w:rPr>
          <w:lang w:val="en-US"/>
        </w:rPr>
        <w:t xml:space="preserve">for Danish EIA practice. Within Denmark, </w:t>
      </w:r>
      <w:r w:rsidR="00627F87">
        <w:rPr>
          <w:lang w:val="en-US"/>
        </w:rPr>
        <w:t>academia has</w:t>
      </w:r>
      <w:r w:rsidR="00B250F1" w:rsidRPr="33F0DE72">
        <w:rPr>
          <w:lang w:val="en-US"/>
        </w:rPr>
        <w:t xml:space="preserve"> called for a greater inclusion of social considerations in EIA practice. </w:t>
      </w:r>
      <w:r w:rsidR="00D2449C">
        <w:rPr>
          <w:lang w:val="en-US"/>
        </w:rPr>
        <w:t xml:space="preserve">In a national evaluation of EIA, </w:t>
      </w:r>
      <w:proofErr w:type="spellStart"/>
      <w:r w:rsidR="00D2449C">
        <w:rPr>
          <w:lang w:val="en-US"/>
        </w:rPr>
        <w:t>Kørnøv</w:t>
      </w:r>
      <w:proofErr w:type="spellEnd"/>
      <w:r w:rsidR="00D2449C">
        <w:rPr>
          <w:lang w:val="en-US"/>
        </w:rPr>
        <w:t xml:space="preserve"> and </w:t>
      </w:r>
      <w:r w:rsidR="00FC02B3">
        <w:rPr>
          <w:lang w:val="en-US"/>
        </w:rPr>
        <w:t>colleagues</w:t>
      </w:r>
      <w:r w:rsidR="00D2449C">
        <w:rPr>
          <w:lang w:val="en-US"/>
        </w:rPr>
        <w:t xml:space="preserve"> found that </w:t>
      </w:r>
      <w:r w:rsidR="00FC02B3">
        <w:rPr>
          <w:lang w:val="en-US"/>
        </w:rPr>
        <w:t>EIA</w:t>
      </w:r>
      <w:r w:rsidR="00D2449C">
        <w:rPr>
          <w:lang w:val="en-US"/>
        </w:rPr>
        <w:t xml:space="preserve"> practices do not reflect the broad concept of environment, and that social and socio-economic conditions </w:t>
      </w:r>
      <w:r w:rsidR="00786CB3">
        <w:rPr>
          <w:lang w:val="en-US"/>
        </w:rPr>
        <w:t>often are omitted despite their relevance (</w:t>
      </w:r>
      <w:proofErr w:type="spellStart"/>
      <w:r w:rsidR="00786CB3">
        <w:rPr>
          <w:lang w:val="en-US"/>
        </w:rPr>
        <w:t>Kørnøv</w:t>
      </w:r>
      <w:proofErr w:type="spellEnd"/>
      <w:r w:rsidR="00786CB3">
        <w:rPr>
          <w:lang w:val="en-US"/>
        </w:rPr>
        <w:t xml:space="preserve"> et al.</w:t>
      </w:r>
      <w:r w:rsidR="00470504">
        <w:rPr>
          <w:lang w:val="en-US"/>
        </w:rPr>
        <w:t xml:space="preserve"> </w:t>
      </w:r>
      <w:r w:rsidR="00576E81">
        <w:rPr>
          <w:lang w:val="en-US"/>
        </w:rPr>
        <w:t xml:space="preserve">2005). Later, </w:t>
      </w:r>
      <w:r w:rsidR="00B250F1" w:rsidRPr="33F0DE72">
        <w:rPr>
          <w:lang w:val="en-US"/>
        </w:rPr>
        <w:t>Larsen et al. (2015) analyzed the environmental assessment statements of three Danish projects and found that the full social impact of projects was not captured, and as a result, proper mitigation measures were not proposed. Authors have also suggested that the shortcomings in the assessment of social aspects can oftentimes enable social conflicts. Cashmore et al. (2019) state that EAs serve as a framework to limit and prevent conflicts in planning. Larsen et al. (2018) investigate the conflicts generated by the social impacts of renewable energy projects in Denmark.</w:t>
      </w:r>
      <w:r w:rsidR="007A5026">
        <w:rPr>
          <w:lang w:val="en-US"/>
        </w:rPr>
        <w:t xml:space="preserve"> </w:t>
      </w:r>
      <w:r w:rsidR="0040528E">
        <w:rPr>
          <w:lang w:val="en-US"/>
        </w:rPr>
        <w:t xml:space="preserve">Thus, </w:t>
      </w:r>
      <w:r w:rsidR="00185B63">
        <w:rPr>
          <w:lang w:val="en-US"/>
        </w:rPr>
        <w:t xml:space="preserve">this research </w:t>
      </w:r>
      <w:r w:rsidR="007A5026" w:rsidRPr="33F0DE72">
        <w:rPr>
          <w:lang w:val="en-US"/>
        </w:rPr>
        <w:t>confirm</w:t>
      </w:r>
      <w:r w:rsidR="00185B63">
        <w:rPr>
          <w:lang w:val="en-US"/>
        </w:rPr>
        <w:t>s</w:t>
      </w:r>
      <w:r w:rsidR="007A5026" w:rsidRPr="33F0DE72">
        <w:rPr>
          <w:lang w:val="en-US"/>
        </w:rPr>
        <w:t xml:space="preserve"> suspicions in literature </w:t>
      </w:r>
      <w:r w:rsidR="003B55CE">
        <w:rPr>
          <w:lang w:val="en-US"/>
        </w:rPr>
        <w:t>that</w:t>
      </w:r>
      <w:r w:rsidR="007A5026" w:rsidRPr="33F0DE72">
        <w:rPr>
          <w:lang w:val="en-US"/>
        </w:rPr>
        <w:t xml:space="preserve"> strengthening the social parameters </w:t>
      </w:r>
      <w:r w:rsidR="003B55CE">
        <w:rPr>
          <w:lang w:val="en-US"/>
        </w:rPr>
        <w:t xml:space="preserve">of EIA </w:t>
      </w:r>
      <w:r w:rsidR="00FF6F0E">
        <w:rPr>
          <w:lang w:val="en-US"/>
        </w:rPr>
        <w:t>has not</w:t>
      </w:r>
      <w:r w:rsidR="00AF4F3C">
        <w:rPr>
          <w:lang w:val="en-US"/>
        </w:rPr>
        <w:t xml:space="preserve"> </w:t>
      </w:r>
      <w:r w:rsidR="00AB52A4">
        <w:rPr>
          <w:lang w:val="en-US"/>
        </w:rPr>
        <w:t xml:space="preserve">yet </w:t>
      </w:r>
      <w:r w:rsidR="00AD1F0D">
        <w:rPr>
          <w:lang w:val="en-US"/>
        </w:rPr>
        <w:t>c</w:t>
      </w:r>
      <w:r w:rsidR="00AF4F3C">
        <w:rPr>
          <w:lang w:val="en-US"/>
        </w:rPr>
        <w:t>oncretized in practice</w:t>
      </w:r>
      <w:r w:rsidR="00AB52A4">
        <w:rPr>
          <w:lang w:val="en-US"/>
        </w:rPr>
        <w:t xml:space="preserve"> and</w:t>
      </w:r>
      <w:r w:rsidR="00083E59">
        <w:rPr>
          <w:lang w:val="en-US"/>
        </w:rPr>
        <w:t xml:space="preserve"> there</w:t>
      </w:r>
      <w:r w:rsidR="00AB52A4">
        <w:rPr>
          <w:lang w:val="en-US"/>
        </w:rPr>
        <w:t xml:space="preserve"> remains a gap within </w:t>
      </w:r>
      <w:r w:rsidR="00326F47">
        <w:rPr>
          <w:lang w:val="en-US"/>
        </w:rPr>
        <w:t>current scoping practices</w:t>
      </w:r>
      <w:r w:rsidR="00185B63">
        <w:rPr>
          <w:lang w:val="en-US"/>
        </w:rPr>
        <w:t xml:space="preserve">. </w:t>
      </w:r>
    </w:p>
    <w:p w14:paraId="7A10618B" w14:textId="617AFDD8" w:rsidR="00EA77DC" w:rsidRDefault="00EA77DC" w:rsidP="00A77C4C">
      <w:pPr>
        <w:jc w:val="both"/>
        <w:rPr>
          <w:lang w:val="en-US"/>
        </w:rPr>
      </w:pPr>
    </w:p>
    <w:p w14:paraId="46692B0C" w14:textId="62786CC8" w:rsidR="00EA77DC" w:rsidRDefault="00C60432" w:rsidP="00A77C4C">
      <w:pPr>
        <w:jc w:val="both"/>
        <w:rPr>
          <w:lang w:val="en-US"/>
        </w:rPr>
      </w:pPr>
      <w:r>
        <w:rPr>
          <w:lang w:val="en-US"/>
        </w:rPr>
        <w:t>However,</w:t>
      </w:r>
      <w:r w:rsidRPr="33F0DE72">
        <w:rPr>
          <w:lang w:val="en-US"/>
        </w:rPr>
        <w:t xml:space="preserve"> this is</w:t>
      </w:r>
      <w:r w:rsidR="00AF4F3C">
        <w:rPr>
          <w:lang w:val="en-US"/>
        </w:rPr>
        <w:t xml:space="preserve"> </w:t>
      </w:r>
      <w:r w:rsidR="003F50B4">
        <w:rPr>
          <w:lang w:val="en-US"/>
        </w:rPr>
        <w:t xml:space="preserve">merely </w:t>
      </w:r>
      <w:r w:rsidRPr="33F0DE72">
        <w:rPr>
          <w:lang w:val="en-US"/>
        </w:rPr>
        <w:t>a reflection of the needs of Danish EIA practice.</w:t>
      </w:r>
      <w:r>
        <w:rPr>
          <w:lang w:val="en-US"/>
        </w:rPr>
        <w:t xml:space="preserve"> </w:t>
      </w:r>
      <w:r w:rsidR="00EA77DC">
        <w:rPr>
          <w:lang w:val="en-US"/>
        </w:rPr>
        <w:t>The</w:t>
      </w:r>
      <w:r w:rsidR="005C6361">
        <w:rPr>
          <w:lang w:val="en-US"/>
        </w:rPr>
        <w:t xml:space="preserve"> </w:t>
      </w:r>
      <w:r w:rsidR="00EA77DC">
        <w:rPr>
          <w:lang w:val="en-US"/>
        </w:rPr>
        <w:t>lever</w:t>
      </w:r>
      <w:r w:rsidR="005C6361">
        <w:rPr>
          <w:lang w:val="en-US"/>
        </w:rPr>
        <w:t xml:space="preserve"> for social considerations</w:t>
      </w:r>
      <w:r w:rsidR="00EA77DC">
        <w:rPr>
          <w:lang w:val="en-US"/>
        </w:rPr>
        <w:t xml:space="preserve"> as proposed by this research cannot be projected beyond the context </w:t>
      </w:r>
      <w:r w:rsidR="00BC7379">
        <w:rPr>
          <w:lang w:val="en-US"/>
        </w:rPr>
        <w:t xml:space="preserve">of </w:t>
      </w:r>
      <w:r w:rsidR="004114F4">
        <w:rPr>
          <w:lang w:val="en-US"/>
        </w:rPr>
        <w:t xml:space="preserve">the EIA practice </w:t>
      </w:r>
      <w:r w:rsidR="00A908F5">
        <w:rPr>
          <w:lang w:val="en-US"/>
        </w:rPr>
        <w:t xml:space="preserve">to which </w:t>
      </w:r>
      <w:r w:rsidR="004114F4">
        <w:rPr>
          <w:lang w:val="en-US"/>
        </w:rPr>
        <w:t>it pertains</w:t>
      </w:r>
      <w:r w:rsidR="00F12E97">
        <w:rPr>
          <w:lang w:val="en-US"/>
        </w:rPr>
        <w:t>. Literature</w:t>
      </w:r>
      <w:r w:rsidR="00BC7379">
        <w:rPr>
          <w:lang w:val="en-US"/>
        </w:rPr>
        <w:t xml:space="preserve"> </w:t>
      </w:r>
      <w:r w:rsidR="00DE40E0">
        <w:rPr>
          <w:lang w:val="en-US"/>
        </w:rPr>
        <w:t>also suggests that w</w:t>
      </w:r>
      <w:r w:rsidR="00DE40E0" w:rsidRPr="33F0DE72">
        <w:rPr>
          <w:lang w:val="en-US"/>
        </w:rPr>
        <w:t>eaknesses in scoping may be interpreted differently depending on the project and national contexts. For instance,</w:t>
      </w:r>
      <w:r w:rsidR="00DE40E0">
        <w:rPr>
          <w:lang w:val="en-US"/>
        </w:rPr>
        <w:t xml:space="preserve"> </w:t>
      </w:r>
      <w:r w:rsidR="00DE40E0" w:rsidRPr="33F0DE72">
        <w:rPr>
          <w:lang w:val="en-US"/>
        </w:rPr>
        <w:t>Shah (2019) suggests that an EIA of an international airport in Nepal lacks an in-depth study of biophysical parameters, such as wildlife, ecosystem services, and aircraft noise impact on wildlife. Another study of EIAs in Sri Lanka and New Zealand showed a weakness in addressing disaster risk (</w:t>
      </w:r>
      <w:proofErr w:type="spellStart"/>
      <w:r w:rsidR="00DE40E0" w:rsidRPr="33F0DE72">
        <w:rPr>
          <w:noProof/>
          <w:lang w:val="en-US"/>
        </w:rPr>
        <w:t>Hapuarachchi</w:t>
      </w:r>
      <w:proofErr w:type="spellEnd"/>
      <w:r w:rsidR="00DE40E0" w:rsidRPr="33F0DE72">
        <w:rPr>
          <w:noProof/>
          <w:lang w:val="en-US"/>
        </w:rPr>
        <w:t xml:space="preserve"> et al</w:t>
      </w:r>
      <w:r w:rsidR="00406DBB">
        <w:rPr>
          <w:noProof/>
          <w:lang w:val="en-US"/>
        </w:rPr>
        <w:t>.</w:t>
      </w:r>
      <w:r w:rsidR="00DE40E0" w:rsidRPr="33F0DE72">
        <w:rPr>
          <w:noProof/>
          <w:lang w:val="en-US"/>
        </w:rPr>
        <w:t xml:space="preserve"> 2016).</w:t>
      </w:r>
      <w:r w:rsidR="00DE40E0" w:rsidRPr="33F0DE72">
        <w:rPr>
          <w:lang w:val="en-US"/>
        </w:rPr>
        <w:t xml:space="preserve"> In addition, a report on using the SDGs to strengthen environmental consideration of EA in Asia and the Pacific argues for heightened attention to SDGs 12, 14, and 15, which are economic and environmental goals, according to the </w:t>
      </w:r>
      <w:proofErr w:type="spellStart"/>
      <w:r w:rsidR="00DE40E0" w:rsidRPr="33F0DE72">
        <w:rPr>
          <w:lang w:val="en-US"/>
        </w:rPr>
        <w:t>Rockström</w:t>
      </w:r>
      <w:proofErr w:type="spellEnd"/>
      <w:r w:rsidR="00DE40E0" w:rsidRPr="33F0DE72">
        <w:rPr>
          <w:lang w:val="en-US"/>
        </w:rPr>
        <w:t xml:space="preserve"> and Sukhdev model (UNEP &amp; ADB 2019) (Stockholm Resilience Center 2016).</w:t>
      </w:r>
      <w:r w:rsidR="00E86B8D">
        <w:rPr>
          <w:lang w:val="en-US"/>
        </w:rPr>
        <w:t xml:space="preserve"> </w:t>
      </w:r>
      <w:r w:rsidR="00E20040">
        <w:rPr>
          <w:lang w:val="en-US"/>
        </w:rPr>
        <w:t xml:space="preserve">Understanding </w:t>
      </w:r>
      <w:r w:rsidR="00127097">
        <w:rPr>
          <w:lang w:val="en-US"/>
        </w:rPr>
        <w:t>whether</w:t>
      </w:r>
      <w:r w:rsidR="00E20040">
        <w:rPr>
          <w:lang w:val="en-US"/>
        </w:rPr>
        <w:t xml:space="preserve"> the</w:t>
      </w:r>
      <w:r w:rsidR="006673DF">
        <w:rPr>
          <w:lang w:val="en-US"/>
        </w:rPr>
        <w:t xml:space="preserve"> overlap of SDGs </w:t>
      </w:r>
      <w:r w:rsidR="002E5EC6">
        <w:rPr>
          <w:lang w:val="en-US"/>
        </w:rPr>
        <w:t>and EIA parameters</w:t>
      </w:r>
      <w:r w:rsidR="00460FBC">
        <w:rPr>
          <w:lang w:val="en-US"/>
        </w:rPr>
        <w:t xml:space="preserve"> in </w:t>
      </w:r>
      <w:r w:rsidR="00556749">
        <w:rPr>
          <w:lang w:val="en-US"/>
        </w:rPr>
        <w:t>various</w:t>
      </w:r>
      <w:r w:rsidR="00460FBC">
        <w:rPr>
          <w:lang w:val="en-US"/>
        </w:rPr>
        <w:t xml:space="preserve"> contexts</w:t>
      </w:r>
      <w:r w:rsidR="008C1EE0">
        <w:rPr>
          <w:lang w:val="en-US"/>
        </w:rPr>
        <w:t xml:space="preserve"> </w:t>
      </w:r>
      <w:r w:rsidR="00E20040">
        <w:rPr>
          <w:lang w:val="en-US"/>
        </w:rPr>
        <w:t>may reveal differ</w:t>
      </w:r>
      <w:r w:rsidR="00245097">
        <w:rPr>
          <w:lang w:val="en-US"/>
        </w:rPr>
        <w:t xml:space="preserve">ent gaps and </w:t>
      </w:r>
      <w:r w:rsidR="00663EEC">
        <w:rPr>
          <w:lang w:val="en-US"/>
        </w:rPr>
        <w:t>enhance</w:t>
      </w:r>
      <w:r w:rsidR="00245097">
        <w:rPr>
          <w:lang w:val="en-US"/>
        </w:rPr>
        <w:t xml:space="preserve"> scoping </w:t>
      </w:r>
      <w:r w:rsidR="0035735D">
        <w:rPr>
          <w:lang w:val="en-US"/>
        </w:rPr>
        <w:t xml:space="preserve">in </w:t>
      </w:r>
      <w:r w:rsidR="00A70A4C">
        <w:rPr>
          <w:lang w:val="en-US"/>
        </w:rPr>
        <w:t>alternative ways</w:t>
      </w:r>
      <w:r w:rsidR="00A3027F">
        <w:rPr>
          <w:lang w:val="en-US"/>
        </w:rPr>
        <w:t xml:space="preserve"> tha</w:t>
      </w:r>
      <w:r w:rsidR="000768B3">
        <w:rPr>
          <w:lang w:val="en-US"/>
        </w:rPr>
        <w:t>n</w:t>
      </w:r>
      <w:r w:rsidR="00A3027F">
        <w:rPr>
          <w:lang w:val="en-US"/>
        </w:rPr>
        <w:t xml:space="preserve"> explored in this paper</w:t>
      </w:r>
      <w:r w:rsidR="00A70A4C">
        <w:rPr>
          <w:lang w:val="en-US"/>
        </w:rPr>
        <w:t xml:space="preserve"> requires further research. </w:t>
      </w:r>
    </w:p>
    <w:p w14:paraId="538B65AE" w14:textId="25C8B6C7" w:rsidR="003D000A" w:rsidRDefault="003D000A" w:rsidP="00A77C4C">
      <w:pPr>
        <w:jc w:val="both"/>
        <w:rPr>
          <w:lang w:val="en-US"/>
        </w:rPr>
      </w:pPr>
    </w:p>
    <w:p w14:paraId="6822B9A5" w14:textId="0538971C" w:rsidR="00CC6DB5" w:rsidRDefault="00024E1F" w:rsidP="00A77C4C">
      <w:pPr>
        <w:jc w:val="both"/>
        <w:rPr>
          <w:lang w:val="en-US"/>
        </w:rPr>
      </w:pPr>
      <w:r>
        <w:rPr>
          <w:lang w:val="en-US"/>
        </w:rPr>
        <w:t>Therefore</w:t>
      </w:r>
      <w:r w:rsidR="006877AA">
        <w:rPr>
          <w:lang w:val="en-US"/>
        </w:rPr>
        <w:t>, while</w:t>
      </w:r>
      <w:r w:rsidR="00130BF5">
        <w:rPr>
          <w:lang w:val="en-US"/>
        </w:rPr>
        <w:t xml:space="preserve"> </w:t>
      </w:r>
      <w:r w:rsidR="00CC6DB5">
        <w:rPr>
          <w:lang w:val="en-US"/>
        </w:rPr>
        <w:t xml:space="preserve">this paper’s findings </w:t>
      </w:r>
      <w:r w:rsidR="00DA1314">
        <w:rPr>
          <w:lang w:val="en-US"/>
        </w:rPr>
        <w:t>apply only</w:t>
      </w:r>
      <w:r w:rsidR="00CC6DB5">
        <w:rPr>
          <w:lang w:val="en-US"/>
        </w:rPr>
        <w:t xml:space="preserve"> to a geographically-</w:t>
      </w:r>
      <w:r w:rsidR="006D0935">
        <w:rPr>
          <w:lang w:val="en-US"/>
        </w:rPr>
        <w:t xml:space="preserve"> and culturally-bound EIA practice</w:t>
      </w:r>
      <w:r w:rsidR="006877AA">
        <w:rPr>
          <w:lang w:val="en-US"/>
        </w:rPr>
        <w:t xml:space="preserve">, then </w:t>
      </w:r>
      <w:r w:rsidR="009B29BC">
        <w:rPr>
          <w:lang w:val="en-US"/>
        </w:rPr>
        <w:t>the</w:t>
      </w:r>
      <w:r w:rsidR="006877AA">
        <w:rPr>
          <w:lang w:val="en-US"/>
        </w:rPr>
        <w:t xml:space="preserve"> </w:t>
      </w:r>
      <w:r w:rsidR="005026AA">
        <w:rPr>
          <w:lang w:val="en-US"/>
        </w:rPr>
        <w:t xml:space="preserve">methodological </w:t>
      </w:r>
      <w:r w:rsidR="00BF0608">
        <w:rPr>
          <w:lang w:val="en-US"/>
        </w:rPr>
        <w:t>approach</w:t>
      </w:r>
      <w:r w:rsidR="004A22A9">
        <w:rPr>
          <w:lang w:val="en-US"/>
        </w:rPr>
        <w:t xml:space="preserve"> in using the SDGs </w:t>
      </w:r>
      <w:r w:rsidR="00505C8E">
        <w:rPr>
          <w:lang w:val="en-US"/>
        </w:rPr>
        <w:t xml:space="preserve">to </w:t>
      </w:r>
      <w:r w:rsidR="00746A70">
        <w:rPr>
          <w:lang w:val="en-US"/>
        </w:rPr>
        <w:t>obtain more comprehensive</w:t>
      </w:r>
      <w:r w:rsidR="00505C8E">
        <w:rPr>
          <w:lang w:val="en-US"/>
        </w:rPr>
        <w:t xml:space="preserve"> scoping </w:t>
      </w:r>
      <w:r w:rsidR="00746A70">
        <w:rPr>
          <w:lang w:val="en-US"/>
        </w:rPr>
        <w:t xml:space="preserve">practices </w:t>
      </w:r>
      <w:r w:rsidR="00640707">
        <w:rPr>
          <w:lang w:val="en-US"/>
        </w:rPr>
        <w:t xml:space="preserve">could apply </w:t>
      </w:r>
      <w:r w:rsidR="00041FAC">
        <w:rPr>
          <w:lang w:val="en-US"/>
        </w:rPr>
        <w:t xml:space="preserve">across EIA procedures. </w:t>
      </w:r>
      <w:r w:rsidR="00F23BFE" w:rsidRPr="33F0DE72">
        <w:rPr>
          <w:lang w:val="en-US"/>
        </w:rPr>
        <w:t xml:space="preserve">For this reason, this SDG linking exercise may be used to detect gaps in EIA scoping, whether they are </w:t>
      </w:r>
      <w:proofErr w:type="spellStart"/>
      <w:r w:rsidR="00E8379B">
        <w:rPr>
          <w:lang w:val="en-US"/>
        </w:rPr>
        <w:t>biospheric</w:t>
      </w:r>
      <w:proofErr w:type="spellEnd"/>
      <w:r w:rsidR="00F23BFE" w:rsidRPr="33F0DE72">
        <w:rPr>
          <w:lang w:val="en-US"/>
        </w:rPr>
        <w:t>, economic or social</w:t>
      </w:r>
      <w:r w:rsidR="003F50B4">
        <w:rPr>
          <w:lang w:val="en-US"/>
        </w:rPr>
        <w:t xml:space="preserve"> and use </w:t>
      </w:r>
      <w:r w:rsidR="002F7CF6">
        <w:rPr>
          <w:lang w:val="en-US"/>
        </w:rPr>
        <w:t xml:space="preserve">politically-derived </w:t>
      </w:r>
      <w:r w:rsidR="0061532E">
        <w:rPr>
          <w:lang w:val="en-US"/>
        </w:rPr>
        <w:t xml:space="preserve">sustainability </w:t>
      </w:r>
      <w:r w:rsidR="009950E1">
        <w:rPr>
          <w:lang w:val="en-US"/>
        </w:rPr>
        <w:t xml:space="preserve">goals to define </w:t>
      </w:r>
      <w:r w:rsidR="00CE2707">
        <w:rPr>
          <w:lang w:val="en-US"/>
        </w:rPr>
        <w:t xml:space="preserve">what each entail.  </w:t>
      </w:r>
    </w:p>
    <w:p w14:paraId="69D80BE9" w14:textId="77777777" w:rsidR="00EB7DA5" w:rsidRPr="006A7099" w:rsidRDefault="00EB7DA5" w:rsidP="006A7099">
      <w:pPr>
        <w:jc w:val="both"/>
        <w:rPr>
          <w:rFonts w:cstheme="minorHAnsi"/>
          <w:lang w:val="en-US"/>
        </w:rPr>
      </w:pPr>
    </w:p>
    <w:p w14:paraId="7A4FFF21" w14:textId="2AABF368" w:rsidR="0003205B" w:rsidRPr="00EB7DA5" w:rsidRDefault="00F643CD" w:rsidP="00EB7DA5">
      <w:pPr>
        <w:pStyle w:val="Overskrift2"/>
      </w:pPr>
      <w:r w:rsidRPr="005E0F7B">
        <w:t xml:space="preserve">Inclusion of </w:t>
      </w:r>
      <w:r w:rsidR="0003205B" w:rsidRPr="005E0F7B">
        <w:t xml:space="preserve">SDGs </w:t>
      </w:r>
      <w:r w:rsidRPr="005E0F7B">
        <w:t xml:space="preserve">requires a </w:t>
      </w:r>
      <w:r w:rsidR="0003205B" w:rsidRPr="005E0F7B">
        <w:t>multilevel perspective</w:t>
      </w:r>
    </w:p>
    <w:p w14:paraId="3976117D" w14:textId="08D53CE5" w:rsidR="008F64FC" w:rsidRDefault="008F64FC" w:rsidP="008F64FC">
      <w:pPr>
        <w:jc w:val="both"/>
        <w:rPr>
          <w:lang w:val="en-US"/>
        </w:rPr>
      </w:pPr>
      <w:r w:rsidRPr="33F0DE72">
        <w:rPr>
          <w:lang w:val="en-US"/>
        </w:rPr>
        <w:t xml:space="preserve">A more </w:t>
      </w:r>
      <w:r w:rsidR="002F726B">
        <w:rPr>
          <w:lang w:val="en-US"/>
        </w:rPr>
        <w:t>comprehensive scoping practice</w:t>
      </w:r>
      <w:r w:rsidRPr="33F0DE72">
        <w:rPr>
          <w:lang w:val="en-US"/>
        </w:rPr>
        <w:t xml:space="preserve"> is also a part of establishing a more integrated foundation </w:t>
      </w:r>
      <w:r w:rsidR="2622B247" w:rsidRPr="33F0DE72">
        <w:rPr>
          <w:lang w:val="en-US"/>
        </w:rPr>
        <w:t>upon</w:t>
      </w:r>
      <w:r w:rsidRPr="33F0DE72">
        <w:rPr>
          <w:lang w:val="en-US"/>
        </w:rPr>
        <w:t xml:space="preserve"> which to conduct EIAs. Doing so not only provides a more convenient point of departure for more inclusive scoping practices, it is also a strategy for strengthening the commitment to sustainable project development and </w:t>
      </w:r>
      <w:r w:rsidR="5E610114" w:rsidRPr="33F0DE72">
        <w:rPr>
          <w:lang w:val="en-US"/>
        </w:rPr>
        <w:t>for</w:t>
      </w:r>
      <w:r w:rsidRPr="33F0DE72">
        <w:rPr>
          <w:lang w:val="en-US"/>
        </w:rPr>
        <w:t xml:space="preserve"> redefining what sustainability entails within </w:t>
      </w:r>
      <w:r w:rsidR="00F11664" w:rsidRPr="33F0DE72">
        <w:rPr>
          <w:lang w:val="en-US"/>
        </w:rPr>
        <w:t xml:space="preserve">the </w:t>
      </w:r>
      <w:r w:rsidR="00EB7DA5" w:rsidRPr="33F0DE72">
        <w:rPr>
          <w:lang w:val="en-US"/>
        </w:rPr>
        <w:t>project</w:t>
      </w:r>
      <w:r w:rsidRPr="33F0DE72">
        <w:rPr>
          <w:lang w:val="en-US"/>
        </w:rPr>
        <w:t xml:space="preserve"> industry. However, it is worth recognizing that the transition towards sustainable development and</w:t>
      </w:r>
      <w:r w:rsidR="2ADE19D4" w:rsidRPr="33F0DE72">
        <w:rPr>
          <w:lang w:val="en-US"/>
        </w:rPr>
        <w:t xml:space="preserve"> improvement of the</w:t>
      </w:r>
      <w:r w:rsidRPr="33F0DE72">
        <w:rPr>
          <w:lang w:val="en-US"/>
        </w:rPr>
        <w:t xml:space="preserve"> EIA scoping practice</w:t>
      </w:r>
      <w:r w:rsidR="631C68A1" w:rsidRPr="33F0DE72">
        <w:rPr>
          <w:lang w:val="en-US"/>
        </w:rPr>
        <w:t xml:space="preserve"> to include</w:t>
      </w:r>
      <w:r w:rsidR="00AD0364">
        <w:rPr>
          <w:lang w:val="en-US"/>
        </w:rPr>
        <w:t>, for instance,</w:t>
      </w:r>
      <w:r w:rsidRPr="33F0DE72">
        <w:rPr>
          <w:lang w:val="en-US"/>
        </w:rPr>
        <w:t xml:space="preserve"> social paradigms is part of a larger system that connects global visions to on-the-ground practice. Kemp et al. (2007) identif</w:t>
      </w:r>
      <w:r w:rsidR="00E51580" w:rsidRPr="33F0DE72">
        <w:rPr>
          <w:lang w:val="en-US"/>
        </w:rPr>
        <w:t>y</w:t>
      </w:r>
      <w:r w:rsidRPr="33F0DE72">
        <w:rPr>
          <w:lang w:val="en-US"/>
        </w:rPr>
        <w:t xml:space="preserve"> sustainable development as operating within a multi-level system, in which establishing long-term visions and agendas is just as crucial as experimenting with</w:t>
      </w:r>
      <w:r w:rsidR="5B00D086" w:rsidRPr="33F0DE72">
        <w:rPr>
          <w:lang w:val="en-US"/>
        </w:rPr>
        <w:t xml:space="preserve"> innovation in practice</w:t>
      </w:r>
      <w:r w:rsidR="005011F6">
        <w:rPr>
          <w:lang w:val="en-US"/>
        </w:rPr>
        <w:t>.</w:t>
      </w:r>
      <w:r w:rsidRPr="33F0DE72">
        <w:rPr>
          <w:lang w:val="en-US"/>
        </w:rPr>
        <w:t xml:space="preserve"> </w:t>
      </w:r>
    </w:p>
    <w:p w14:paraId="0189C181" w14:textId="77777777" w:rsidR="008F64FC" w:rsidRDefault="008F64FC" w:rsidP="008F64FC">
      <w:pPr>
        <w:jc w:val="both"/>
        <w:rPr>
          <w:lang w:val="en-US"/>
        </w:rPr>
      </w:pPr>
    </w:p>
    <w:p w14:paraId="1CD12438" w14:textId="33596DC7" w:rsidR="008F64FC" w:rsidRDefault="008F64FC" w:rsidP="008F64FC">
      <w:pPr>
        <w:jc w:val="both"/>
        <w:rPr>
          <w:lang w:val="en-US"/>
        </w:rPr>
      </w:pPr>
      <w:r w:rsidRPr="33F0DE72">
        <w:rPr>
          <w:lang w:val="en-US"/>
        </w:rPr>
        <w:t>If assuming this multi-level perspective, the SDGs have been created within the highest political level as long-term visions for future development</w:t>
      </w:r>
      <w:r w:rsidR="40A4700B" w:rsidRPr="33F0DE72">
        <w:rPr>
          <w:lang w:val="en-US"/>
        </w:rPr>
        <w:t xml:space="preserve">. </w:t>
      </w:r>
      <w:r w:rsidR="7A8677AC" w:rsidRPr="33F0DE72">
        <w:rPr>
          <w:lang w:val="en-US"/>
        </w:rPr>
        <w:t xml:space="preserve">They </w:t>
      </w:r>
      <w:r w:rsidRPr="33F0DE72">
        <w:rPr>
          <w:lang w:val="en-US"/>
        </w:rPr>
        <w:t xml:space="preserve">have since then, been nationally interpreted to adapt into specific country contexts and have thus been contributing factors to </w:t>
      </w:r>
      <w:r w:rsidR="1BDEE991" w:rsidRPr="33F0DE72">
        <w:rPr>
          <w:lang w:val="en-US"/>
        </w:rPr>
        <w:t>the development of</w:t>
      </w:r>
      <w:r w:rsidRPr="33F0DE72">
        <w:rPr>
          <w:lang w:val="en-US"/>
        </w:rPr>
        <w:t xml:space="preserve"> corresponding agendas and networks. Thereby, if considering the EIA and project development as an opportunity to experiment with sustainable development in practice, then the EIA procedure concerns itself mainly with the final level</w:t>
      </w:r>
      <w:r w:rsidR="2D9CEB55" w:rsidRPr="33F0DE72">
        <w:rPr>
          <w:lang w:val="en-US"/>
        </w:rPr>
        <w:t xml:space="preserve"> that </w:t>
      </w:r>
      <w:r w:rsidR="2D9CEB55" w:rsidRPr="33F0DE72">
        <w:rPr>
          <w:lang w:val="en-US"/>
        </w:rPr>
        <w:lastRenderedPageBreak/>
        <w:t>is</w:t>
      </w:r>
      <w:r w:rsidRPr="33F0DE72">
        <w:rPr>
          <w:lang w:val="en-US"/>
        </w:rPr>
        <w:t xml:space="preserve"> closest to on-the-ground implementation. Just as</w:t>
      </w:r>
      <w:r w:rsidR="7B315C29" w:rsidRPr="33F0DE72">
        <w:rPr>
          <w:lang w:val="en-US"/>
        </w:rPr>
        <w:t xml:space="preserve"> they have been integrated into</w:t>
      </w:r>
      <w:r w:rsidRPr="33F0DE72">
        <w:rPr>
          <w:lang w:val="en-US"/>
        </w:rPr>
        <w:t xml:space="preserve"> higher</w:t>
      </w:r>
      <w:r w:rsidR="18F79282" w:rsidRPr="33F0DE72">
        <w:rPr>
          <w:lang w:val="en-US"/>
        </w:rPr>
        <w:t>, strategic</w:t>
      </w:r>
      <w:r w:rsidRPr="33F0DE72">
        <w:rPr>
          <w:lang w:val="en-US"/>
        </w:rPr>
        <w:t xml:space="preserve"> levels, the SDGs must</w:t>
      </w:r>
      <w:r w:rsidR="701FCC4C" w:rsidRPr="33F0DE72">
        <w:rPr>
          <w:lang w:val="en-US"/>
        </w:rPr>
        <w:t xml:space="preserve"> also now</w:t>
      </w:r>
      <w:r w:rsidRPr="33F0DE72">
        <w:rPr>
          <w:lang w:val="en-US"/>
        </w:rPr>
        <w:t xml:space="preserve"> be expected to lead innovative experimentation in this final level. </w:t>
      </w:r>
    </w:p>
    <w:p w14:paraId="1E672E39" w14:textId="77777777" w:rsidR="008F64FC" w:rsidRDefault="008F64FC" w:rsidP="008F64FC">
      <w:pPr>
        <w:jc w:val="both"/>
        <w:rPr>
          <w:lang w:val="en-US"/>
        </w:rPr>
      </w:pPr>
    </w:p>
    <w:p w14:paraId="7764F052" w14:textId="09AA9594" w:rsidR="008F64FC" w:rsidRDefault="008F64FC" w:rsidP="008F64FC">
      <w:pPr>
        <w:jc w:val="both"/>
        <w:rPr>
          <w:lang w:val="en-US"/>
        </w:rPr>
      </w:pPr>
      <w:r w:rsidRPr="33F0DE72">
        <w:rPr>
          <w:lang w:val="en-US"/>
        </w:rPr>
        <w:t>This research proposes doing so by utilizing the SDGs within EIA practice</w:t>
      </w:r>
      <w:r w:rsidR="4C01A043" w:rsidRPr="33F0DE72">
        <w:rPr>
          <w:lang w:val="en-US"/>
        </w:rPr>
        <w:t>,</w:t>
      </w:r>
      <w:r w:rsidRPr="33F0DE72">
        <w:rPr>
          <w:lang w:val="en-US"/>
        </w:rPr>
        <w:t xml:space="preserve"> which is directly in touch with the projects being implemented in practical operations. It contributes to this multi</w:t>
      </w:r>
      <w:r w:rsidR="00E51580" w:rsidRPr="33F0DE72">
        <w:rPr>
          <w:lang w:val="en-US"/>
        </w:rPr>
        <w:t>-</w:t>
      </w:r>
      <w:r w:rsidRPr="33F0DE72">
        <w:rPr>
          <w:lang w:val="en-US"/>
        </w:rPr>
        <w:t>level system by solidifying the role of the SDGs within the operational level while crucially strengthening the role of social aspects within this mobilization. With this, the SDGs can bring long-term political visions into EIA practice, and use the sustainable development</w:t>
      </w:r>
      <w:r w:rsidR="60EA6526" w:rsidRPr="33F0DE72">
        <w:rPr>
          <w:lang w:val="en-US"/>
        </w:rPr>
        <w:t>,</w:t>
      </w:r>
      <w:r w:rsidRPr="33F0DE72">
        <w:rPr>
          <w:lang w:val="en-US"/>
        </w:rPr>
        <w:t xml:space="preserve"> as defined in these political spheres</w:t>
      </w:r>
      <w:r w:rsidR="5D9E8A3A" w:rsidRPr="33F0DE72">
        <w:rPr>
          <w:lang w:val="en-US"/>
        </w:rPr>
        <w:t>,</w:t>
      </w:r>
      <w:r w:rsidRPr="33F0DE72">
        <w:rPr>
          <w:lang w:val="en-US"/>
        </w:rPr>
        <w:t xml:space="preserve"> to improve the understanding</w:t>
      </w:r>
      <w:r w:rsidR="3536BEB7" w:rsidRPr="33F0DE72">
        <w:rPr>
          <w:lang w:val="en-US"/>
        </w:rPr>
        <w:t xml:space="preserve"> that is</w:t>
      </w:r>
      <w:r w:rsidRPr="33F0DE72">
        <w:rPr>
          <w:lang w:val="en-US"/>
        </w:rPr>
        <w:t xml:space="preserve"> also exercised on the ground.</w:t>
      </w:r>
    </w:p>
    <w:p w14:paraId="76647767" w14:textId="77777777" w:rsidR="008F64FC" w:rsidRDefault="008F64FC" w:rsidP="008F64FC">
      <w:pPr>
        <w:jc w:val="both"/>
        <w:rPr>
          <w:lang w:val="en-US"/>
        </w:rPr>
      </w:pPr>
    </w:p>
    <w:p w14:paraId="0745AB86" w14:textId="10802E57" w:rsidR="008F64FC" w:rsidRDefault="008F64FC" w:rsidP="008F64FC">
      <w:pPr>
        <w:jc w:val="both"/>
        <w:rPr>
          <w:lang w:val="en-US"/>
        </w:rPr>
        <w:sectPr w:rsidR="008F64FC" w:rsidSect="0003205B">
          <w:type w:val="continuous"/>
          <w:pgSz w:w="11900" w:h="16840"/>
          <w:pgMar w:top="1701" w:right="1134" w:bottom="1820" w:left="1134" w:header="708" w:footer="708" w:gutter="0"/>
          <w:cols w:space="720"/>
          <w:docGrid w:linePitch="360"/>
        </w:sectPr>
      </w:pPr>
      <w:r w:rsidRPr="33F0DE72">
        <w:rPr>
          <w:lang w:val="en-US"/>
        </w:rPr>
        <w:t>However, it should also be recognized that merely strengthening the social aspect of the EIA does not necessarily ensure strengthening the commitment to sustainable development. This research proposes a supplement</w:t>
      </w:r>
      <w:r w:rsidR="4C85D265" w:rsidRPr="33F0DE72">
        <w:rPr>
          <w:lang w:val="en-US"/>
        </w:rPr>
        <w:t>al</w:t>
      </w:r>
      <w:r w:rsidRPr="33F0DE72">
        <w:rPr>
          <w:lang w:val="en-US"/>
        </w:rPr>
        <w:t xml:space="preserve"> scoping framework, yet it remains to be tested in EIA practice</w:t>
      </w:r>
      <w:r w:rsidR="787B268C" w:rsidRPr="33F0DE72">
        <w:rPr>
          <w:lang w:val="en-US"/>
        </w:rPr>
        <w:t>.</w:t>
      </w:r>
      <w:r w:rsidR="00B023BA">
        <w:rPr>
          <w:lang w:val="en-US"/>
        </w:rPr>
        <w:t xml:space="preserve"> </w:t>
      </w:r>
      <w:r w:rsidR="7A2B502A" w:rsidRPr="33F0DE72">
        <w:rPr>
          <w:lang w:val="en-US"/>
        </w:rPr>
        <w:t>Testing the framework</w:t>
      </w:r>
      <w:r w:rsidRPr="33F0DE72">
        <w:rPr>
          <w:lang w:val="en-US"/>
        </w:rPr>
        <w:t xml:space="preserve"> should not be without continuous reflection upon the effects of incorporating SDGs and whether their function within project development does strengthen sustainable development in practice as predicted. </w:t>
      </w:r>
      <w:r w:rsidR="00471C0F" w:rsidRPr="33F0DE72">
        <w:rPr>
          <w:lang w:val="en-US"/>
        </w:rPr>
        <w:t xml:space="preserve">Likewise, strengthening the consideration of social aspects through SDGs does not automatically result in a better use of SDGs within EIA. </w:t>
      </w:r>
      <w:r w:rsidR="21F4441E" w:rsidRPr="33F0DE72">
        <w:rPr>
          <w:lang w:val="en-US"/>
        </w:rPr>
        <w:t xml:space="preserve">The </w:t>
      </w:r>
      <w:r w:rsidR="00471C0F" w:rsidRPr="33F0DE72">
        <w:rPr>
          <w:lang w:val="en-US"/>
        </w:rPr>
        <w:t xml:space="preserve">incorporation of the SDGs in EA practice is highly dependent on </w:t>
      </w:r>
      <w:r w:rsidR="61DD5FF2" w:rsidRPr="33F0DE72">
        <w:rPr>
          <w:lang w:val="en-US"/>
        </w:rPr>
        <w:t xml:space="preserve">the </w:t>
      </w:r>
      <w:r w:rsidR="00471C0F" w:rsidRPr="33F0DE72">
        <w:rPr>
          <w:lang w:val="en-US"/>
        </w:rPr>
        <w:t>prioritization of SDGs at higher levels</w:t>
      </w:r>
      <w:r w:rsidR="2A8B93F8" w:rsidRPr="33F0DE72">
        <w:rPr>
          <w:lang w:val="en-US"/>
        </w:rPr>
        <w:t>.</w:t>
      </w:r>
      <w:r w:rsidR="00471C0F" w:rsidRPr="33F0DE72">
        <w:rPr>
          <w:lang w:val="en-US"/>
        </w:rPr>
        <w:t xml:space="preserve"> </w:t>
      </w:r>
      <w:r w:rsidR="6EA7F4B9" w:rsidRPr="33F0DE72">
        <w:rPr>
          <w:lang w:val="en-US"/>
        </w:rPr>
        <w:t xml:space="preserve">For instance, </w:t>
      </w:r>
      <w:r w:rsidR="00471C0F" w:rsidRPr="33F0DE72">
        <w:rPr>
          <w:lang w:val="en-US"/>
        </w:rPr>
        <w:t>a weak priority at</w:t>
      </w:r>
      <w:r w:rsidR="5BFAFBB0" w:rsidRPr="33F0DE72">
        <w:rPr>
          <w:lang w:val="en-US"/>
        </w:rPr>
        <w:t xml:space="preserve"> </w:t>
      </w:r>
      <w:r w:rsidR="00471C0F" w:rsidRPr="33F0DE72">
        <w:rPr>
          <w:lang w:val="en-US"/>
        </w:rPr>
        <w:t xml:space="preserve">the authority level may significantly reduce the benefit of using SDGs </w:t>
      </w:r>
      <w:r w:rsidR="43D7CF0E" w:rsidRPr="33F0DE72">
        <w:rPr>
          <w:lang w:val="en-US"/>
        </w:rPr>
        <w:t>to leverage</w:t>
      </w:r>
      <w:r w:rsidR="00471C0F" w:rsidRPr="33F0DE72">
        <w:rPr>
          <w:lang w:val="en-US"/>
        </w:rPr>
        <w:t xml:space="preserve"> social aspects in EIA practice. In addition, attention to the particular function of the SDGs within EA should be a priority for future experimentation in order to </w:t>
      </w:r>
      <w:r w:rsidR="00427FD5" w:rsidRPr="33F0DE72">
        <w:rPr>
          <w:lang w:val="en-US"/>
        </w:rPr>
        <w:t xml:space="preserve">maintain a focus on sustainable development. </w:t>
      </w:r>
      <w:r w:rsidRPr="33F0DE72">
        <w:rPr>
          <w:lang w:val="en-US"/>
        </w:rPr>
        <w:t>Thus, a continuous collaboration between the levels and monitoring of progress is crucial, so that the sustainable efforts advocated in EIA practice are synonymous with long-term global vision</w:t>
      </w:r>
      <w:r w:rsidR="008254BB" w:rsidRPr="33F0DE72">
        <w:rPr>
          <w:lang w:val="en-US"/>
        </w:rPr>
        <w:t>s.</w:t>
      </w:r>
    </w:p>
    <w:p w14:paraId="2912638D" w14:textId="071E8F5F" w:rsidR="001232E2" w:rsidRDefault="001232E2" w:rsidP="00B744A5">
      <w:pPr>
        <w:jc w:val="both"/>
        <w:rPr>
          <w:lang w:val="en-US"/>
        </w:rPr>
        <w:sectPr w:rsidR="001232E2" w:rsidSect="0003205B">
          <w:type w:val="continuous"/>
          <w:pgSz w:w="11900" w:h="16840"/>
          <w:pgMar w:top="1701" w:right="1134" w:bottom="1701" w:left="1134" w:header="708" w:footer="708" w:gutter="0"/>
          <w:cols w:space="720"/>
          <w:docGrid w:linePitch="360"/>
        </w:sectPr>
      </w:pPr>
    </w:p>
    <w:p w14:paraId="30D1FE9E" w14:textId="46B448B7" w:rsidR="008007EF" w:rsidRPr="00540DF9" w:rsidRDefault="008007EF">
      <w:pPr>
        <w:rPr>
          <w:rFonts w:asciiTheme="majorHAnsi" w:eastAsiaTheme="majorEastAsia" w:hAnsiTheme="majorHAnsi" w:cstheme="majorBidi"/>
          <w:color w:val="2F5496" w:themeColor="accent1" w:themeShade="BF"/>
          <w:sz w:val="32"/>
          <w:szCs w:val="32"/>
          <w:lang w:val="en-US"/>
        </w:rPr>
      </w:pPr>
    </w:p>
    <w:p w14:paraId="263A99FA" w14:textId="207E8571" w:rsidR="00263083" w:rsidRDefault="00263083" w:rsidP="00DF3C63">
      <w:pPr>
        <w:pStyle w:val="Overskrift1"/>
        <w:rPr>
          <w:lang w:val="en-US"/>
        </w:rPr>
      </w:pPr>
      <w:proofErr w:type="spellStart"/>
      <w:r w:rsidRPr="00DF3C63">
        <w:t>Conclusion</w:t>
      </w:r>
      <w:proofErr w:type="spellEnd"/>
    </w:p>
    <w:p w14:paraId="3131E01E" w14:textId="77777777" w:rsidR="007C5980" w:rsidRDefault="007C5980" w:rsidP="007C5980">
      <w:pPr>
        <w:rPr>
          <w:lang w:val="en-US"/>
        </w:rPr>
      </w:pPr>
    </w:p>
    <w:p w14:paraId="18925F5D" w14:textId="4E71687A" w:rsidR="008F64FC" w:rsidRDefault="008F64FC" w:rsidP="008F64FC">
      <w:pPr>
        <w:jc w:val="both"/>
        <w:rPr>
          <w:lang w:val="en-US"/>
        </w:rPr>
      </w:pPr>
      <w:r>
        <w:rPr>
          <w:lang w:val="en-US"/>
        </w:rPr>
        <w:t xml:space="preserve">The synergy between the SDGs and EA becomes evident when considering their common commitment to strengthening sustainable development, which </w:t>
      </w:r>
      <w:r w:rsidR="00601E00">
        <w:rPr>
          <w:lang w:val="en-US"/>
        </w:rPr>
        <w:t>brings with it</w:t>
      </w:r>
      <w:r>
        <w:rPr>
          <w:lang w:val="en-US"/>
        </w:rPr>
        <w:t xml:space="preserve"> an obligation to finding methodologies to pursue this synergy. This research </w:t>
      </w:r>
      <w:r w:rsidR="007D3B45">
        <w:rPr>
          <w:lang w:val="en-US"/>
        </w:rPr>
        <w:t>drafts</w:t>
      </w:r>
      <w:r>
        <w:rPr>
          <w:lang w:val="en-US"/>
        </w:rPr>
        <w:t xml:space="preserve"> an initial linking of SDG targets to </w:t>
      </w:r>
      <w:r w:rsidR="00896A86">
        <w:rPr>
          <w:lang w:val="en-US"/>
        </w:rPr>
        <w:t xml:space="preserve">EIA </w:t>
      </w:r>
      <w:r w:rsidR="00427FD5">
        <w:rPr>
          <w:lang w:val="en-US"/>
        </w:rPr>
        <w:t>assessment</w:t>
      </w:r>
      <w:r>
        <w:rPr>
          <w:lang w:val="en-US"/>
        </w:rPr>
        <w:t xml:space="preserve"> parameters using </w:t>
      </w:r>
      <w:r w:rsidR="00145DD3">
        <w:rPr>
          <w:lang w:val="en-US"/>
        </w:rPr>
        <w:t>five</w:t>
      </w:r>
      <w:r>
        <w:rPr>
          <w:lang w:val="en-US"/>
        </w:rPr>
        <w:t xml:space="preserve"> EIA reports. It demonstrates how the current EIA practice aligns with SDG targets and gives insight into what </w:t>
      </w:r>
      <w:r w:rsidR="00427FD5">
        <w:rPr>
          <w:lang w:val="en-US"/>
        </w:rPr>
        <w:t>assessment</w:t>
      </w:r>
      <w:r>
        <w:rPr>
          <w:lang w:val="en-US"/>
        </w:rPr>
        <w:t xml:space="preserve"> parameters are relevant </w:t>
      </w:r>
      <w:r w:rsidR="0076187E">
        <w:rPr>
          <w:lang w:val="en-US"/>
        </w:rPr>
        <w:t>in a Danish context</w:t>
      </w:r>
      <w:r>
        <w:rPr>
          <w:lang w:val="en-US"/>
        </w:rPr>
        <w:t xml:space="preserve"> for determining how a project contributes to fulfilling political goals.</w:t>
      </w:r>
    </w:p>
    <w:p w14:paraId="42612BE1" w14:textId="77777777" w:rsidR="008F64FC" w:rsidRDefault="008F64FC" w:rsidP="008F64FC">
      <w:pPr>
        <w:jc w:val="both"/>
        <w:rPr>
          <w:lang w:val="en-US"/>
        </w:rPr>
      </w:pPr>
    </w:p>
    <w:p w14:paraId="24DD4050" w14:textId="52E501D2" w:rsidR="008F64FC" w:rsidRDefault="008F64FC" w:rsidP="008F64FC">
      <w:pPr>
        <w:jc w:val="both"/>
        <w:rPr>
          <w:lang w:val="en-US"/>
        </w:rPr>
      </w:pPr>
      <w:r>
        <w:rPr>
          <w:lang w:val="en-US"/>
        </w:rPr>
        <w:t>In this way, the research is a case study based on Danish consultancy experience with EIA practice and is therefore only representative of this individual case. In other words, further studies are needed to explore the potential of SDG</w:t>
      </w:r>
      <w:r w:rsidR="00427FD5">
        <w:rPr>
          <w:lang w:val="en-US"/>
        </w:rPr>
        <w:t>s</w:t>
      </w:r>
      <w:r>
        <w:rPr>
          <w:lang w:val="en-US"/>
        </w:rPr>
        <w:t xml:space="preserve"> </w:t>
      </w:r>
      <w:r w:rsidR="00427FD5">
        <w:rPr>
          <w:lang w:val="en-US"/>
        </w:rPr>
        <w:t>within</w:t>
      </w:r>
      <w:r>
        <w:rPr>
          <w:lang w:val="en-US"/>
        </w:rPr>
        <w:t xml:space="preserve"> EIA scoping in other contexts. </w:t>
      </w:r>
      <w:r w:rsidR="00FF1213">
        <w:rPr>
          <w:lang w:val="en-US"/>
        </w:rPr>
        <w:t>The</w:t>
      </w:r>
      <w:r w:rsidR="00427FD5">
        <w:rPr>
          <w:lang w:val="en-US"/>
        </w:rPr>
        <w:t xml:space="preserve"> repertoire of relevant SDGs in EIA practice may be different if operating within a different country context, just as the scope of assessment parameters may differ as well</w:t>
      </w:r>
      <w:r>
        <w:rPr>
          <w:lang w:val="en-US"/>
        </w:rPr>
        <w:t xml:space="preserve">. Further studies will provide a stronger basis for developing ways to promote comprehensive EIA scoping and thereby strengthen the potential of EIA to guide decision-makers on SDGs. Additionally, determining overlaps between SDG targets and EIA practice is based on a qualitative assessment, and should not be viewed as </w:t>
      </w:r>
      <w:r w:rsidR="00B214C7">
        <w:rPr>
          <w:lang w:val="en-US"/>
        </w:rPr>
        <w:t xml:space="preserve">definitively </w:t>
      </w:r>
      <w:r>
        <w:rPr>
          <w:lang w:val="en-US"/>
        </w:rPr>
        <w:t xml:space="preserve">conclusive. Rather, the study suggests that current EIA practice and the assessments included do parallel social, economic, and </w:t>
      </w:r>
      <w:proofErr w:type="spellStart"/>
      <w:r w:rsidR="00895FA9">
        <w:rPr>
          <w:lang w:val="en-US"/>
        </w:rPr>
        <w:t>biospheric</w:t>
      </w:r>
      <w:proofErr w:type="spellEnd"/>
      <w:r w:rsidR="00895FA9">
        <w:rPr>
          <w:lang w:val="en-US"/>
        </w:rPr>
        <w:t xml:space="preserve"> </w:t>
      </w:r>
      <w:r>
        <w:rPr>
          <w:lang w:val="en-US"/>
        </w:rPr>
        <w:t xml:space="preserve">facets outlined by the SDG targets and confirms that the hypothesized potential in linking SDGs to the EIA is a feasible strategy for </w:t>
      </w:r>
      <w:r w:rsidR="00F80F60">
        <w:rPr>
          <w:lang w:val="en-US"/>
        </w:rPr>
        <w:t xml:space="preserve">developing </w:t>
      </w:r>
      <w:r w:rsidR="0019213A">
        <w:rPr>
          <w:lang w:val="en-US"/>
        </w:rPr>
        <w:t>scoping practice</w:t>
      </w:r>
      <w:r>
        <w:rPr>
          <w:lang w:val="en-US"/>
        </w:rPr>
        <w:t xml:space="preserve">. </w:t>
      </w:r>
    </w:p>
    <w:p w14:paraId="56F91447" w14:textId="77777777" w:rsidR="008F64FC" w:rsidRDefault="008F64FC" w:rsidP="008F64FC">
      <w:pPr>
        <w:jc w:val="both"/>
        <w:rPr>
          <w:lang w:val="en-US"/>
        </w:rPr>
      </w:pPr>
    </w:p>
    <w:p w14:paraId="322B84F1" w14:textId="328AFE04" w:rsidR="00E346E7" w:rsidRDefault="008F64FC" w:rsidP="003A1971">
      <w:pPr>
        <w:jc w:val="both"/>
        <w:rPr>
          <w:lang w:val="en-US"/>
        </w:rPr>
      </w:pPr>
      <w:r>
        <w:rPr>
          <w:lang w:val="en-US"/>
        </w:rPr>
        <w:t xml:space="preserve">Most importantly, this research demonstrates that while a current overlap exists, measuring EIA practice </w:t>
      </w:r>
      <w:r w:rsidR="0042488C">
        <w:rPr>
          <w:lang w:val="en-US"/>
        </w:rPr>
        <w:t xml:space="preserve">against </w:t>
      </w:r>
      <w:r>
        <w:rPr>
          <w:lang w:val="en-US"/>
        </w:rPr>
        <w:t xml:space="preserve">the SDGs reveals a gap in the </w:t>
      </w:r>
      <w:r w:rsidR="00F402F9">
        <w:rPr>
          <w:lang w:val="en-US"/>
        </w:rPr>
        <w:t xml:space="preserve">comprehensiveness </w:t>
      </w:r>
      <w:r>
        <w:rPr>
          <w:lang w:val="en-US"/>
        </w:rPr>
        <w:t xml:space="preserve">of </w:t>
      </w:r>
      <w:r w:rsidR="00F402F9">
        <w:rPr>
          <w:lang w:val="en-US"/>
        </w:rPr>
        <w:t>the assessment parameters</w:t>
      </w:r>
      <w:r w:rsidR="008C3131">
        <w:rPr>
          <w:lang w:val="en-US"/>
        </w:rPr>
        <w:t xml:space="preserve"> considered in </w:t>
      </w:r>
      <w:r w:rsidR="008C3131">
        <w:rPr>
          <w:lang w:val="en-US"/>
        </w:rPr>
        <w:lastRenderedPageBreak/>
        <w:t>scoping</w:t>
      </w:r>
      <w:r w:rsidR="00B96A6B">
        <w:rPr>
          <w:lang w:val="en-US"/>
        </w:rPr>
        <w:t>. I</w:t>
      </w:r>
      <w:r w:rsidR="008C3131">
        <w:rPr>
          <w:lang w:val="en-US"/>
        </w:rPr>
        <w:t xml:space="preserve">n the case of this research, </w:t>
      </w:r>
      <w:r w:rsidR="000F28EB">
        <w:rPr>
          <w:lang w:val="en-US"/>
        </w:rPr>
        <w:t xml:space="preserve">the linking exercise </w:t>
      </w:r>
      <w:r w:rsidR="008C3131">
        <w:rPr>
          <w:lang w:val="en-US"/>
        </w:rPr>
        <w:t>reveals a lacking focus on</w:t>
      </w:r>
      <w:r>
        <w:rPr>
          <w:lang w:val="en-US"/>
        </w:rPr>
        <w:t xml:space="preserve"> social </w:t>
      </w:r>
      <w:r w:rsidR="00F51996">
        <w:rPr>
          <w:lang w:val="en-US"/>
        </w:rPr>
        <w:t>parameters</w:t>
      </w:r>
      <w:r w:rsidR="008C3131">
        <w:rPr>
          <w:lang w:val="en-US"/>
        </w:rPr>
        <w:t xml:space="preserve"> in Danish EIA practice</w:t>
      </w:r>
      <w:r>
        <w:rPr>
          <w:lang w:val="en-US"/>
        </w:rPr>
        <w:t>. Therefore, bringing the SDGs into the EIA procedure is not only for measuring the achievement of political targets on a project</w:t>
      </w:r>
      <w:r w:rsidR="00427FD5">
        <w:rPr>
          <w:lang w:val="en-US"/>
        </w:rPr>
        <w:t xml:space="preserve"> </w:t>
      </w:r>
      <w:r>
        <w:rPr>
          <w:lang w:val="en-US"/>
        </w:rPr>
        <w:t xml:space="preserve">level. The function of the SDGs can also be a matter of improving the scope and quality of the EIA by supplementing </w:t>
      </w:r>
      <w:r w:rsidR="00D46B1B">
        <w:rPr>
          <w:lang w:val="en-US"/>
        </w:rPr>
        <w:t>scoping</w:t>
      </w:r>
      <w:r w:rsidR="004B1299">
        <w:rPr>
          <w:lang w:val="en-US"/>
        </w:rPr>
        <w:t xml:space="preserve"> </w:t>
      </w:r>
      <w:r>
        <w:rPr>
          <w:lang w:val="en-US"/>
        </w:rPr>
        <w:t xml:space="preserve">with </w:t>
      </w:r>
      <w:r w:rsidR="004B1299">
        <w:rPr>
          <w:lang w:val="en-US"/>
        </w:rPr>
        <w:t xml:space="preserve">additional </w:t>
      </w:r>
      <w:r>
        <w:rPr>
          <w:lang w:val="en-US"/>
        </w:rPr>
        <w:t xml:space="preserve">parameters. In this way, this research also supports what prior authors have predicted, namely that there is unexplored potential for making EIA practice more comprehensive if utilizing the SDGs as a guideline for assessment parameters. </w:t>
      </w:r>
    </w:p>
    <w:p w14:paraId="3DAA757B" w14:textId="77777777" w:rsidR="00E346E7" w:rsidRDefault="00E346E7" w:rsidP="003A1971">
      <w:pPr>
        <w:jc w:val="both"/>
        <w:rPr>
          <w:lang w:val="en-US"/>
        </w:rPr>
      </w:pPr>
    </w:p>
    <w:p w14:paraId="7DB72AB4" w14:textId="3A869D02" w:rsidR="002B3E72" w:rsidRDefault="00E346E7" w:rsidP="003A1971">
      <w:pPr>
        <w:jc w:val="both"/>
        <w:rPr>
          <w:lang w:val="en-US"/>
        </w:rPr>
      </w:pPr>
      <w:r>
        <w:rPr>
          <w:lang w:val="en-US"/>
        </w:rPr>
        <w:t>Thus</w:t>
      </w:r>
      <w:r w:rsidR="008F64FC">
        <w:rPr>
          <w:lang w:val="en-US"/>
        </w:rPr>
        <w:t xml:space="preserve">, the current overlap between the EIA and SDGs suggests that the EIA can act as a methodology for measuring how project development contributes </w:t>
      </w:r>
      <w:r w:rsidR="00055467">
        <w:rPr>
          <w:lang w:val="en-US"/>
        </w:rPr>
        <w:t xml:space="preserve">to </w:t>
      </w:r>
      <w:r w:rsidR="008F64FC">
        <w:rPr>
          <w:lang w:val="en-US"/>
        </w:rPr>
        <w:t xml:space="preserve">achieving politically-determined sustainability goals. However, simultaneously, the gaps in practice reveal the potential in using the SDGs to shape and redefine what sustainable development entails when practically executing these political goals in project development. </w:t>
      </w:r>
    </w:p>
    <w:p w14:paraId="2B2956B6" w14:textId="3F317CCC" w:rsidR="002B3E72" w:rsidRDefault="002B3E72">
      <w:pPr>
        <w:rPr>
          <w:lang w:val="en-US"/>
        </w:rPr>
      </w:pPr>
    </w:p>
    <w:p w14:paraId="59223B7C" w14:textId="5DDE68C5" w:rsidR="67A39A08" w:rsidRDefault="67A39A08" w:rsidP="13C10F29">
      <w:pPr>
        <w:rPr>
          <w:b/>
          <w:bCs/>
          <w:lang w:val="en-US"/>
        </w:rPr>
      </w:pPr>
      <w:r w:rsidRPr="00A77C4C">
        <w:rPr>
          <w:b/>
          <w:bCs/>
          <w:lang w:val="en-US"/>
        </w:rPr>
        <w:t>Acknowledgement</w:t>
      </w:r>
      <w:r w:rsidR="00A75707">
        <w:rPr>
          <w:b/>
          <w:bCs/>
          <w:lang w:val="en-US"/>
        </w:rPr>
        <w:t>s</w:t>
      </w:r>
    </w:p>
    <w:p w14:paraId="40E5A4B0" w14:textId="177F108C" w:rsidR="008007EF" w:rsidRDefault="00A75707">
      <w:pPr>
        <w:rPr>
          <w:rFonts w:ascii="Times New Roman" w:eastAsia="Times New Roman" w:hAnsi="Times New Roman" w:cs="Times New Roman"/>
          <w:sz w:val="24"/>
          <w:lang w:val="en-US" w:eastAsia="da-DK"/>
        </w:rPr>
      </w:pPr>
      <w:r w:rsidRPr="5A0AB6BA">
        <w:rPr>
          <w:rFonts w:ascii="Calibri" w:eastAsia="Times New Roman" w:hAnsi="Calibri" w:cs="Calibri"/>
          <w:color w:val="000000" w:themeColor="text1"/>
          <w:lang w:val="en-US" w:eastAsia="da-DK"/>
        </w:rPr>
        <w:t>Thanks to </w:t>
      </w:r>
      <w:r w:rsidR="43F70911" w:rsidRPr="5A0AB6BA">
        <w:rPr>
          <w:rFonts w:ascii="Calibri" w:eastAsia="Times New Roman" w:hAnsi="Calibri" w:cs="Calibri"/>
          <w:color w:val="000000" w:themeColor="text1"/>
          <w:lang w:val="en-US" w:eastAsia="da-DK"/>
        </w:rPr>
        <w:t xml:space="preserve">the consultancy </w:t>
      </w:r>
      <w:r w:rsidR="43F70911" w:rsidRPr="00A77C4C">
        <w:rPr>
          <w:rFonts w:ascii="Calibri" w:eastAsia="Times New Roman" w:hAnsi="Calibri" w:cs="Calibri"/>
          <w:color w:val="000000" w:themeColor="text1"/>
          <w:lang w:val="en-US" w:eastAsia="da-DK"/>
        </w:rPr>
        <w:t>company</w:t>
      </w:r>
      <w:r w:rsidR="007D0248">
        <w:rPr>
          <w:rFonts w:ascii="Calibri" w:eastAsia="Times New Roman" w:hAnsi="Calibri" w:cs="Calibri"/>
          <w:color w:val="000000" w:themeColor="text1"/>
          <w:lang w:val="en-US" w:eastAsia="da-DK"/>
        </w:rPr>
        <w:t>,</w:t>
      </w:r>
      <w:r w:rsidR="43F70911" w:rsidRPr="00A77C4C">
        <w:rPr>
          <w:rFonts w:ascii="Calibri" w:eastAsia="Times New Roman" w:hAnsi="Calibri" w:cs="Calibri"/>
          <w:color w:val="000000" w:themeColor="text1"/>
          <w:lang w:val="en-US" w:eastAsia="da-DK"/>
        </w:rPr>
        <w:t xml:space="preserve"> </w:t>
      </w:r>
      <w:r w:rsidRPr="00A77C4C">
        <w:rPr>
          <w:rFonts w:ascii="Calibri" w:eastAsia="Times New Roman" w:hAnsi="Calibri" w:cs="Calibri"/>
          <w:color w:val="000000" w:themeColor="text1"/>
          <w:lang w:val="en-US" w:eastAsia="da-DK"/>
        </w:rPr>
        <w:t>COWI</w:t>
      </w:r>
      <w:r w:rsidR="007D0248">
        <w:rPr>
          <w:rFonts w:ascii="Calibri" w:eastAsia="Times New Roman" w:hAnsi="Calibri" w:cs="Calibri"/>
          <w:color w:val="000000" w:themeColor="text1"/>
          <w:lang w:val="en-US" w:eastAsia="da-DK"/>
        </w:rPr>
        <w:t>,</w:t>
      </w:r>
      <w:r w:rsidRPr="00A77C4C">
        <w:rPr>
          <w:rFonts w:ascii="Calibri" w:eastAsia="Times New Roman" w:hAnsi="Calibri" w:cs="Calibri"/>
          <w:color w:val="000000" w:themeColor="text1"/>
          <w:lang w:val="en-US" w:eastAsia="da-DK"/>
        </w:rPr>
        <w:t xml:space="preserve"> for providing the cases, the EIA expertise and for supporting the analysis of this paper. </w:t>
      </w:r>
      <w:r w:rsidR="001D2EBB" w:rsidRPr="00A77C4C">
        <w:rPr>
          <w:rFonts w:ascii="Calibri" w:eastAsia="Times New Roman" w:hAnsi="Calibri" w:cs="Calibri"/>
          <w:color w:val="000000" w:themeColor="text1"/>
          <w:lang w:val="en-US" w:eastAsia="da-DK"/>
        </w:rPr>
        <w:t>T</w:t>
      </w:r>
      <w:r w:rsidR="007B35C4" w:rsidRPr="00A77C4C">
        <w:rPr>
          <w:rFonts w:ascii="Calibri" w:eastAsia="Times New Roman" w:hAnsi="Calibri" w:cs="Calibri"/>
          <w:color w:val="000000" w:themeColor="text1"/>
          <w:lang w:val="en-US" w:eastAsia="da-DK"/>
        </w:rPr>
        <w:t xml:space="preserve">his </w:t>
      </w:r>
      <w:r w:rsidR="002F35BB" w:rsidRPr="00A77C4C">
        <w:rPr>
          <w:rFonts w:ascii="Calibri" w:eastAsia="Times New Roman" w:hAnsi="Calibri" w:cs="Calibri"/>
          <w:color w:val="000000" w:themeColor="text1"/>
          <w:lang w:val="en-US" w:eastAsia="da-DK"/>
        </w:rPr>
        <w:t xml:space="preserve">research </w:t>
      </w:r>
      <w:r w:rsidR="00832939" w:rsidRPr="00A77C4C">
        <w:rPr>
          <w:rFonts w:ascii="Calibri" w:eastAsia="Times New Roman" w:hAnsi="Calibri" w:cs="Calibri"/>
          <w:color w:val="000000" w:themeColor="text1"/>
          <w:lang w:val="en-US" w:eastAsia="da-DK"/>
        </w:rPr>
        <w:t xml:space="preserve">is a part of the DREAMS project, </w:t>
      </w:r>
      <w:r w:rsidR="00EA1C75" w:rsidRPr="00A77C4C">
        <w:rPr>
          <w:rFonts w:ascii="Calibri" w:eastAsia="Times New Roman" w:hAnsi="Calibri" w:cs="Calibri"/>
          <w:color w:val="000000" w:themeColor="text1"/>
          <w:lang w:val="en-US" w:eastAsia="da-DK"/>
        </w:rPr>
        <w:t>D</w:t>
      </w:r>
      <w:r w:rsidR="00842B14" w:rsidRPr="00A77C4C">
        <w:rPr>
          <w:rFonts w:ascii="Calibri" w:eastAsia="Times New Roman" w:hAnsi="Calibri" w:cs="Calibri"/>
          <w:color w:val="000000" w:themeColor="text1"/>
          <w:lang w:val="en-US" w:eastAsia="da-DK"/>
        </w:rPr>
        <w:t xml:space="preserve">igitally </w:t>
      </w:r>
      <w:r w:rsidR="00EA1C75" w:rsidRPr="00A77C4C">
        <w:rPr>
          <w:rFonts w:ascii="Calibri" w:eastAsia="Times New Roman" w:hAnsi="Calibri" w:cs="Calibri"/>
          <w:color w:val="000000" w:themeColor="text1"/>
          <w:lang w:val="en-US" w:eastAsia="da-DK"/>
        </w:rPr>
        <w:t>S</w:t>
      </w:r>
      <w:r w:rsidR="00842B14" w:rsidRPr="00A77C4C">
        <w:rPr>
          <w:rFonts w:ascii="Calibri" w:eastAsia="Times New Roman" w:hAnsi="Calibri" w:cs="Calibri"/>
          <w:color w:val="000000" w:themeColor="text1"/>
          <w:lang w:val="en-US" w:eastAsia="da-DK"/>
        </w:rPr>
        <w:t xml:space="preserve">upporting </w:t>
      </w:r>
      <w:r w:rsidR="00EA1C75" w:rsidRPr="00A77C4C">
        <w:rPr>
          <w:rFonts w:ascii="Calibri" w:eastAsia="Times New Roman" w:hAnsi="Calibri" w:cs="Calibri"/>
          <w:color w:val="000000" w:themeColor="text1"/>
          <w:lang w:val="en-US" w:eastAsia="da-DK"/>
        </w:rPr>
        <w:t xml:space="preserve">Environmental Assessment for the Sustainable Development Goals, </w:t>
      </w:r>
      <w:r w:rsidR="00832939" w:rsidRPr="00A77C4C">
        <w:rPr>
          <w:rFonts w:ascii="Calibri" w:eastAsia="Times New Roman" w:hAnsi="Calibri" w:cs="Calibri"/>
          <w:color w:val="000000" w:themeColor="text1"/>
          <w:lang w:val="en-US" w:eastAsia="da-DK"/>
        </w:rPr>
        <w:t>made possible by the Innovation Fund of Denmark</w:t>
      </w:r>
      <w:r w:rsidR="2DF475E4" w:rsidRPr="00A77C4C">
        <w:rPr>
          <w:rFonts w:ascii="Calibri" w:eastAsia="Times New Roman" w:hAnsi="Calibri" w:cs="Calibri"/>
          <w:color w:val="000000" w:themeColor="text1"/>
          <w:lang w:val="en-US" w:eastAsia="da-DK"/>
        </w:rPr>
        <w:t xml:space="preserve"> (</w:t>
      </w:r>
      <w:r w:rsidR="705D44BC" w:rsidRPr="00A77C4C">
        <w:rPr>
          <w:rFonts w:ascii="Calibri" w:eastAsia="Times New Roman" w:hAnsi="Calibri" w:cs="Calibri"/>
          <w:color w:val="000000" w:themeColor="text1"/>
          <w:lang w:val="en-US" w:eastAsia="da-DK"/>
        </w:rPr>
        <w:t>Grant agreement number, 0177-00021B DREAMS)</w:t>
      </w:r>
      <w:r w:rsidR="00832939" w:rsidRPr="00A77C4C">
        <w:rPr>
          <w:rFonts w:ascii="Calibri" w:eastAsia="Times New Roman" w:hAnsi="Calibri" w:cs="Calibri"/>
          <w:color w:val="000000" w:themeColor="text1"/>
          <w:lang w:val="en-US" w:eastAsia="da-DK"/>
        </w:rPr>
        <w:t>.</w:t>
      </w:r>
      <w:r w:rsidR="00832939" w:rsidRPr="00A77C4C">
        <w:rPr>
          <w:rFonts w:ascii="Calibri" w:eastAsia="Times New Roman" w:hAnsi="Calibri" w:cs="Calibri"/>
          <w:color w:val="000000" w:themeColor="text1"/>
          <w:u w:val="single"/>
          <w:lang w:val="en-US" w:eastAsia="da-DK"/>
        </w:rPr>
        <w:t xml:space="preserve"> </w:t>
      </w:r>
    </w:p>
    <w:p w14:paraId="00AA7D11" w14:textId="278C9D1D" w:rsidR="00574C73" w:rsidRDefault="00574C73">
      <w:pPr>
        <w:rPr>
          <w:rFonts w:ascii="Times New Roman" w:eastAsia="Times New Roman" w:hAnsi="Times New Roman" w:cs="Times New Roman"/>
          <w:sz w:val="24"/>
          <w:lang w:val="en-US" w:eastAsia="da-DK"/>
        </w:rPr>
      </w:pPr>
    </w:p>
    <w:p w14:paraId="58743442" w14:textId="77777777" w:rsidR="00574C73" w:rsidRPr="00574C73" w:rsidRDefault="00574C73">
      <w:pPr>
        <w:rPr>
          <w:rFonts w:ascii="Times New Roman" w:eastAsia="Times New Roman" w:hAnsi="Times New Roman" w:cs="Times New Roman"/>
          <w:sz w:val="24"/>
          <w:lang w:val="en-US" w:eastAsia="da-DK"/>
        </w:rPr>
      </w:pPr>
    </w:p>
    <w:p w14:paraId="2B2A38C9" w14:textId="77777777" w:rsidR="00B12B29" w:rsidRDefault="00B12B29">
      <w:pPr>
        <w:rPr>
          <w:rFonts w:asciiTheme="majorHAnsi" w:eastAsiaTheme="majorEastAsia" w:hAnsiTheme="majorHAnsi" w:cstheme="majorBidi"/>
          <w:color w:val="2F5496" w:themeColor="accent1" w:themeShade="BF"/>
          <w:sz w:val="32"/>
          <w:szCs w:val="32"/>
          <w:lang w:val="en-US"/>
        </w:rPr>
      </w:pPr>
      <w:r>
        <w:rPr>
          <w:lang w:val="en-US"/>
        </w:rPr>
        <w:br w:type="page"/>
      </w:r>
    </w:p>
    <w:p w14:paraId="7BF8B836" w14:textId="5038B951" w:rsidR="002B3E72" w:rsidRDefault="002B3E72" w:rsidP="002B3E72">
      <w:pPr>
        <w:pStyle w:val="Overskrift1"/>
        <w:rPr>
          <w:lang w:val="en-US"/>
        </w:rPr>
      </w:pPr>
      <w:r>
        <w:rPr>
          <w:lang w:val="en-US"/>
        </w:rPr>
        <w:lastRenderedPageBreak/>
        <w:t>Annexes</w:t>
      </w:r>
    </w:p>
    <w:p w14:paraId="4B46D2E8" w14:textId="77777777" w:rsidR="002B3E72" w:rsidRPr="002B3E72" w:rsidRDefault="002B3E72" w:rsidP="002B3E72">
      <w:pPr>
        <w:rPr>
          <w:lang w:val="en-US"/>
        </w:rPr>
      </w:pPr>
    </w:p>
    <w:p w14:paraId="691927F2" w14:textId="41334BE6" w:rsidR="00B15CFB" w:rsidRDefault="002B3E72" w:rsidP="005B149C">
      <w:pPr>
        <w:pStyle w:val="Overskrift2"/>
      </w:pPr>
      <w:bookmarkStart w:id="6" w:name="_Ref53042646"/>
      <w:r>
        <w:t xml:space="preserve">ANNEX 1: </w:t>
      </w:r>
      <w:r w:rsidR="005B149C">
        <w:t>Determining project-level SDG targets</w:t>
      </w:r>
    </w:p>
    <w:p w14:paraId="59ECF34E" w14:textId="505C573D" w:rsidR="00512959" w:rsidRPr="00A77C4C" w:rsidRDefault="00D728D8" w:rsidP="00A77C4C">
      <w:pPr>
        <w:rPr>
          <w:lang w:val="en-US"/>
        </w:rPr>
      </w:pPr>
      <w:r>
        <w:rPr>
          <w:noProof/>
          <w:lang w:val="en-US"/>
        </w:rPr>
        <w:drawing>
          <wp:inline distT="0" distB="0" distL="0" distR="0" wp14:anchorId="018B9508" wp14:editId="1AD066D4">
            <wp:extent cx="3517676" cy="6949300"/>
            <wp:effectExtent l="0" t="0" r="635"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lede 11"/>
                    <pic:cNvPicPr/>
                  </pic:nvPicPr>
                  <pic:blipFill rotWithShape="1">
                    <a:blip r:embed="rId23">
                      <a:extLst>
                        <a:ext uri="{28A0092B-C50C-407E-A947-70E740481C1C}">
                          <a14:useLocalDpi xmlns:a14="http://schemas.microsoft.com/office/drawing/2010/main" val="0"/>
                        </a:ext>
                      </a:extLst>
                    </a:blip>
                    <a:srcRect l="8028" t="6051" r="33634" b="12508"/>
                    <a:stretch/>
                  </pic:blipFill>
                  <pic:spPr bwMode="auto">
                    <a:xfrm>
                      <a:off x="0" y="0"/>
                      <a:ext cx="3517742" cy="6949430"/>
                    </a:xfrm>
                    <a:prstGeom prst="rect">
                      <a:avLst/>
                    </a:prstGeom>
                    <a:ln>
                      <a:noFill/>
                    </a:ln>
                    <a:extLst>
                      <a:ext uri="{53640926-AAD7-44D8-BBD7-CCE9431645EC}">
                        <a14:shadowObscured xmlns:a14="http://schemas.microsoft.com/office/drawing/2010/main"/>
                      </a:ext>
                    </a:extLst>
                  </pic:spPr>
                </pic:pic>
              </a:graphicData>
            </a:graphic>
          </wp:inline>
        </w:drawing>
      </w:r>
    </w:p>
    <w:p w14:paraId="67CC4BC9" w14:textId="27E8DF97" w:rsidR="002B3E72" w:rsidRDefault="002B3E72" w:rsidP="002B3E72">
      <w:pPr>
        <w:pStyle w:val="Overskrift2"/>
      </w:pPr>
      <w:r>
        <w:lastRenderedPageBreak/>
        <w:t xml:space="preserve">ANNEX </w:t>
      </w:r>
      <w:r w:rsidR="005B149C">
        <w:t>2</w:t>
      </w:r>
      <w:r>
        <w:t>: SDG target keywords</w:t>
      </w:r>
      <w:bookmarkEnd w:id="6"/>
    </w:p>
    <w:p w14:paraId="2C93D773" w14:textId="4BDD1B79" w:rsidR="002B3E72" w:rsidRDefault="00D728D8" w:rsidP="002B3E72">
      <w:pPr>
        <w:rPr>
          <w:lang w:val="en-US"/>
        </w:rPr>
      </w:pPr>
      <w:r>
        <w:rPr>
          <w:noProof/>
          <w:lang w:val="en-US"/>
        </w:rPr>
        <w:drawing>
          <wp:inline distT="0" distB="0" distL="0" distR="0" wp14:anchorId="7C73BD9B" wp14:editId="1D62AAC3">
            <wp:extent cx="5034056" cy="7475805"/>
            <wp:effectExtent l="0" t="0" r="0" b="508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lede 12"/>
                    <pic:cNvPicPr/>
                  </pic:nvPicPr>
                  <pic:blipFill rotWithShape="1">
                    <a:blip r:embed="rId24">
                      <a:extLst>
                        <a:ext uri="{28A0092B-C50C-407E-A947-70E740481C1C}">
                          <a14:useLocalDpi xmlns:a14="http://schemas.microsoft.com/office/drawing/2010/main" val="0"/>
                        </a:ext>
                      </a:extLst>
                    </a:blip>
                    <a:srcRect l="8029" t="6178" r="8479" b="6204"/>
                    <a:stretch/>
                  </pic:blipFill>
                  <pic:spPr bwMode="auto">
                    <a:xfrm>
                      <a:off x="0" y="0"/>
                      <a:ext cx="5034533" cy="7476514"/>
                    </a:xfrm>
                    <a:prstGeom prst="rect">
                      <a:avLst/>
                    </a:prstGeom>
                    <a:ln>
                      <a:noFill/>
                    </a:ln>
                    <a:extLst>
                      <a:ext uri="{53640926-AAD7-44D8-BBD7-CCE9431645EC}">
                        <a14:shadowObscured xmlns:a14="http://schemas.microsoft.com/office/drawing/2010/main"/>
                      </a:ext>
                    </a:extLst>
                  </pic:spPr>
                </pic:pic>
              </a:graphicData>
            </a:graphic>
          </wp:inline>
        </w:drawing>
      </w:r>
    </w:p>
    <w:p w14:paraId="73076314" w14:textId="77777777" w:rsidR="00D728D8" w:rsidRDefault="00D728D8" w:rsidP="002B3E72">
      <w:pPr>
        <w:rPr>
          <w:lang w:val="en-US"/>
        </w:rPr>
      </w:pPr>
    </w:p>
    <w:p w14:paraId="701B9449" w14:textId="386C6562" w:rsidR="002B3E72" w:rsidRDefault="002B3E72" w:rsidP="00B95EC2">
      <w:pPr>
        <w:pStyle w:val="Overskrift2"/>
      </w:pPr>
      <w:bookmarkStart w:id="7" w:name="_Ref53042842"/>
      <w:r>
        <w:lastRenderedPageBreak/>
        <w:t xml:space="preserve">ANNEX </w:t>
      </w:r>
      <w:r w:rsidR="005B149C">
        <w:t>3</w:t>
      </w:r>
      <w:r>
        <w:t>: Assessment parameters and keywords</w:t>
      </w:r>
      <w:bookmarkEnd w:id="7"/>
    </w:p>
    <w:p w14:paraId="64F7849D" w14:textId="18EA087E" w:rsidR="00B95EC2" w:rsidRPr="00B95EC2" w:rsidRDefault="00B12B29" w:rsidP="00B95EC2">
      <w:pPr>
        <w:rPr>
          <w:lang w:val="en-US"/>
        </w:rPr>
      </w:pPr>
      <w:r>
        <w:rPr>
          <w:noProof/>
          <w:lang w:val="en-US"/>
        </w:rPr>
        <w:drawing>
          <wp:inline distT="0" distB="0" distL="0" distR="0" wp14:anchorId="65548D48" wp14:editId="273FA8BA">
            <wp:extent cx="4419600" cy="5969000"/>
            <wp:effectExtent l="0" t="0" r="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lede 13"/>
                    <pic:cNvPicPr/>
                  </pic:nvPicPr>
                  <pic:blipFill>
                    <a:blip r:embed="rId25">
                      <a:extLst>
                        <a:ext uri="{28A0092B-C50C-407E-A947-70E740481C1C}">
                          <a14:useLocalDpi xmlns:a14="http://schemas.microsoft.com/office/drawing/2010/main" val="0"/>
                        </a:ext>
                      </a:extLst>
                    </a:blip>
                    <a:stretch>
                      <a:fillRect/>
                    </a:stretch>
                  </pic:blipFill>
                  <pic:spPr>
                    <a:xfrm>
                      <a:off x="0" y="0"/>
                      <a:ext cx="4419600" cy="5969000"/>
                    </a:xfrm>
                    <a:prstGeom prst="rect">
                      <a:avLst/>
                    </a:prstGeom>
                  </pic:spPr>
                </pic:pic>
              </a:graphicData>
            </a:graphic>
          </wp:inline>
        </w:drawing>
      </w:r>
    </w:p>
    <w:p w14:paraId="2FBC34C1" w14:textId="77777777" w:rsidR="00B12B29" w:rsidRDefault="00B12B29">
      <w:pPr>
        <w:rPr>
          <w:rFonts w:asciiTheme="majorHAnsi" w:eastAsiaTheme="majorEastAsia" w:hAnsiTheme="majorHAnsi" w:cstheme="majorBidi"/>
          <w:color w:val="2F5496" w:themeColor="accent1" w:themeShade="BF"/>
          <w:sz w:val="32"/>
          <w:szCs w:val="32"/>
          <w:lang w:val="en-US"/>
        </w:rPr>
      </w:pPr>
      <w:r>
        <w:rPr>
          <w:lang w:val="en-US"/>
        </w:rPr>
        <w:br w:type="page"/>
      </w:r>
    </w:p>
    <w:p w14:paraId="05E4ECD0" w14:textId="0DD14121" w:rsidR="002E2D08" w:rsidRDefault="00AA039C" w:rsidP="00AA039C">
      <w:pPr>
        <w:pStyle w:val="Overskrift1"/>
        <w:rPr>
          <w:lang w:val="en-US"/>
        </w:rPr>
      </w:pPr>
      <w:r>
        <w:rPr>
          <w:lang w:val="en-US"/>
        </w:rPr>
        <w:lastRenderedPageBreak/>
        <w:t>References</w:t>
      </w:r>
    </w:p>
    <w:p w14:paraId="6E005A86" w14:textId="1E9DB86C" w:rsidR="00AA039C" w:rsidRDefault="00AA039C" w:rsidP="00AA039C">
      <w:pPr>
        <w:rPr>
          <w:lang w:val="en-US"/>
        </w:rPr>
      </w:pPr>
    </w:p>
    <w:p w14:paraId="5ADCC061" w14:textId="622EE9AE" w:rsidR="002A1B5B" w:rsidRPr="002A1B5B" w:rsidRDefault="1BDDBEED" w:rsidP="13C10F29">
      <w:pPr>
        <w:widowControl w:val="0"/>
        <w:autoSpaceDE w:val="0"/>
        <w:autoSpaceDN w:val="0"/>
        <w:adjustRightInd w:val="0"/>
        <w:spacing w:after="120"/>
        <w:ind w:left="482" w:hanging="482"/>
        <w:rPr>
          <w:lang w:val="en-US"/>
        </w:rPr>
      </w:pPr>
      <w:r w:rsidRPr="00075B0E">
        <w:t xml:space="preserve">Act </w:t>
      </w:r>
      <w:proofErr w:type="spellStart"/>
      <w:r w:rsidRPr="00075B0E">
        <w:t>no</w:t>
      </w:r>
      <w:proofErr w:type="spellEnd"/>
      <w:r w:rsidRPr="00075B0E">
        <w:t xml:space="preserve"> 973, 2020. Bekendtgørelse af lov om miljøvurdering af planer og programmer og af konkrete projekter (VVM) [Act on </w:t>
      </w:r>
      <w:proofErr w:type="spellStart"/>
      <w:r w:rsidR="54A03FDC" w:rsidRPr="00075B0E">
        <w:t>environmental</w:t>
      </w:r>
      <w:proofErr w:type="spellEnd"/>
      <w:r w:rsidR="54A03FDC" w:rsidRPr="00075B0E">
        <w:t xml:space="preserve"> </w:t>
      </w:r>
      <w:proofErr w:type="spellStart"/>
      <w:r w:rsidR="54A03FDC" w:rsidRPr="00075B0E">
        <w:t>assessment</w:t>
      </w:r>
      <w:proofErr w:type="spellEnd"/>
      <w:r w:rsidR="54A03FDC" w:rsidRPr="00075B0E">
        <w:t xml:space="preserve"> of plans and programmes and </w:t>
      </w:r>
      <w:proofErr w:type="spellStart"/>
      <w:r w:rsidR="54A03FDC" w:rsidRPr="00075B0E">
        <w:t>specific</w:t>
      </w:r>
      <w:proofErr w:type="spellEnd"/>
      <w:r w:rsidR="54A03FDC" w:rsidRPr="00075B0E">
        <w:t xml:space="preserve"> </w:t>
      </w:r>
      <w:proofErr w:type="spellStart"/>
      <w:r w:rsidR="54A03FDC" w:rsidRPr="00075B0E">
        <w:t>projects</w:t>
      </w:r>
      <w:proofErr w:type="spellEnd"/>
      <w:r w:rsidR="54A03FDC" w:rsidRPr="00075B0E">
        <w:t xml:space="preserve"> (EIA)]. </w:t>
      </w:r>
      <w:r w:rsidR="54A03FDC" w:rsidRPr="5A0AB6BA">
        <w:rPr>
          <w:lang w:val="en-US"/>
        </w:rPr>
        <w:t xml:space="preserve">Adopted by the Danish Parliament June 25, 2020. </w:t>
      </w:r>
      <w:hyperlink r:id="rId26" w:history="1">
        <w:r w:rsidRPr="00A77C4C">
          <w:rPr>
            <w:rStyle w:val="Hyperlink"/>
            <w:lang w:val="en-US"/>
          </w:rPr>
          <w:t>https://www.retsinformation.dk/eli/lta/2020/973</w:t>
        </w:r>
      </w:hyperlink>
    </w:p>
    <w:p w14:paraId="3B2E7269" w14:textId="690BA58A" w:rsidR="002A1B5B" w:rsidRPr="002A1B5B" w:rsidRDefault="002A1B5B" w:rsidP="002A1B5B">
      <w:pPr>
        <w:widowControl w:val="0"/>
        <w:autoSpaceDE w:val="0"/>
        <w:autoSpaceDN w:val="0"/>
        <w:adjustRightInd w:val="0"/>
        <w:spacing w:after="120"/>
        <w:ind w:left="482" w:hanging="482"/>
      </w:pPr>
      <w:r w:rsidRPr="13C10F29">
        <w:rPr>
          <w:lang w:val="en-US"/>
        </w:rPr>
        <w:t xml:space="preserve">ADB &amp; UNEP, 2019. Strengthening the environmental dimensions of the Sustainable Development Goals in Asia and the Pacific: Tool Compendium. </w:t>
      </w:r>
      <w:hyperlink r:id="rId27" w:history="1">
        <w:r w:rsidRPr="13C10F29">
          <w:rPr>
            <w:rStyle w:val="Hyperlink"/>
          </w:rPr>
          <w:t>http://www.undp.org/content/dam/undp/library/Environment%20and%20Energy/sustainable%20land%20management/Environmental_Dimensions_of_SDGs_in_Asia.pdf</w:t>
        </w:r>
      </w:hyperlink>
      <w:r w:rsidRPr="13C10F29">
        <w:t xml:space="preserve"> </w:t>
      </w:r>
    </w:p>
    <w:p w14:paraId="1AD19EA2" w14:textId="743F4B08" w:rsidR="00AA039C" w:rsidRPr="004A3026" w:rsidRDefault="00AA039C" w:rsidP="001A6276">
      <w:pPr>
        <w:widowControl w:val="0"/>
        <w:autoSpaceDE w:val="0"/>
        <w:autoSpaceDN w:val="0"/>
        <w:adjustRightInd w:val="0"/>
        <w:spacing w:after="120"/>
        <w:ind w:left="482" w:hanging="482"/>
        <w:rPr>
          <w:rFonts w:cstheme="minorHAnsi"/>
          <w:noProof/>
          <w:lang w:val="en-US"/>
        </w:rPr>
      </w:pPr>
      <w:r w:rsidRPr="004A3026">
        <w:rPr>
          <w:rFonts w:cstheme="minorHAnsi"/>
          <w:noProof/>
          <w:lang w:val="en-US"/>
        </w:rPr>
        <w:t>Cashmore, M., Rudolph, D., Larsen, S.V., Nielsen, H., 2019. International experiences with opposition to wind energy siting decisions: lessons for environmental and social appraisal. J. Environ. Plan. Manag. 62, 1109–1132. https://doi.org/10.1080/09640568.2018.1473150</w:t>
      </w:r>
    </w:p>
    <w:p w14:paraId="76BF60EC" w14:textId="41515141" w:rsidR="00AA039C" w:rsidRPr="00A77C4C" w:rsidRDefault="00AA039C" w:rsidP="001A6276">
      <w:pPr>
        <w:widowControl w:val="0"/>
        <w:autoSpaceDE w:val="0"/>
        <w:autoSpaceDN w:val="0"/>
        <w:adjustRightInd w:val="0"/>
        <w:spacing w:after="120"/>
        <w:ind w:left="482" w:hanging="482"/>
        <w:rPr>
          <w:rFonts w:cstheme="minorHAnsi"/>
          <w:lang w:val="en-US"/>
        </w:rPr>
      </w:pPr>
      <w:r w:rsidRPr="004A3026">
        <w:rPr>
          <w:rFonts w:cstheme="minorHAnsi"/>
          <w:noProof/>
          <w:lang w:val="en-US"/>
        </w:rPr>
        <w:t xml:space="preserve">Choi, J., Hwang, M., Kim, G., Seong, J., Ahn, J., 2016. Supporting the measurement of the United Nations’ sustainable development goal 11 through the use of national urban information systems and open geospatial technologies: a case study of south Korea. Open Geospatial Data, Softw. Stand. 1. </w:t>
      </w:r>
      <w:hyperlink r:id="rId28" w:history="1">
        <w:r w:rsidR="00507A3C" w:rsidRPr="00A77C4C">
          <w:rPr>
            <w:rStyle w:val="Hyperlink"/>
            <w:rFonts w:cstheme="minorHAnsi"/>
            <w:lang w:val="en-US"/>
          </w:rPr>
          <w:t>https://doi.org/https://doi.org/10.1186/s40965-016-0005-0https://doi.org/10.1186/s40965-016-0005-0</w:t>
        </w:r>
      </w:hyperlink>
    </w:p>
    <w:p w14:paraId="42C09585" w14:textId="0788B98A" w:rsidR="00C25588" w:rsidRDefault="00C25588" w:rsidP="00402D6E">
      <w:pPr>
        <w:widowControl w:val="0"/>
        <w:autoSpaceDE w:val="0"/>
        <w:autoSpaceDN w:val="0"/>
        <w:adjustRightInd w:val="0"/>
        <w:spacing w:after="120"/>
        <w:ind w:left="482" w:hanging="482"/>
        <w:rPr>
          <w:rFonts w:cstheme="minorHAnsi"/>
          <w:noProof/>
        </w:rPr>
      </w:pPr>
      <w:r w:rsidRPr="00A77C4C">
        <w:rPr>
          <w:rFonts w:cstheme="minorHAnsi"/>
          <w:noProof/>
        </w:rPr>
        <w:t>COWI</w:t>
      </w:r>
      <w:r w:rsidR="00733330">
        <w:rPr>
          <w:rFonts w:cstheme="minorHAnsi"/>
          <w:noProof/>
        </w:rPr>
        <w:t xml:space="preserve"> a</w:t>
      </w:r>
      <w:r w:rsidR="002D54A2" w:rsidRPr="00A77C4C">
        <w:rPr>
          <w:rFonts w:cstheme="minorHAnsi"/>
          <w:noProof/>
        </w:rPr>
        <w:t xml:space="preserve">, 2018. Etape 3 Udvidelse af Skagen Havn. VVM redegørelse, miljøvurdering af plangrundlaget og Natura 2000. </w:t>
      </w:r>
      <w:r w:rsidR="002D54A2" w:rsidRPr="008F2593">
        <w:rPr>
          <w:rFonts w:cstheme="minorHAnsi"/>
          <w:noProof/>
        </w:rPr>
        <w:t xml:space="preserve">Væsentlighedsvurdering. Bind 1. Hovedrapport. </w:t>
      </w:r>
      <w:r w:rsidR="008F2593" w:rsidRPr="00A77C4C">
        <w:rPr>
          <w:rFonts w:cstheme="minorHAnsi"/>
          <w:noProof/>
        </w:rPr>
        <w:t>S</w:t>
      </w:r>
      <w:r w:rsidR="008F2593">
        <w:rPr>
          <w:rFonts w:cstheme="minorHAnsi"/>
          <w:noProof/>
        </w:rPr>
        <w:t>kagen Havn.</w:t>
      </w:r>
      <w:r w:rsidR="00402D6E">
        <w:rPr>
          <w:rFonts w:cstheme="minorHAnsi"/>
          <w:noProof/>
        </w:rPr>
        <w:t xml:space="preserve"> </w:t>
      </w:r>
      <w:hyperlink r:id="rId29" w:history="1">
        <w:r w:rsidR="00402D6E" w:rsidRPr="004E5BE2">
          <w:rPr>
            <w:rStyle w:val="Hyperlink"/>
            <w:rFonts w:cstheme="minorHAnsi"/>
            <w:noProof/>
          </w:rPr>
          <w:t>https://planinfo.erhvervsstyrelsen.dk/sites/default/files/media/vvm_etape_3_skagenhavnsamlet.pdf</w:t>
        </w:r>
      </w:hyperlink>
      <w:r w:rsidR="00402D6E">
        <w:rPr>
          <w:rFonts w:cstheme="minorHAnsi"/>
          <w:noProof/>
        </w:rPr>
        <w:t xml:space="preserve">. </w:t>
      </w:r>
    </w:p>
    <w:p w14:paraId="46FE86C9" w14:textId="4CD70179" w:rsidR="00F70CE3" w:rsidRDefault="00F70CE3" w:rsidP="00402D6E">
      <w:pPr>
        <w:widowControl w:val="0"/>
        <w:autoSpaceDE w:val="0"/>
        <w:autoSpaceDN w:val="0"/>
        <w:adjustRightInd w:val="0"/>
        <w:spacing w:after="120"/>
        <w:ind w:left="482" w:hanging="482"/>
        <w:rPr>
          <w:rFonts w:cstheme="minorHAnsi"/>
          <w:noProof/>
        </w:rPr>
      </w:pPr>
      <w:r>
        <w:rPr>
          <w:rFonts w:cstheme="minorHAnsi"/>
          <w:noProof/>
        </w:rPr>
        <w:t>COWI</w:t>
      </w:r>
      <w:r w:rsidR="00733330">
        <w:rPr>
          <w:rFonts w:cstheme="minorHAnsi"/>
          <w:noProof/>
        </w:rPr>
        <w:t xml:space="preserve"> b</w:t>
      </w:r>
      <w:r w:rsidR="00E41D1F">
        <w:rPr>
          <w:rFonts w:cstheme="minorHAnsi"/>
          <w:noProof/>
        </w:rPr>
        <w:t xml:space="preserve">, 2018. Miljøvurdering af forslag lokalplan 280 og forslag til kommuneplantillæg 2/2017 for Firskovvej – Vejforlængelse til Jægersborgvej. Sammenfattende redegørelse. Lyngby Taarbek Kommune. </w:t>
      </w:r>
      <w:hyperlink r:id="rId30" w:history="1">
        <w:r w:rsidR="00C05489" w:rsidRPr="004E5BE2">
          <w:rPr>
            <w:rStyle w:val="Hyperlink"/>
            <w:rFonts w:cstheme="minorHAnsi"/>
            <w:noProof/>
          </w:rPr>
          <w:t>https://dokument.plandata.dk/12_9400131_1531392736929.pdf</w:t>
        </w:r>
      </w:hyperlink>
      <w:r w:rsidR="00C05489">
        <w:rPr>
          <w:rFonts w:cstheme="minorHAnsi"/>
          <w:noProof/>
        </w:rPr>
        <w:t xml:space="preserve">. </w:t>
      </w:r>
    </w:p>
    <w:p w14:paraId="6F606E39" w14:textId="62B4BE82" w:rsidR="00540DF9" w:rsidRDefault="00540DF9" w:rsidP="00540DF9">
      <w:pPr>
        <w:widowControl w:val="0"/>
        <w:autoSpaceDE w:val="0"/>
        <w:autoSpaceDN w:val="0"/>
        <w:adjustRightInd w:val="0"/>
        <w:spacing w:after="120"/>
        <w:ind w:left="482" w:hanging="482"/>
        <w:rPr>
          <w:rFonts w:cstheme="minorHAnsi"/>
          <w:noProof/>
        </w:rPr>
      </w:pPr>
      <w:r w:rsidRPr="00A77C4C">
        <w:rPr>
          <w:rFonts w:cstheme="minorHAnsi"/>
          <w:noProof/>
        </w:rPr>
        <w:t>COWI</w:t>
      </w:r>
      <w:r>
        <w:rPr>
          <w:rFonts w:cstheme="minorHAnsi"/>
          <w:noProof/>
        </w:rPr>
        <w:t xml:space="preserve"> </w:t>
      </w:r>
      <w:r w:rsidR="0034399C">
        <w:rPr>
          <w:rFonts w:cstheme="minorHAnsi"/>
          <w:noProof/>
        </w:rPr>
        <w:t>c</w:t>
      </w:r>
      <w:r w:rsidRPr="00A77C4C">
        <w:rPr>
          <w:rFonts w:cstheme="minorHAnsi"/>
          <w:noProof/>
        </w:rPr>
        <w:t>, 2018. Miljøvurdering (VVM</w:t>
      </w:r>
      <w:r>
        <w:rPr>
          <w:rFonts w:cstheme="minorHAnsi"/>
          <w:noProof/>
        </w:rPr>
        <w:t xml:space="preserve">) af energinyttiggørelse af forbrændingsegnet farligt affald på Vestforbrænding. Miljøkonsekvensrapport (VVM-redegørelse).  Version 22. Juni 2018. Vestforbrænding. </w:t>
      </w:r>
      <w:hyperlink r:id="rId31" w:history="1">
        <w:r w:rsidRPr="004E5BE2">
          <w:rPr>
            <w:rStyle w:val="Hyperlink"/>
            <w:rFonts w:cstheme="minorHAnsi"/>
            <w:noProof/>
          </w:rPr>
          <w:t>https://mst.dk/media/167709/20181102-vestforbraending-bilag-f.pdf</w:t>
        </w:r>
      </w:hyperlink>
      <w:r>
        <w:rPr>
          <w:rFonts w:cstheme="minorHAnsi"/>
          <w:noProof/>
        </w:rPr>
        <w:t xml:space="preserve">. </w:t>
      </w:r>
    </w:p>
    <w:p w14:paraId="6367ACFD" w14:textId="77DFE736" w:rsidR="00526EE9" w:rsidRPr="00A77C4C" w:rsidRDefault="00526EE9" w:rsidP="00402D6E">
      <w:pPr>
        <w:widowControl w:val="0"/>
        <w:autoSpaceDE w:val="0"/>
        <w:autoSpaceDN w:val="0"/>
        <w:adjustRightInd w:val="0"/>
        <w:spacing w:after="120"/>
        <w:ind w:left="482" w:hanging="482"/>
        <w:rPr>
          <w:rFonts w:cstheme="minorHAnsi"/>
          <w:noProof/>
        </w:rPr>
      </w:pPr>
      <w:r>
        <w:rPr>
          <w:rFonts w:cstheme="minorHAnsi"/>
          <w:noProof/>
        </w:rPr>
        <w:t>COWI</w:t>
      </w:r>
      <w:r w:rsidR="00733330">
        <w:rPr>
          <w:rFonts w:cstheme="minorHAnsi"/>
          <w:noProof/>
        </w:rPr>
        <w:t xml:space="preserve"> </w:t>
      </w:r>
      <w:r w:rsidR="0034399C">
        <w:rPr>
          <w:rFonts w:cstheme="minorHAnsi"/>
          <w:noProof/>
        </w:rPr>
        <w:t>d</w:t>
      </w:r>
      <w:r>
        <w:rPr>
          <w:rFonts w:cstheme="minorHAnsi"/>
          <w:noProof/>
        </w:rPr>
        <w:t xml:space="preserve">, 2018. Tuborg Syd – Boliger. Miljøkonsekvensrapport. </w:t>
      </w:r>
      <w:r w:rsidR="006E194B" w:rsidRPr="00A77C4C">
        <w:rPr>
          <w:rFonts w:cstheme="minorHAnsi"/>
          <w:noProof/>
        </w:rPr>
        <w:t xml:space="preserve">Danica Pension. </w:t>
      </w:r>
      <w:hyperlink r:id="rId32" w:history="1">
        <w:r w:rsidR="006E194B" w:rsidRPr="00A77C4C">
          <w:rPr>
            <w:rStyle w:val="Hyperlink"/>
          </w:rPr>
          <w:t>https://planinfo.erhvervsstyrelsen.dk/sites/default/files/media/miljoekonsekvensrapport_tuborg_syd_inkl_bilag.pdf</w:t>
        </w:r>
      </w:hyperlink>
      <w:r w:rsidR="006E194B" w:rsidRPr="00A77C4C">
        <w:rPr>
          <w:rFonts w:cstheme="minorHAnsi"/>
          <w:noProof/>
        </w:rPr>
        <w:t xml:space="preserve">. </w:t>
      </w:r>
    </w:p>
    <w:p w14:paraId="40C5547C" w14:textId="632406FA" w:rsidR="00793C42" w:rsidRPr="00540DF9" w:rsidRDefault="00491405" w:rsidP="00526EE9">
      <w:pPr>
        <w:widowControl w:val="0"/>
        <w:autoSpaceDE w:val="0"/>
        <w:autoSpaceDN w:val="0"/>
        <w:adjustRightInd w:val="0"/>
        <w:spacing w:after="120"/>
        <w:ind w:left="482" w:hanging="482"/>
        <w:rPr>
          <w:rFonts w:cstheme="minorHAnsi"/>
          <w:noProof/>
        </w:rPr>
      </w:pPr>
      <w:r>
        <w:rPr>
          <w:rFonts w:cstheme="minorHAnsi"/>
          <w:noProof/>
        </w:rPr>
        <w:t>COWI, 2019. Areal- og kapacitetsudvidelse af Lumby Spulefelt</w:t>
      </w:r>
      <w:r w:rsidR="00793C42">
        <w:rPr>
          <w:rFonts w:cstheme="minorHAnsi"/>
          <w:noProof/>
        </w:rPr>
        <w:t xml:space="preserve">. Miljøkonsekvensrapport. </w:t>
      </w:r>
      <w:r w:rsidR="00793C42" w:rsidRPr="00A77C4C">
        <w:rPr>
          <w:rFonts w:cstheme="minorHAnsi"/>
          <w:noProof/>
        </w:rPr>
        <w:t xml:space="preserve">Lindø Port of Odense. </w:t>
      </w:r>
      <w:hyperlink r:id="rId33" w:history="1">
        <w:r w:rsidR="00793C42" w:rsidRPr="00540DF9">
          <w:rPr>
            <w:rStyle w:val="Hyperlink"/>
          </w:rPr>
          <w:t>https://planinfo.erhvervsstyrelsen.dk/sites/default/files/media/miljoekonsekvensrapport_samt_meddelt_miljoegodkendelse.pdf</w:t>
        </w:r>
      </w:hyperlink>
      <w:r w:rsidR="00793C42" w:rsidRPr="00540DF9">
        <w:rPr>
          <w:rFonts w:cstheme="minorHAnsi"/>
          <w:noProof/>
        </w:rPr>
        <w:t xml:space="preserve">. </w:t>
      </w:r>
    </w:p>
    <w:p w14:paraId="01301E9D" w14:textId="233EFEC5" w:rsidR="00507A3C" w:rsidRPr="002A1B5B" w:rsidRDefault="00507A3C" w:rsidP="00507A3C">
      <w:pPr>
        <w:widowControl w:val="0"/>
        <w:autoSpaceDE w:val="0"/>
        <w:autoSpaceDN w:val="0"/>
        <w:adjustRightInd w:val="0"/>
        <w:spacing w:after="120"/>
        <w:ind w:left="482" w:hanging="482"/>
        <w:rPr>
          <w:rFonts w:cstheme="minorHAnsi"/>
          <w:noProof/>
          <w:lang w:val="en-US"/>
        </w:rPr>
      </w:pPr>
      <w:r w:rsidRPr="00491405">
        <w:rPr>
          <w:rFonts w:cstheme="minorHAnsi"/>
          <w:noProof/>
          <w:lang w:val="en-US"/>
        </w:rPr>
        <w:t xml:space="preserve">Hapuarachchi, A., Kughey, K., &amp; Rennie, H., 2016. </w:t>
      </w:r>
      <w:r>
        <w:rPr>
          <w:rFonts w:cstheme="minorHAnsi"/>
          <w:noProof/>
          <w:lang w:val="en-US"/>
        </w:rPr>
        <w:t xml:space="preserve">Effectiveness of Environmental Impact Assessment (EIA) addressing development-induced disasters: a comparison of the EIA processes of Sri Lanka and New Zealand. Natural Hazards, 81:1, 423-445. </w:t>
      </w:r>
      <w:hyperlink r:id="rId34" w:tgtFrame="_blank" w:history="1">
        <w:r w:rsidRPr="002A1B5B">
          <w:rPr>
            <w:rStyle w:val="Hyperlink"/>
            <w:rFonts w:cstheme="minorHAnsi"/>
            <w:noProof/>
            <w:lang w:val="en-US"/>
          </w:rPr>
          <w:t>http://dx.doi.org.zorac.aub.aau.dk/10.1007/s11069-015-2089-8</w:t>
        </w:r>
      </w:hyperlink>
    </w:p>
    <w:p w14:paraId="77735837" w14:textId="721A002D" w:rsidR="00AF57EF" w:rsidRPr="001A6276" w:rsidRDefault="00AF57EF" w:rsidP="001A6276">
      <w:pPr>
        <w:widowControl w:val="0"/>
        <w:autoSpaceDE w:val="0"/>
        <w:autoSpaceDN w:val="0"/>
        <w:adjustRightInd w:val="0"/>
        <w:spacing w:after="120"/>
        <w:ind w:left="482" w:hanging="482"/>
        <w:rPr>
          <w:rFonts w:cstheme="minorHAnsi"/>
          <w:noProof/>
          <w:lang w:val="en-US"/>
        </w:rPr>
      </w:pPr>
      <w:r w:rsidRPr="001A6276">
        <w:rPr>
          <w:rFonts w:cstheme="minorHAnsi"/>
          <w:noProof/>
          <w:lang w:val="en-US"/>
        </w:rPr>
        <w:t>González Del Campo, A., Gazzola, P, Onyango, V., 2020. The mutualism of strategic environmental assessment and sustainable development goals. Environ. Impact Assess. Rev. 82, 106383, 1-9</w:t>
      </w:r>
      <w:r w:rsidR="00012AB5">
        <w:rPr>
          <w:rFonts w:cstheme="minorHAnsi"/>
          <w:noProof/>
          <w:lang w:val="en-US"/>
        </w:rPr>
        <w:t>.</w:t>
      </w:r>
    </w:p>
    <w:p w14:paraId="26F64728" w14:textId="77777777" w:rsidR="00AA039C" w:rsidRPr="001A6276" w:rsidRDefault="00AA039C" w:rsidP="001A6276">
      <w:pPr>
        <w:widowControl w:val="0"/>
        <w:autoSpaceDE w:val="0"/>
        <w:autoSpaceDN w:val="0"/>
        <w:adjustRightInd w:val="0"/>
        <w:spacing w:after="120"/>
        <w:ind w:left="482" w:hanging="482"/>
        <w:rPr>
          <w:rFonts w:cstheme="minorHAnsi"/>
          <w:noProof/>
          <w:lang w:val="en-US"/>
        </w:rPr>
      </w:pPr>
      <w:r w:rsidRPr="001A6276">
        <w:rPr>
          <w:rFonts w:cstheme="minorHAnsi"/>
          <w:noProof/>
          <w:lang w:val="en-US"/>
        </w:rPr>
        <w:t>Glasson J, Chadwick, Therivel R. Introduction to environmental impact assessment. 2nd edition. London, UK, Spon Press; 1999.</w:t>
      </w:r>
    </w:p>
    <w:p w14:paraId="5114821A" w14:textId="2CC52CE1" w:rsidR="00AA039C" w:rsidRDefault="00AA039C" w:rsidP="001A6276">
      <w:pPr>
        <w:widowControl w:val="0"/>
        <w:autoSpaceDE w:val="0"/>
        <w:autoSpaceDN w:val="0"/>
        <w:adjustRightInd w:val="0"/>
        <w:spacing w:after="120"/>
        <w:ind w:left="482" w:hanging="482"/>
        <w:rPr>
          <w:rFonts w:cstheme="minorHAnsi"/>
          <w:noProof/>
          <w:lang w:val="en-US"/>
        </w:rPr>
      </w:pPr>
      <w:r w:rsidRPr="004A3026">
        <w:rPr>
          <w:rFonts w:cstheme="minorHAnsi"/>
          <w:noProof/>
          <w:lang w:val="en-US"/>
        </w:rPr>
        <w:t xml:space="preserve">Hacking, T., 2019. The SDGs and the sustainability assessment of private-sector projects: theoretical conceptualisation and comparison with current practice using the case study of the Asian </w:t>
      </w:r>
      <w:r w:rsidRPr="004A3026">
        <w:rPr>
          <w:rFonts w:cstheme="minorHAnsi"/>
          <w:noProof/>
          <w:lang w:val="en-US"/>
        </w:rPr>
        <w:lastRenderedPageBreak/>
        <w:t xml:space="preserve">Development Bank. Impact Assess. Proj. Apprais. 37, 2–16. </w:t>
      </w:r>
      <w:hyperlink r:id="rId35" w:history="1">
        <w:r w:rsidR="005906C4" w:rsidRPr="00FF62C8">
          <w:rPr>
            <w:color w:val="0070C0"/>
            <w:u w:val="single"/>
            <w:lang w:val="en-US"/>
          </w:rPr>
          <w:t>https://doi.org/10.1080/14615517.2018.1477469</w:t>
        </w:r>
      </w:hyperlink>
      <w:r w:rsidR="00FF62C8" w:rsidRPr="00FF62C8">
        <w:rPr>
          <w:color w:val="0070C0"/>
          <w:u w:val="single"/>
          <w:lang w:val="en-US"/>
        </w:rPr>
        <w:t>.</w:t>
      </w:r>
      <w:r w:rsidR="00FF62C8" w:rsidRPr="00FF62C8">
        <w:rPr>
          <w:color w:val="0070C0"/>
          <w:lang w:val="en-US"/>
        </w:rPr>
        <w:t xml:space="preserve"> </w:t>
      </w:r>
    </w:p>
    <w:p w14:paraId="44318D59" w14:textId="685A51F7" w:rsidR="005906C4" w:rsidRDefault="005906C4" w:rsidP="001A6276">
      <w:pPr>
        <w:widowControl w:val="0"/>
        <w:autoSpaceDE w:val="0"/>
        <w:autoSpaceDN w:val="0"/>
        <w:adjustRightInd w:val="0"/>
        <w:spacing w:after="120"/>
        <w:ind w:left="482" w:hanging="482"/>
        <w:rPr>
          <w:rFonts w:cstheme="minorHAnsi"/>
          <w:noProof/>
          <w:lang w:val="en-US"/>
        </w:rPr>
      </w:pPr>
      <w:r>
        <w:rPr>
          <w:rFonts w:cstheme="minorHAnsi"/>
          <w:noProof/>
          <w:lang w:val="en-US"/>
        </w:rPr>
        <w:t>Hawkings, J.M. 2018. Textual Analysis. In The SAGE Encyclopedia of Communication Research Methods. Ed. Mike Allen. SAGE Publications, Inc. Thousan Oaks.</w:t>
      </w:r>
    </w:p>
    <w:p w14:paraId="6C0765C4" w14:textId="656971CA" w:rsidR="002A1B5B" w:rsidRPr="00A77C4C" w:rsidRDefault="002A1B5B" w:rsidP="002A1B5B">
      <w:pPr>
        <w:widowControl w:val="0"/>
        <w:autoSpaceDE w:val="0"/>
        <w:autoSpaceDN w:val="0"/>
        <w:adjustRightInd w:val="0"/>
        <w:spacing w:after="120"/>
        <w:ind w:left="482" w:hanging="482"/>
        <w:rPr>
          <w:rFonts w:cstheme="minorHAnsi"/>
          <w:lang w:val="en-US"/>
        </w:rPr>
      </w:pPr>
      <w:r>
        <w:rPr>
          <w:rFonts w:cstheme="minorHAnsi"/>
          <w:noProof/>
          <w:lang w:val="en-US"/>
        </w:rPr>
        <w:t xml:space="preserve">Hresc, J., Riley, E., &amp; Harris, P., 2018. Mining project’s economic impact on local communities, as a social determinant of health: A documentary analysis of environmental impact statements. Environmental Impact Assessment Review, 72, 64-70. </w:t>
      </w:r>
      <w:hyperlink r:id="rId36" w:tgtFrame="_blank" w:tooltip="Persistent link using digital object identifier" w:history="1">
        <w:r w:rsidRPr="00A77C4C">
          <w:rPr>
            <w:rStyle w:val="Hyperlink"/>
            <w:rFonts w:cstheme="minorHAnsi"/>
            <w:lang w:val="en-US"/>
          </w:rPr>
          <w:t>https://doi.org/10.1016/j.eiar.2018.05.009</w:t>
        </w:r>
      </w:hyperlink>
    </w:p>
    <w:p w14:paraId="3883CCA7" w14:textId="69D38173" w:rsidR="00012AB5" w:rsidRPr="00075B0E" w:rsidRDefault="00FC02B3" w:rsidP="00012AB5">
      <w:pPr>
        <w:widowControl w:val="0"/>
        <w:autoSpaceDE w:val="0"/>
        <w:autoSpaceDN w:val="0"/>
        <w:adjustRightInd w:val="0"/>
        <w:spacing w:after="120"/>
        <w:ind w:left="482" w:hanging="482"/>
        <w:rPr>
          <w:rFonts w:cstheme="minorHAnsi"/>
          <w:lang w:val="en-US"/>
        </w:rPr>
      </w:pPr>
      <w:proofErr w:type="spellStart"/>
      <w:r w:rsidRPr="00A77C4C">
        <w:rPr>
          <w:rFonts w:cstheme="minorHAnsi"/>
          <w:lang w:val="en-US"/>
        </w:rPr>
        <w:t>Kørnøv</w:t>
      </w:r>
      <w:proofErr w:type="spellEnd"/>
      <w:r w:rsidRPr="00A77C4C">
        <w:rPr>
          <w:rFonts w:cstheme="minorHAnsi"/>
          <w:lang w:val="en-US"/>
        </w:rPr>
        <w:t>, L., Christensen</w:t>
      </w:r>
      <w:r w:rsidR="00D55DC6" w:rsidRPr="00A77C4C">
        <w:rPr>
          <w:rFonts w:cstheme="minorHAnsi"/>
          <w:lang w:val="en-US"/>
        </w:rPr>
        <w:t>, P., Nielsen, E.H.,</w:t>
      </w:r>
      <w:r w:rsidR="00D55DC6" w:rsidRPr="00A77C4C">
        <w:rPr>
          <w:rFonts w:cstheme="minorHAnsi"/>
          <w:noProof/>
          <w:lang w:val="en-US"/>
        </w:rPr>
        <w:t xml:space="preserve"> 2005</w:t>
      </w:r>
      <w:r w:rsidR="00E070A7" w:rsidRPr="00A77C4C">
        <w:rPr>
          <w:rFonts w:cstheme="minorHAnsi"/>
          <w:noProof/>
          <w:lang w:val="en-US"/>
        </w:rPr>
        <w:t xml:space="preserve">. </w:t>
      </w:r>
      <w:r w:rsidR="00E070A7" w:rsidRPr="00075B0E">
        <w:rPr>
          <w:rFonts w:cstheme="minorHAnsi"/>
          <w:lang w:val="en-US"/>
        </w:rPr>
        <w:t>Mission impossible</w:t>
      </w:r>
      <w:r w:rsidR="00E070A7">
        <w:rPr>
          <w:rFonts w:cstheme="minorHAnsi"/>
          <w:noProof/>
          <w:lang w:val="en-US"/>
        </w:rPr>
        <w:t>: does environmental impact assessment in Denmark secure a holistic approach to the environment. Impact Assess. Proj</w:t>
      </w:r>
      <w:r w:rsidR="00C36B61">
        <w:rPr>
          <w:rFonts w:cstheme="minorHAnsi"/>
          <w:noProof/>
          <w:lang w:val="en-US"/>
        </w:rPr>
        <w:t xml:space="preserve">. Apprais. </w:t>
      </w:r>
      <w:r w:rsidR="000A0FF2">
        <w:rPr>
          <w:rFonts w:cstheme="minorHAnsi"/>
          <w:noProof/>
          <w:lang w:val="en-US"/>
        </w:rPr>
        <w:t>23</w:t>
      </w:r>
      <w:r w:rsidR="00B05AB7">
        <w:rPr>
          <w:rFonts w:cstheme="minorHAnsi"/>
          <w:noProof/>
          <w:lang w:val="en-US"/>
        </w:rPr>
        <w:t>: 4</w:t>
      </w:r>
      <w:r w:rsidR="00D15FF5">
        <w:rPr>
          <w:rFonts w:cstheme="minorHAnsi"/>
          <w:noProof/>
          <w:lang w:val="en-US"/>
        </w:rPr>
        <w:t xml:space="preserve">, </w:t>
      </w:r>
      <w:r w:rsidR="00467576">
        <w:rPr>
          <w:rFonts w:cstheme="minorHAnsi"/>
          <w:noProof/>
          <w:lang w:val="en-US"/>
        </w:rPr>
        <w:t>303-314.</w:t>
      </w:r>
      <w:r w:rsidR="002676C6">
        <w:rPr>
          <w:rFonts w:cstheme="minorHAnsi"/>
          <w:noProof/>
          <w:lang w:val="en-US"/>
        </w:rPr>
        <w:t xml:space="preserve"> </w:t>
      </w:r>
      <w:hyperlink r:id="rId37" w:history="1">
        <w:r w:rsidR="00012AB5" w:rsidRPr="004E766A">
          <w:rPr>
            <w:rStyle w:val="Hyperlink"/>
            <w:rFonts w:cstheme="minorHAnsi"/>
            <w:noProof/>
            <w:lang w:val="en-US"/>
          </w:rPr>
          <w:t>https://doi.org/10.3152/147154605781765427</w:t>
        </w:r>
      </w:hyperlink>
      <w:r w:rsidR="00012AB5">
        <w:rPr>
          <w:rFonts w:cstheme="minorHAnsi"/>
          <w:noProof/>
          <w:lang w:val="en-US"/>
        </w:rPr>
        <w:t>.</w:t>
      </w:r>
    </w:p>
    <w:p w14:paraId="68C1FE41" w14:textId="0732042D" w:rsidR="00406EBD" w:rsidRDefault="00406EBD" w:rsidP="001A6276">
      <w:pPr>
        <w:widowControl w:val="0"/>
        <w:autoSpaceDE w:val="0"/>
        <w:autoSpaceDN w:val="0"/>
        <w:adjustRightInd w:val="0"/>
        <w:spacing w:after="120"/>
        <w:ind w:left="482" w:hanging="482"/>
        <w:rPr>
          <w:rFonts w:cstheme="minorHAnsi"/>
          <w:noProof/>
          <w:lang w:val="en-US"/>
        </w:rPr>
      </w:pPr>
      <w:r w:rsidRPr="00E070A7">
        <w:rPr>
          <w:rFonts w:cstheme="minorHAnsi"/>
          <w:noProof/>
          <w:lang w:val="en-US"/>
        </w:rPr>
        <w:t>Kørnøv, L., Lyhne, L., Davila, Juanita G</w:t>
      </w:r>
      <w:r w:rsidR="00BF10A1" w:rsidRPr="00E070A7">
        <w:rPr>
          <w:rFonts w:cstheme="minorHAnsi"/>
          <w:noProof/>
          <w:lang w:val="en-US"/>
        </w:rPr>
        <w:t>a</w:t>
      </w:r>
      <w:r w:rsidRPr="00E070A7">
        <w:rPr>
          <w:rFonts w:cstheme="minorHAnsi"/>
          <w:noProof/>
          <w:lang w:val="en-US"/>
        </w:rPr>
        <w:t xml:space="preserve">llego. </w:t>
      </w:r>
      <w:r w:rsidRPr="00BF10A1">
        <w:rPr>
          <w:rFonts w:cstheme="minorHAnsi"/>
          <w:noProof/>
          <w:lang w:val="en-US"/>
        </w:rPr>
        <w:t xml:space="preserve">2020. Linking </w:t>
      </w:r>
      <w:r>
        <w:rPr>
          <w:rFonts w:cstheme="minorHAnsi"/>
          <w:noProof/>
          <w:lang w:val="en-US"/>
        </w:rPr>
        <w:t xml:space="preserve">the UN SDGs and Environmental Assessment: Towards a Conceptual Framework. </w:t>
      </w:r>
      <w:r w:rsidRPr="003B461E">
        <w:rPr>
          <w:rFonts w:cstheme="minorHAnsi"/>
          <w:noProof/>
          <w:lang w:val="en-US"/>
        </w:rPr>
        <w:t>Environmental Impact Assessment Review.</w:t>
      </w:r>
      <w:r>
        <w:rPr>
          <w:rFonts w:cstheme="minorHAnsi"/>
          <w:noProof/>
          <w:lang w:val="en-US"/>
        </w:rPr>
        <w:t xml:space="preserve"> 85, 106463.</w:t>
      </w:r>
    </w:p>
    <w:p w14:paraId="4EF10540" w14:textId="17D8665C" w:rsidR="00C25FC9" w:rsidRPr="00A77C4C" w:rsidRDefault="00C25FC9" w:rsidP="00C25FC9">
      <w:pPr>
        <w:widowControl w:val="0"/>
        <w:autoSpaceDE w:val="0"/>
        <w:autoSpaceDN w:val="0"/>
        <w:adjustRightInd w:val="0"/>
        <w:spacing w:after="120"/>
        <w:ind w:left="482" w:hanging="482"/>
        <w:rPr>
          <w:rFonts w:cstheme="minorHAnsi"/>
          <w:lang w:val="en-US"/>
        </w:rPr>
      </w:pPr>
      <w:r w:rsidRPr="00A77C4C">
        <w:rPr>
          <w:rFonts w:cstheme="minorHAnsi"/>
          <w:lang w:val="en-US"/>
        </w:rPr>
        <w:t>Larsen, S.</w:t>
      </w:r>
      <w:r w:rsidR="002A1B5B" w:rsidRPr="00A77C4C">
        <w:rPr>
          <w:rFonts w:cstheme="minorHAnsi"/>
          <w:lang w:val="en-US"/>
        </w:rPr>
        <w:t>V.</w:t>
      </w:r>
      <w:r w:rsidRPr="00A77C4C">
        <w:rPr>
          <w:rFonts w:cstheme="minorHAnsi"/>
          <w:lang w:val="en-US"/>
        </w:rPr>
        <w:t xml:space="preserve">, </w:t>
      </w:r>
      <w:proofErr w:type="spellStart"/>
      <w:r w:rsidRPr="00A77C4C">
        <w:rPr>
          <w:rFonts w:cstheme="minorHAnsi"/>
          <w:lang w:val="en-US"/>
        </w:rPr>
        <w:t>Merrild</w:t>
      </w:r>
      <w:proofErr w:type="spellEnd"/>
      <w:r w:rsidRPr="00A77C4C">
        <w:rPr>
          <w:rFonts w:cstheme="minorHAnsi"/>
          <w:lang w:val="en-US"/>
        </w:rPr>
        <w:t xml:space="preserve"> Hansen, A., </w:t>
      </w:r>
      <w:proofErr w:type="spellStart"/>
      <w:r w:rsidRPr="00A77C4C">
        <w:rPr>
          <w:rFonts w:cstheme="minorHAnsi"/>
          <w:lang w:val="en-US"/>
        </w:rPr>
        <w:t>Lyhne</w:t>
      </w:r>
      <w:proofErr w:type="spellEnd"/>
      <w:r w:rsidRPr="00A77C4C">
        <w:rPr>
          <w:rFonts w:cstheme="minorHAnsi"/>
          <w:lang w:val="en-US"/>
        </w:rPr>
        <w:t xml:space="preserve">, I., </w:t>
      </w:r>
      <w:proofErr w:type="spellStart"/>
      <w:r w:rsidRPr="00A77C4C">
        <w:rPr>
          <w:rFonts w:cstheme="minorHAnsi"/>
          <w:lang w:val="en-US"/>
        </w:rPr>
        <w:t>Bjørn</w:t>
      </w:r>
      <w:proofErr w:type="spellEnd"/>
      <w:r w:rsidRPr="00A77C4C">
        <w:rPr>
          <w:rFonts w:cstheme="minorHAnsi"/>
          <w:lang w:val="en-US"/>
        </w:rPr>
        <w:t xml:space="preserve"> </w:t>
      </w:r>
      <w:proofErr w:type="spellStart"/>
      <w:r w:rsidRPr="00A77C4C">
        <w:rPr>
          <w:rFonts w:cstheme="minorHAnsi"/>
          <w:lang w:val="en-US"/>
        </w:rPr>
        <w:t>Aaen</w:t>
      </w:r>
      <w:proofErr w:type="spellEnd"/>
      <w:r w:rsidRPr="00A77C4C">
        <w:rPr>
          <w:rFonts w:cstheme="minorHAnsi"/>
          <w:lang w:val="en-US"/>
        </w:rPr>
        <w:t xml:space="preserve">, S., Ritter, E., Nielsen, H., 2015. </w:t>
      </w:r>
      <w:r w:rsidRPr="004A3026">
        <w:rPr>
          <w:rFonts w:cstheme="minorHAnsi"/>
          <w:noProof/>
          <w:lang w:val="en-US"/>
        </w:rPr>
        <w:t xml:space="preserve">Social Impact Assessment in Europe: A Study of Social Impacts in Three Danish Cases. J. Environ. Assess. Policy Manag. 17. </w:t>
      </w:r>
      <w:hyperlink r:id="rId38" w:history="1">
        <w:r w:rsidR="002A1B5B" w:rsidRPr="00A77C4C">
          <w:rPr>
            <w:rStyle w:val="Hyperlink"/>
            <w:lang w:val="en-US"/>
          </w:rPr>
          <w:t>https://vbn.aau.dk/ws/files/262085253/Larsen_et_al_2015_VBN_version.pdf</w:t>
        </w:r>
      </w:hyperlink>
      <w:r w:rsidR="002A1B5B" w:rsidRPr="00A77C4C">
        <w:rPr>
          <w:lang w:val="en-US"/>
        </w:rPr>
        <w:t xml:space="preserve"> </w:t>
      </w:r>
    </w:p>
    <w:p w14:paraId="6E288A6D" w14:textId="4FE6C569" w:rsidR="00AA039C" w:rsidRPr="00A77C4C" w:rsidRDefault="00AA039C" w:rsidP="001A6276">
      <w:pPr>
        <w:widowControl w:val="0"/>
        <w:autoSpaceDE w:val="0"/>
        <w:autoSpaceDN w:val="0"/>
        <w:adjustRightInd w:val="0"/>
        <w:spacing w:after="120"/>
        <w:ind w:left="482" w:hanging="482"/>
        <w:rPr>
          <w:rFonts w:cstheme="minorHAnsi"/>
          <w:noProof/>
        </w:rPr>
      </w:pPr>
      <w:r w:rsidRPr="00C25FC9">
        <w:rPr>
          <w:rFonts w:cstheme="minorHAnsi"/>
          <w:noProof/>
        </w:rPr>
        <w:t xml:space="preserve">Larsen, S.V., Hansen, A.M., Nielsen, H.N., 2018. </w:t>
      </w:r>
      <w:r w:rsidRPr="004A3026">
        <w:rPr>
          <w:rFonts w:cstheme="minorHAnsi"/>
          <w:noProof/>
          <w:lang w:val="en-US"/>
        </w:rPr>
        <w:t xml:space="preserve">The role of EIA and weak assessments of social impacts in conflicts over implementation of renewable energy policies. </w:t>
      </w:r>
      <w:r w:rsidRPr="00A77C4C">
        <w:rPr>
          <w:rFonts w:cstheme="minorHAnsi"/>
          <w:noProof/>
        </w:rPr>
        <w:t xml:space="preserve">Energy Policy. </w:t>
      </w:r>
      <w:hyperlink r:id="rId39" w:history="1">
        <w:r w:rsidR="002A1B5B" w:rsidRPr="00A77C4C">
          <w:rPr>
            <w:rStyle w:val="Hyperlink"/>
            <w:rFonts w:cstheme="minorHAnsi"/>
            <w:noProof/>
          </w:rPr>
          <w:t>https://doi.org/10.1016/j.enpol.2018.01.002</w:t>
        </w:r>
      </w:hyperlink>
      <w:r w:rsidR="002A1B5B" w:rsidRPr="00A77C4C">
        <w:rPr>
          <w:rFonts w:cstheme="minorHAnsi"/>
          <w:noProof/>
        </w:rPr>
        <w:t xml:space="preserve"> </w:t>
      </w:r>
    </w:p>
    <w:p w14:paraId="2670E053" w14:textId="1B9AB6F9" w:rsidR="00822CE3" w:rsidRPr="004A3026" w:rsidRDefault="00B27EBC" w:rsidP="00075B0E">
      <w:pPr>
        <w:widowControl w:val="0"/>
        <w:autoSpaceDE w:val="0"/>
        <w:autoSpaceDN w:val="0"/>
        <w:adjustRightInd w:val="0"/>
        <w:spacing w:after="120"/>
        <w:ind w:left="482" w:hanging="482"/>
        <w:rPr>
          <w:rFonts w:cstheme="minorHAnsi"/>
          <w:noProof/>
          <w:lang w:val="en-US"/>
        </w:rPr>
      </w:pPr>
      <w:r w:rsidRPr="00A77C4C">
        <w:rPr>
          <w:rFonts w:cstheme="minorHAnsi"/>
          <w:noProof/>
        </w:rPr>
        <w:t xml:space="preserve">Lyhne, I, Kørnøv, L. 2013. </w:t>
      </w:r>
      <w:r>
        <w:rPr>
          <w:rFonts w:cstheme="minorHAnsi"/>
          <w:noProof/>
          <w:lang w:val="en-US"/>
        </w:rPr>
        <w:t xml:space="preserve">How do we make sense of significance? Indications and reflections on an experiment. </w:t>
      </w:r>
      <w:r w:rsidR="002C1254">
        <w:rPr>
          <w:rFonts w:cstheme="minorHAnsi"/>
          <w:noProof/>
          <w:lang w:val="en-US"/>
        </w:rPr>
        <w:t>Impa</w:t>
      </w:r>
      <w:r w:rsidR="00E64607">
        <w:rPr>
          <w:rFonts w:cstheme="minorHAnsi"/>
          <w:noProof/>
          <w:lang w:val="en-US"/>
        </w:rPr>
        <w:t>ct Assess</w:t>
      </w:r>
      <w:r w:rsidR="00075B0E">
        <w:rPr>
          <w:rFonts w:cstheme="minorHAnsi"/>
          <w:noProof/>
          <w:lang w:val="en-US"/>
        </w:rPr>
        <w:t>. Proj. Apprais. 31: 3, 180-189.</w:t>
      </w:r>
      <w:hyperlink r:id="rId40" w:history="1">
        <w:r w:rsidR="00822CE3" w:rsidRPr="00075B0E">
          <w:rPr>
            <w:rStyle w:val="Hyperlink"/>
            <w:rFonts w:ascii="Arial" w:hAnsi="Arial" w:cs="Arial"/>
            <w:color w:val="001D61"/>
            <w:lang w:val="en-US"/>
          </w:rPr>
          <w:t>10.1080/14615517.2013.795694</w:t>
        </w:r>
      </w:hyperlink>
    </w:p>
    <w:p w14:paraId="0368FA8D" w14:textId="2DE54B30" w:rsidR="001A6276" w:rsidRPr="001A6276" w:rsidRDefault="00AA039C" w:rsidP="001A6276">
      <w:pPr>
        <w:widowControl w:val="0"/>
        <w:autoSpaceDE w:val="0"/>
        <w:autoSpaceDN w:val="0"/>
        <w:adjustRightInd w:val="0"/>
        <w:spacing w:after="120"/>
        <w:ind w:left="482" w:hanging="482"/>
        <w:rPr>
          <w:rFonts w:cstheme="minorHAnsi"/>
          <w:noProof/>
          <w:lang w:val="en-US"/>
        </w:rPr>
      </w:pPr>
      <w:r w:rsidRPr="00A77C4C">
        <w:rPr>
          <w:rFonts w:cstheme="minorHAnsi"/>
          <w:noProof/>
          <w:lang w:val="en-US"/>
        </w:rPr>
        <w:t xml:space="preserve">Lyhne, I., Cashmore, M., Runhaar, H., van Laerhoven, F., 2016. </w:t>
      </w:r>
      <w:r w:rsidRPr="001A6276">
        <w:rPr>
          <w:rFonts w:cstheme="minorHAnsi"/>
          <w:noProof/>
          <w:lang w:val="en-US"/>
        </w:rPr>
        <w:t xml:space="preserve">Quality control for environmental policy appraisal tools: an empirical investigation of relations between quality, quality control and effectiveness. J. Environ. Policy Plan. 18, 121–140. </w:t>
      </w:r>
      <w:hyperlink r:id="rId41" w:history="1">
        <w:r w:rsidR="00FF62C8" w:rsidRPr="004E5BE2">
          <w:rPr>
            <w:rStyle w:val="Hyperlink"/>
            <w:rFonts w:cstheme="minorHAnsi"/>
            <w:noProof/>
            <w:lang w:val="en-US"/>
          </w:rPr>
          <w:t>http://dx.doi.org/10.1080/1523908x.2015.1053438</w:t>
        </w:r>
      </w:hyperlink>
      <w:r w:rsidR="00FF62C8">
        <w:rPr>
          <w:rFonts w:cstheme="minorHAnsi"/>
          <w:noProof/>
          <w:lang w:val="en-US"/>
        </w:rPr>
        <w:t xml:space="preserve">.  </w:t>
      </w:r>
    </w:p>
    <w:p w14:paraId="276FDBF8" w14:textId="6FE8DA5B" w:rsidR="001A6276" w:rsidRDefault="00AA039C" w:rsidP="001A6276">
      <w:pPr>
        <w:widowControl w:val="0"/>
        <w:autoSpaceDE w:val="0"/>
        <w:autoSpaceDN w:val="0"/>
        <w:adjustRightInd w:val="0"/>
        <w:spacing w:after="120"/>
        <w:ind w:left="482" w:hanging="482"/>
        <w:rPr>
          <w:rFonts w:cstheme="minorHAnsi"/>
          <w:noProof/>
          <w:lang w:val="en-US"/>
        </w:rPr>
      </w:pPr>
      <w:r w:rsidRPr="004A3026">
        <w:rPr>
          <w:rFonts w:cstheme="minorHAnsi"/>
          <w:noProof/>
          <w:lang w:val="en-US"/>
        </w:rPr>
        <w:t xml:space="preserve">Matthews, N.E., Stamford, L., Shapira, P., 2019. Aligning sustainability assessment with responsible research and innovation: Towards a framework for Constructive Sustainability Assessment. Sustain. Prod. Consum. 20, 58–73. </w:t>
      </w:r>
      <w:hyperlink r:id="rId42" w:history="1">
        <w:r w:rsidR="001A6276" w:rsidRPr="00FF62C8">
          <w:rPr>
            <w:color w:val="0070C0"/>
            <w:u w:val="single"/>
            <w:lang w:val="en-US"/>
          </w:rPr>
          <w:t>https://doi.org/10.1016/J.SPC.2019.05.002</w:t>
        </w:r>
      </w:hyperlink>
      <w:r w:rsidR="001A6276" w:rsidRPr="00FF62C8">
        <w:rPr>
          <w:rFonts w:cstheme="minorHAnsi"/>
          <w:noProof/>
          <w:color w:val="0070C0"/>
          <w:lang w:val="en-US"/>
        </w:rPr>
        <w:t xml:space="preserve"> </w:t>
      </w:r>
    </w:p>
    <w:p w14:paraId="530DBF62" w14:textId="171A813D" w:rsidR="00B06B6B" w:rsidRPr="00B06B6B" w:rsidRDefault="00B06B6B" w:rsidP="00B06B6B">
      <w:pPr>
        <w:pStyle w:val="NormalWeb"/>
        <w:rPr>
          <w:rFonts w:asciiTheme="minorHAnsi" w:hAnsiTheme="minorHAnsi"/>
          <w:sz w:val="22"/>
          <w:szCs w:val="22"/>
          <w:lang w:val="en-US"/>
        </w:rPr>
      </w:pPr>
      <w:r w:rsidRPr="004A3026">
        <w:rPr>
          <w:rFonts w:asciiTheme="minorHAnsi" w:hAnsiTheme="minorHAnsi"/>
          <w:color w:val="211E1E"/>
          <w:sz w:val="22"/>
          <w:szCs w:val="22"/>
          <w:lang w:val="en-US"/>
        </w:rPr>
        <w:t>Morgan R.</w:t>
      </w:r>
      <w:r>
        <w:rPr>
          <w:rFonts w:asciiTheme="minorHAnsi" w:hAnsiTheme="minorHAnsi"/>
          <w:color w:val="211E1E"/>
          <w:sz w:val="22"/>
          <w:szCs w:val="22"/>
          <w:lang w:val="en-US"/>
        </w:rPr>
        <w:t>, 1998.</w:t>
      </w:r>
      <w:r w:rsidRPr="004A3026">
        <w:rPr>
          <w:rFonts w:asciiTheme="minorHAnsi" w:hAnsiTheme="minorHAnsi"/>
          <w:color w:val="211E1E"/>
          <w:sz w:val="22"/>
          <w:szCs w:val="22"/>
          <w:lang w:val="en-US"/>
        </w:rPr>
        <w:t xml:space="preserve"> Environmental impact assessment. A methodological perspective. Mass. USA7 Kluwer.</w:t>
      </w:r>
    </w:p>
    <w:p w14:paraId="65126D36" w14:textId="6930BA86" w:rsidR="00AA039C" w:rsidRPr="001A6276" w:rsidRDefault="00AA039C" w:rsidP="001A6276">
      <w:pPr>
        <w:widowControl w:val="0"/>
        <w:autoSpaceDE w:val="0"/>
        <w:autoSpaceDN w:val="0"/>
        <w:adjustRightInd w:val="0"/>
        <w:spacing w:after="120"/>
        <w:ind w:left="482" w:hanging="482"/>
        <w:rPr>
          <w:rFonts w:cstheme="minorHAnsi"/>
          <w:noProof/>
          <w:lang w:val="en-US"/>
        </w:rPr>
      </w:pPr>
      <w:r w:rsidRPr="004A3026">
        <w:rPr>
          <w:szCs w:val="22"/>
          <w:lang w:val="en-US"/>
        </w:rPr>
        <w:t xml:space="preserve">Morrison-Saunders, A., Pope, J., Gunn, J.A., Bond, A., Retief, F., 2014. Strengthening impact assessment: a call for integration and focus. Impact Assess. </w:t>
      </w:r>
      <w:proofErr w:type="spellStart"/>
      <w:r w:rsidRPr="004A3026">
        <w:rPr>
          <w:szCs w:val="22"/>
          <w:lang w:val="en-US"/>
        </w:rPr>
        <w:t>Proj</w:t>
      </w:r>
      <w:proofErr w:type="spellEnd"/>
      <w:r w:rsidRPr="004A3026">
        <w:rPr>
          <w:szCs w:val="22"/>
          <w:lang w:val="en-US"/>
        </w:rPr>
        <w:t xml:space="preserve">. </w:t>
      </w:r>
      <w:proofErr w:type="spellStart"/>
      <w:r w:rsidRPr="004A3026">
        <w:rPr>
          <w:szCs w:val="22"/>
          <w:lang w:val="en-US"/>
        </w:rPr>
        <w:t>Apprais</w:t>
      </w:r>
      <w:proofErr w:type="spellEnd"/>
      <w:r w:rsidRPr="004A3026">
        <w:rPr>
          <w:szCs w:val="22"/>
          <w:lang w:val="en-US"/>
        </w:rPr>
        <w:t xml:space="preserve">. 32, 2–8. </w:t>
      </w:r>
      <w:r w:rsidRPr="004A3026">
        <w:rPr>
          <w:color w:val="0000FF"/>
          <w:szCs w:val="22"/>
          <w:lang w:val="en-US"/>
        </w:rPr>
        <w:t>http://dx.doi.org/10.1080/14615517.2013.872841</w:t>
      </w:r>
      <w:r w:rsidRPr="004A3026">
        <w:rPr>
          <w:szCs w:val="22"/>
          <w:lang w:val="en-US"/>
        </w:rPr>
        <w:t xml:space="preserve">. </w:t>
      </w:r>
    </w:p>
    <w:p w14:paraId="0EF49639" w14:textId="2E1BABFB" w:rsidR="00AA039C" w:rsidRPr="004A3026" w:rsidRDefault="00AA039C" w:rsidP="001A6276">
      <w:pPr>
        <w:widowControl w:val="0"/>
        <w:autoSpaceDE w:val="0"/>
        <w:autoSpaceDN w:val="0"/>
        <w:adjustRightInd w:val="0"/>
        <w:spacing w:after="120"/>
        <w:ind w:left="482" w:hanging="482"/>
        <w:rPr>
          <w:rFonts w:cstheme="minorHAnsi"/>
          <w:noProof/>
          <w:lang w:val="en-US"/>
        </w:rPr>
      </w:pPr>
      <w:r w:rsidRPr="004A3026">
        <w:rPr>
          <w:rFonts w:cstheme="minorHAnsi"/>
          <w:noProof/>
          <w:lang w:val="en-US"/>
        </w:rPr>
        <w:t xml:space="preserve">Morrison-Saunders, A., Sánchez, L.E., Retief, F., Sinclair, J., Doelle, M., Jones, M., Wessels, J.-A., Pope, J., 2020. Gearing up impact assessment as a vehicle for achieving the UN sustainable development goals. Impact Assess. Proj. Apprais. 1–5. </w:t>
      </w:r>
      <w:hyperlink r:id="rId43" w:history="1">
        <w:r w:rsidR="001A6276" w:rsidRPr="00A815B1">
          <w:rPr>
            <w:rStyle w:val="Hyperlink"/>
            <w:rFonts w:cstheme="minorHAnsi"/>
            <w:noProof/>
            <w:lang w:val="en-US"/>
          </w:rPr>
          <w:t>https://doi.org/10.1080/14615517.2019.1677089</w:t>
        </w:r>
      </w:hyperlink>
      <w:r w:rsidR="001A6276">
        <w:rPr>
          <w:rFonts w:cstheme="minorHAnsi"/>
          <w:noProof/>
          <w:lang w:val="en-US"/>
        </w:rPr>
        <w:t xml:space="preserve"> </w:t>
      </w:r>
    </w:p>
    <w:p w14:paraId="5833C7DF" w14:textId="4AFE6293" w:rsidR="00AA039C" w:rsidRPr="004A3026" w:rsidRDefault="00AA039C" w:rsidP="001A6276">
      <w:pPr>
        <w:widowControl w:val="0"/>
        <w:autoSpaceDE w:val="0"/>
        <w:autoSpaceDN w:val="0"/>
        <w:adjustRightInd w:val="0"/>
        <w:spacing w:after="120"/>
        <w:ind w:left="482" w:hanging="482"/>
        <w:rPr>
          <w:rFonts w:cstheme="minorHAnsi"/>
          <w:noProof/>
          <w:lang w:val="en-US"/>
        </w:rPr>
      </w:pPr>
      <w:r w:rsidRPr="004A3026">
        <w:rPr>
          <w:rFonts w:cstheme="minorHAnsi"/>
          <w:noProof/>
          <w:lang w:val="en-US"/>
        </w:rPr>
        <w:t xml:space="preserve">Nilsson, M., Persson, Å., 2017. Policy note: Lessons from environmental policy integration for the implementation of the 2030 Agenda. Environ. Sci. Policy 78, 36–39. </w:t>
      </w:r>
      <w:hyperlink r:id="rId44" w:history="1">
        <w:r w:rsidR="001A6276" w:rsidRPr="00A815B1">
          <w:rPr>
            <w:rStyle w:val="Hyperlink"/>
            <w:rFonts w:cstheme="minorHAnsi"/>
            <w:noProof/>
            <w:lang w:val="en-US"/>
          </w:rPr>
          <w:t>https://doi.org/10.1016/j.envsci.2017.09.003</w:t>
        </w:r>
      </w:hyperlink>
      <w:r w:rsidR="001A6276">
        <w:rPr>
          <w:rFonts w:cstheme="minorHAnsi"/>
          <w:noProof/>
          <w:lang w:val="en-US"/>
        </w:rPr>
        <w:t xml:space="preserve"> </w:t>
      </w:r>
    </w:p>
    <w:p w14:paraId="55879492" w14:textId="164AB38D" w:rsidR="00AA039C" w:rsidRPr="00123659" w:rsidRDefault="00AA039C" w:rsidP="001A6276">
      <w:pPr>
        <w:widowControl w:val="0"/>
        <w:autoSpaceDE w:val="0"/>
        <w:autoSpaceDN w:val="0"/>
        <w:adjustRightInd w:val="0"/>
        <w:spacing w:after="120"/>
        <w:ind w:left="482" w:hanging="482"/>
        <w:rPr>
          <w:rFonts w:cstheme="minorHAnsi"/>
          <w:noProof/>
          <w:lang w:val="en-US"/>
        </w:rPr>
      </w:pPr>
      <w:r w:rsidRPr="004A3026">
        <w:rPr>
          <w:rFonts w:cstheme="minorHAnsi"/>
          <w:noProof/>
          <w:lang w:val="en-US"/>
        </w:rPr>
        <w:t xml:space="preserve">Pellizzoni, L., 1992. Sociological Aspects of Environmental Impact Assessment, in: Colombo A.G. (Eds) Environmental Impact Assessment. </w:t>
      </w:r>
      <w:r w:rsidRPr="00123659">
        <w:rPr>
          <w:rFonts w:cstheme="minorHAnsi"/>
          <w:noProof/>
          <w:lang w:val="en-US"/>
        </w:rPr>
        <w:t xml:space="preserve">Springer, Dordrecht. </w:t>
      </w:r>
      <w:hyperlink r:id="rId45" w:history="1">
        <w:r w:rsidR="001A6276" w:rsidRPr="00123659">
          <w:rPr>
            <w:rStyle w:val="Hyperlink"/>
            <w:rFonts w:cstheme="minorHAnsi"/>
            <w:noProof/>
            <w:lang w:val="en-US"/>
          </w:rPr>
          <w:t>https://doi.org/https://doi.org/10.1007/978-94-011-2528-4_17</w:t>
        </w:r>
      </w:hyperlink>
      <w:r w:rsidR="001A6276" w:rsidRPr="00123659">
        <w:rPr>
          <w:rFonts w:cstheme="minorHAnsi"/>
          <w:noProof/>
          <w:lang w:val="en-US"/>
        </w:rPr>
        <w:t xml:space="preserve"> </w:t>
      </w:r>
    </w:p>
    <w:p w14:paraId="07ACDE68" w14:textId="77777777" w:rsidR="009F0892" w:rsidRPr="00BF10A1" w:rsidRDefault="009F0892" w:rsidP="001A6276">
      <w:pPr>
        <w:widowControl w:val="0"/>
        <w:autoSpaceDE w:val="0"/>
        <w:autoSpaceDN w:val="0"/>
        <w:adjustRightInd w:val="0"/>
        <w:spacing w:after="120"/>
        <w:ind w:left="482" w:hanging="482"/>
        <w:rPr>
          <w:lang w:val="en-US"/>
        </w:rPr>
      </w:pPr>
      <w:r w:rsidRPr="00BF10A1">
        <w:rPr>
          <w:lang w:val="en-US"/>
        </w:rPr>
        <w:t xml:space="preserve">Sachs, J., Schmidt-Traub, G., Kroll, C., </w:t>
      </w:r>
      <w:proofErr w:type="spellStart"/>
      <w:r w:rsidRPr="00BF10A1">
        <w:rPr>
          <w:lang w:val="en-US"/>
        </w:rPr>
        <w:t>Lafortune</w:t>
      </w:r>
      <w:proofErr w:type="spellEnd"/>
      <w:r w:rsidRPr="00BF10A1">
        <w:rPr>
          <w:lang w:val="en-US"/>
        </w:rPr>
        <w:t xml:space="preserve">, G., Fuller, G., </w:t>
      </w:r>
      <w:proofErr w:type="spellStart"/>
      <w:r w:rsidRPr="00BF10A1">
        <w:rPr>
          <w:lang w:val="en-US"/>
        </w:rPr>
        <w:t>Woelm</w:t>
      </w:r>
      <w:proofErr w:type="spellEnd"/>
      <w:r w:rsidRPr="00BF10A1">
        <w:rPr>
          <w:lang w:val="en-US"/>
        </w:rPr>
        <w:t xml:space="preserve">, F. 2020. The Sustainable Development Goals and COVID-19. Sustainable Development Report 2020. Cambridge: Cambridge </w:t>
      </w:r>
      <w:r w:rsidRPr="00BF10A1">
        <w:rPr>
          <w:lang w:val="en-US"/>
        </w:rPr>
        <w:lastRenderedPageBreak/>
        <w:t>University Press.</w:t>
      </w:r>
    </w:p>
    <w:p w14:paraId="4D5B87B8" w14:textId="508624DC" w:rsidR="00AA039C" w:rsidRDefault="00AA039C" w:rsidP="001A6276">
      <w:pPr>
        <w:widowControl w:val="0"/>
        <w:autoSpaceDE w:val="0"/>
        <w:autoSpaceDN w:val="0"/>
        <w:adjustRightInd w:val="0"/>
        <w:spacing w:after="120"/>
        <w:ind w:left="482" w:hanging="482"/>
        <w:rPr>
          <w:rFonts w:cstheme="minorHAnsi"/>
          <w:noProof/>
          <w:lang w:val="en-US"/>
        </w:rPr>
      </w:pPr>
      <w:r w:rsidRPr="004A3026">
        <w:rPr>
          <w:rFonts w:cstheme="minorHAnsi"/>
          <w:noProof/>
          <w:lang w:val="en-US"/>
        </w:rPr>
        <w:t xml:space="preserve">Sebestyén, V., Bulla, M., Rédey, Á., Abonyi, J., 2019. Network model-based analysis of the goals, targets and indicators of sustainable development for strategic environmental assessment. J. Environ. Manage. 238, 126–135. </w:t>
      </w:r>
      <w:hyperlink r:id="rId46" w:history="1">
        <w:r w:rsidR="001A6276" w:rsidRPr="00A815B1">
          <w:rPr>
            <w:rStyle w:val="Hyperlink"/>
            <w:rFonts w:cstheme="minorHAnsi"/>
            <w:noProof/>
            <w:lang w:val="en-US"/>
          </w:rPr>
          <w:t>https://doi.org/10.1016/j.jenvman.2019.02.096</w:t>
        </w:r>
      </w:hyperlink>
      <w:r w:rsidR="001A6276">
        <w:rPr>
          <w:rFonts w:cstheme="minorHAnsi"/>
          <w:noProof/>
          <w:lang w:val="en-US"/>
        </w:rPr>
        <w:t xml:space="preserve"> </w:t>
      </w:r>
    </w:p>
    <w:p w14:paraId="4540FAAA" w14:textId="7F3A1936" w:rsidR="00ED65AC" w:rsidRPr="004A3026" w:rsidRDefault="00ED65AC" w:rsidP="00507A3C">
      <w:pPr>
        <w:widowControl w:val="0"/>
        <w:autoSpaceDE w:val="0"/>
        <w:autoSpaceDN w:val="0"/>
        <w:adjustRightInd w:val="0"/>
        <w:spacing w:after="120"/>
        <w:ind w:left="482" w:hanging="482"/>
        <w:rPr>
          <w:rFonts w:cstheme="minorHAnsi"/>
          <w:noProof/>
          <w:lang w:val="en-US"/>
        </w:rPr>
      </w:pPr>
      <w:r>
        <w:rPr>
          <w:rFonts w:cstheme="minorHAnsi"/>
          <w:noProof/>
          <w:lang w:val="en-US"/>
        </w:rPr>
        <w:t>Shah, S., 2019. An Analysis of EIA Report od the Second International Airport Project, Nepal. Hydro Nepal: Journal of Water, Energy</w:t>
      </w:r>
      <w:r w:rsidR="00507A3C">
        <w:rPr>
          <w:rFonts w:cstheme="minorHAnsi"/>
          <w:noProof/>
          <w:lang w:val="en-US"/>
        </w:rPr>
        <w:t xml:space="preserve"> and Environment,</w:t>
      </w:r>
      <w:r>
        <w:rPr>
          <w:rFonts w:cstheme="minorHAnsi"/>
          <w:noProof/>
          <w:lang w:val="en-US"/>
        </w:rPr>
        <w:t xml:space="preserve"> No. 24, 57-67.</w:t>
      </w:r>
      <w:r w:rsidR="00507A3C">
        <w:rPr>
          <w:rFonts w:cstheme="minorHAnsi"/>
          <w:noProof/>
          <w:lang w:val="en-US"/>
        </w:rPr>
        <w:t xml:space="preserve"> </w:t>
      </w:r>
      <w:hyperlink r:id="rId47" w:history="1">
        <w:r w:rsidR="00507A3C" w:rsidRPr="00C33F02">
          <w:rPr>
            <w:rStyle w:val="Hyperlink"/>
            <w:rFonts w:cstheme="minorHAnsi"/>
            <w:noProof/>
            <w:lang w:val="en-US"/>
          </w:rPr>
          <w:t>https://doi.org/10.3126/hn.v24i0.23585</w:t>
        </w:r>
      </w:hyperlink>
      <w:r w:rsidR="00507A3C">
        <w:rPr>
          <w:rFonts w:cstheme="minorHAnsi"/>
          <w:noProof/>
          <w:lang w:val="en-US"/>
        </w:rPr>
        <w:t xml:space="preserve">. </w:t>
      </w:r>
    </w:p>
    <w:p w14:paraId="4B728026" w14:textId="52B2F86D" w:rsidR="00AA039C" w:rsidRDefault="00AA039C" w:rsidP="001A6276">
      <w:pPr>
        <w:widowControl w:val="0"/>
        <w:autoSpaceDE w:val="0"/>
        <w:autoSpaceDN w:val="0"/>
        <w:adjustRightInd w:val="0"/>
        <w:spacing w:after="120"/>
        <w:ind w:left="482" w:hanging="482"/>
        <w:rPr>
          <w:rFonts w:cstheme="minorHAnsi"/>
          <w:noProof/>
          <w:lang w:val="en-US"/>
        </w:rPr>
      </w:pPr>
      <w:r w:rsidRPr="004A3026">
        <w:rPr>
          <w:rFonts w:cstheme="minorHAnsi"/>
          <w:noProof/>
          <w:lang w:val="en-US"/>
        </w:rPr>
        <w:t xml:space="preserve">Stafford-Smith, M., Griggs, D., Gaffney, O., Ullah, F., Reyers, B., Kanie, N., Stigson, B., Shrivastava, P., Leach, M., O’Connell, D., 2017. Integration: the key to implementing the Sustainable Development Goals. Sustain. </w:t>
      </w:r>
      <w:r w:rsidRPr="00BF10A1">
        <w:rPr>
          <w:rFonts w:cstheme="minorHAnsi"/>
          <w:noProof/>
          <w:lang w:val="en-US"/>
        </w:rPr>
        <w:t xml:space="preserve">Sci. 12, 911–919. </w:t>
      </w:r>
      <w:hyperlink r:id="rId48" w:history="1">
        <w:r w:rsidR="001A6276" w:rsidRPr="00A815B1">
          <w:rPr>
            <w:rStyle w:val="Hyperlink"/>
            <w:rFonts w:cstheme="minorHAnsi"/>
            <w:noProof/>
            <w:lang w:val="en-US"/>
          </w:rPr>
          <w:t>https://doi.org/10.1007/s11625-016-0383-3</w:t>
        </w:r>
      </w:hyperlink>
      <w:r w:rsidR="001A6276">
        <w:rPr>
          <w:rFonts w:cstheme="minorHAnsi"/>
          <w:noProof/>
          <w:lang w:val="en-US"/>
        </w:rPr>
        <w:t xml:space="preserve"> </w:t>
      </w:r>
    </w:p>
    <w:p w14:paraId="36F14EDB" w14:textId="3CCE46FD" w:rsidR="00ED65AC" w:rsidRPr="00A77C4C" w:rsidRDefault="00ED65AC" w:rsidP="00ED65AC">
      <w:pPr>
        <w:widowControl w:val="0"/>
        <w:autoSpaceDE w:val="0"/>
        <w:autoSpaceDN w:val="0"/>
        <w:adjustRightInd w:val="0"/>
        <w:spacing w:after="120"/>
        <w:ind w:left="482" w:hanging="482"/>
        <w:rPr>
          <w:rFonts w:cstheme="minorHAnsi"/>
          <w:lang w:val="en-US"/>
        </w:rPr>
      </w:pPr>
      <w:r>
        <w:rPr>
          <w:rFonts w:cstheme="minorHAnsi"/>
          <w:noProof/>
          <w:lang w:val="en-US"/>
        </w:rPr>
        <w:t xml:space="preserve">Stockholm Resilience Center, 2016. </w:t>
      </w:r>
      <w:r w:rsidRPr="00A51EEE">
        <w:rPr>
          <w:rFonts w:cstheme="minorHAnsi"/>
          <w:noProof/>
          <w:lang w:val="en-US"/>
        </w:rPr>
        <w:t>Contributions to Agenda 2030. </w:t>
      </w:r>
      <w:r w:rsidRPr="00A51EEE">
        <w:rPr>
          <w:rFonts w:cstheme="minorHAnsi"/>
          <w:i/>
          <w:iCs/>
          <w:noProof/>
          <w:lang w:val="en-US"/>
        </w:rPr>
        <w:t>Stockholm Resilience Centre. </w:t>
      </w:r>
      <w:r w:rsidRPr="00A51EEE">
        <w:rPr>
          <w:rFonts w:cstheme="minorHAnsi"/>
          <w:noProof/>
          <w:lang w:val="en-US"/>
        </w:rPr>
        <w:t xml:space="preserve">Stockholm University. </w:t>
      </w:r>
      <w:hyperlink r:id="rId49" w:history="1">
        <w:r w:rsidRPr="00A77C4C">
          <w:rPr>
            <w:rStyle w:val="Hyperlink"/>
            <w:rFonts w:cstheme="minorHAnsi"/>
            <w:lang w:val="en-US"/>
          </w:rPr>
          <w:t>http://www.stockholmresilience.org/research/research-news/2017-02-28-contributions-to-agenda-2030.html</w:t>
        </w:r>
      </w:hyperlink>
      <w:r w:rsidRPr="00A77C4C">
        <w:rPr>
          <w:rFonts w:cstheme="minorHAnsi"/>
          <w:lang w:val="en-US"/>
        </w:rPr>
        <w:t xml:space="preserve">. </w:t>
      </w:r>
    </w:p>
    <w:p w14:paraId="06C72C37" w14:textId="45619AC3" w:rsidR="00F643CD" w:rsidRDefault="00F643CD" w:rsidP="001A6276">
      <w:pPr>
        <w:widowControl w:val="0"/>
        <w:autoSpaceDE w:val="0"/>
        <w:autoSpaceDN w:val="0"/>
        <w:adjustRightInd w:val="0"/>
        <w:spacing w:after="120"/>
        <w:ind w:left="482" w:hanging="482"/>
        <w:rPr>
          <w:rStyle w:val="Hyperlink"/>
          <w:rFonts w:cstheme="minorHAnsi"/>
          <w:noProof/>
          <w:lang w:val="en-US"/>
        </w:rPr>
      </w:pPr>
      <w:r w:rsidRPr="00BF10A1">
        <w:rPr>
          <w:rFonts w:cstheme="minorHAnsi"/>
          <w:noProof/>
          <w:lang w:val="en-US"/>
        </w:rPr>
        <w:t>UN, 2015. T</w:t>
      </w:r>
      <w:r w:rsidRPr="00BC74DF">
        <w:rPr>
          <w:rFonts w:cstheme="minorHAnsi"/>
          <w:noProof/>
          <w:lang w:val="en-US"/>
        </w:rPr>
        <w:t>ra</w:t>
      </w:r>
      <w:r w:rsidRPr="00BF10A1">
        <w:rPr>
          <w:rFonts w:cstheme="minorHAnsi"/>
          <w:noProof/>
          <w:lang w:val="en-US"/>
        </w:rPr>
        <w:t>n</w:t>
      </w:r>
      <w:r w:rsidR="004C5327">
        <w:rPr>
          <w:rFonts w:cstheme="minorHAnsi"/>
          <w:noProof/>
          <w:lang w:val="en-US"/>
        </w:rPr>
        <w:t>s</w:t>
      </w:r>
      <w:r w:rsidRPr="00BF10A1">
        <w:rPr>
          <w:rFonts w:cstheme="minorHAnsi"/>
          <w:noProof/>
          <w:lang w:val="en-US"/>
        </w:rPr>
        <w:t>forming our world</w:t>
      </w:r>
      <w:r w:rsidRPr="00BF10A1">
        <w:rPr>
          <w:lang w:val="en-US"/>
        </w:rPr>
        <w:t xml:space="preserve"> </w:t>
      </w:r>
      <w:r w:rsidRPr="00F643CD">
        <w:rPr>
          <w:rFonts w:cstheme="minorHAnsi"/>
          <w:noProof/>
          <w:lang w:val="en-US"/>
        </w:rPr>
        <w:t>: the 2030 Agenda for Sustainable Development</w:t>
      </w:r>
      <w:r w:rsidRPr="00BF10A1">
        <w:rPr>
          <w:rFonts w:cstheme="minorHAnsi"/>
          <w:noProof/>
          <w:lang w:val="en-US"/>
        </w:rPr>
        <w:t xml:space="preserve">. </w:t>
      </w:r>
      <w:hyperlink r:id="rId50" w:history="1">
        <w:r w:rsidRPr="002B3E72">
          <w:rPr>
            <w:rStyle w:val="Hyperlink"/>
            <w:rFonts w:cstheme="minorHAnsi"/>
            <w:noProof/>
            <w:lang w:val="en-US"/>
          </w:rPr>
          <w:t>https://sustainabledevelopment.un.org/post2015/transformingourworld</w:t>
        </w:r>
      </w:hyperlink>
    </w:p>
    <w:p w14:paraId="78B675EB" w14:textId="77777777" w:rsidR="00AA039C" w:rsidRPr="001A6276" w:rsidRDefault="00AA039C" w:rsidP="001A6276">
      <w:pPr>
        <w:widowControl w:val="0"/>
        <w:autoSpaceDE w:val="0"/>
        <w:autoSpaceDN w:val="0"/>
        <w:adjustRightInd w:val="0"/>
        <w:spacing w:after="120"/>
        <w:ind w:left="482" w:hanging="482"/>
        <w:rPr>
          <w:rFonts w:cstheme="minorHAnsi"/>
          <w:noProof/>
          <w:lang w:val="en-US"/>
        </w:rPr>
      </w:pPr>
      <w:r w:rsidRPr="001A6276">
        <w:rPr>
          <w:rFonts w:cstheme="minorHAnsi"/>
          <w:noProof/>
          <w:lang w:val="en-US"/>
        </w:rPr>
        <w:t>Weston J. EIA decision-making theory and screening and scoping in UK practice. J Environ Plan Manag 2000;43(2):185 – 203.</w:t>
      </w:r>
    </w:p>
    <w:p w14:paraId="23B8D6E3" w14:textId="50E54A45" w:rsidR="00AA039C" w:rsidRDefault="00AA039C" w:rsidP="001A6276">
      <w:pPr>
        <w:widowControl w:val="0"/>
        <w:autoSpaceDE w:val="0"/>
        <w:autoSpaceDN w:val="0"/>
        <w:adjustRightInd w:val="0"/>
        <w:spacing w:after="120"/>
        <w:ind w:left="482" w:hanging="482"/>
        <w:rPr>
          <w:rFonts w:cstheme="minorHAnsi"/>
          <w:noProof/>
          <w:lang w:val="en-US"/>
        </w:rPr>
      </w:pPr>
      <w:r w:rsidRPr="004A3026">
        <w:rPr>
          <w:rFonts w:cstheme="minorHAnsi"/>
          <w:noProof/>
          <w:lang w:val="en-US"/>
        </w:rPr>
        <w:t xml:space="preserve">Williams, A., Dupuy, K., 2017. Deciding over nature: Corruption and environmental impact assessments. </w:t>
      </w:r>
      <w:r w:rsidRPr="001A6276">
        <w:rPr>
          <w:rFonts w:cstheme="minorHAnsi"/>
          <w:noProof/>
          <w:lang w:val="en-US"/>
        </w:rPr>
        <w:t xml:space="preserve">Environ. Impact Assess. Rev. 65, 118–124. </w:t>
      </w:r>
      <w:hyperlink r:id="rId51" w:history="1">
        <w:r w:rsidR="001A6276" w:rsidRPr="00A815B1">
          <w:rPr>
            <w:rStyle w:val="Hyperlink"/>
            <w:rFonts w:cstheme="minorHAnsi"/>
            <w:noProof/>
            <w:lang w:val="en-US"/>
          </w:rPr>
          <w:t>https://doi.org/10.1016/J.EIAR.2017.05.002</w:t>
        </w:r>
      </w:hyperlink>
      <w:r w:rsidR="001A6276">
        <w:rPr>
          <w:rFonts w:cstheme="minorHAnsi"/>
          <w:noProof/>
          <w:lang w:val="en-US"/>
        </w:rPr>
        <w:t xml:space="preserve"> </w:t>
      </w:r>
    </w:p>
    <w:p w14:paraId="2719F85E" w14:textId="77777777" w:rsidR="00C150F2" w:rsidRPr="003D60DA" w:rsidRDefault="00141DE9" w:rsidP="00A77C4C">
      <w:pPr>
        <w:ind w:left="482" w:hanging="482"/>
        <w:rPr>
          <w:rFonts w:cstheme="minorHAnsi"/>
          <w:noProof/>
          <w:lang w:val="en-US"/>
        </w:rPr>
      </w:pPr>
      <w:r w:rsidRPr="003D60DA">
        <w:rPr>
          <w:rFonts w:cstheme="minorHAnsi"/>
          <w:noProof/>
          <w:lang w:val="en-US"/>
        </w:rPr>
        <w:t>Zhang, J</w:t>
      </w:r>
      <w:r w:rsidR="00E95C58" w:rsidRPr="003D60DA">
        <w:rPr>
          <w:rFonts w:cstheme="minorHAnsi"/>
          <w:noProof/>
          <w:lang w:val="en-US"/>
        </w:rPr>
        <w:t>.</w:t>
      </w:r>
      <w:r w:rsidR="00F34E9F" w:rsidRPr="003D60DA">
        <w:rPr>
          <w:rFonts w:cstheme="minorHAnsi"/>
          <w:noProof/>
          <w:lang w:val="en-US"/>
        </w:rPr>
        <w:t>, Kørnøv, L, Christensen, P. 2013. Critical factors for EIA implementation: Literature review and research options</w:t>
      </w:r>
      <w:r w:rsidR="00AD6F83" w:rsidRPr="003D60DA">
        <w:rPr>
          <w:rFonts w:cstheme="minorHAnsi"/>
          <w:noProof/>
          <w:lang w:val="en-US"/>
        </w:rPr>
        <w:t xml:space="preserve">. </w:t>
      </w:r>
      <w:r w:rsidR="00B61903" w:rsidRPr="003D60DA">
        <w:rPr>
          <w:rFonts w:cstheme="minorHAnsi"/>
          <w:noProof/>
          <w:lang w:val="en-US"/>
        </w:rPr>
        <w:t>Journal of Environmental Management</w:t>
      </w:r>
      <w:r w:rsidR="00681306" w:rsidRPr="003D60DA">
        <w:rPr>
          <w:rFonts w:cstheme="minorHAnsi"/>
          <w:noProof/>
          <w:lang w:val="en-US"/>
        </w:rPr>
        <w:t xml:space="preserve">: 114, 148-157. </w:t>
      </w:r>
      <w:hyperlink r:id="rId52" w:tgtFrame="_blank" w:tooltip="Persistent link using digital object identifier" w:history="1">
        <w:r w:rsidR="00C150F2" w:rsidRPr="003D60DA">
          <w:rPr>
            <w:rFonts w:cstheme="minorHAnsi"/>
            <w:noProof/>
            <w:color w:val="0070C0"/>
            <w:u w:val="single"/>
            <w:lang w:val="en-US"/>
          </w:rPr>
          <w:t>https://doi.org/10.1016/j.jenvman.2012.10.030</w:t>
        </w:r>
      </w:hyperlink>
    </w:p>
    <w:p w14:paraId="2E39B6D9" w14:textId="2A5A02BE" w:rsidR="00AA039C" w:rsidRPr="001A6276" w:rsidRDefault="00AA039C" w:rsidP="001A6276">
      <w:pPr>
        <w:widowControl w:val="0"/>
        <w:autoSpaceDE w:val="0"/>
        <w:autoSpaceDN w:val="0"/>
        <w:adjustRightInd w:val="0"/>
        <w:spacing w:after="120"/>
        <w:ind w:left="482" w:hanging="482"/>
        <w:rPr>
          <w:rFonts w:cstheme="minorHAnsi"/>
          <w:noProof/>
          <w:lang w:val="en-US"/>
        </w:rPr>
      </w:pPr>
    </w:p>
    <w:sectPr w:rsidR="00AA039C" w:rsidRPr="001A6276" w:rsidSect="0003205B">
      <w:type w:val="continuous"/>
      <w:pgSz w:w="11900" w:h="16840"/>
      <w:pgMar w:top="1701" w:right="1134" w:bottom="1701" w:left="1134"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B8A38" w14:textId="77777777" w:rsidR="00C62C6A" w:rsidRDefault="00C62C6A" w:rsidP="00582A2F">
      <w:r>
        <w:separator/>
      </w:r>
    </w:p>
  </w:endnote>
  <w:endnote w:type="continuationSeparator" w:id="0">
    <w:p w14:paraId="2344762B" w14:textId="77777777" w:rsidR="00C62C6A" w:rsidRDefault="00C62C6A" w:rsidP="00582A2F">
      <w:r>
        <w:continuationSeparator/>
      </w:r>
    </w:p>
  </w:endnote>
  <w:endnote w:type="continuationNotice" w:id="1">
    <w:p w14:paraId="124FBA7E" w14:textId="77777777" w:rsidR="00C62C6A" w:rsidRDefault="00C62C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Light">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60BD8" w14:textId="77777777" w:rsidR="00081E30" w:rsidRDefault="00081E3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A995" w14:textId="77777777" w:rsidR="00081E30" w:rsidRDefault="00081E30">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FA1A2" w14:textId="77777777" w:rsidR="00081E30" w:rsidRDefault="00081E3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63CC5" w14:textId="77777777" w:rsidR="00C62C6A" w:rsidRDefault="00C62C6A" w:rsidP="00582A2F">
      <w:r>
        <w:separator/>
      </w:r>
    </w:p>
  </w:footnote>
  <w:footnote w:type="continuationSeparator" w:id="0">
    <w:p w14:paraId="4D434BE2" w14:textId="77777777" w:rsidR="00C62C6A" w:rsidRDefault="00C62C6A" w:rsidP="00582A2F">
      <w:r>
        <w:continuationSeparator/>
      </w:r>
    </w:p>
  </w:footnote>
  <w:footnote w:type="continuationNotice" w:id="1">
    <w:p w14:paraId="3A682C1E" w14:textId="77777777" w:rsidR="00C62C6A" w:rsidRDefault="00C62C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148FE" w14:textId="09BD2DA9" w:rsidR="00081E30" w:rsidRDefault="00081E30">
    <w:pPr>
      <w:pStyle w:val="Sidehoved"/>
    </w:pPr>
    <w:r>
      <w:rPr>
        <w:noProof/>
      </w:rPr>
    </w:r>
    <w:r w:rsidR="00081E30">
      <w:rPr>
        <w:noProof/>
      </w:rPr>
      <w:pict w14:anchorId="398D6E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6659124" o:spid="_x0000_s1026" type="#_x0000_t136" alt="" style="position:absolute;margin-left:0;margin-top:0;width:603.6pt;height:75.4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ACCEPTED VERSIO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A8B8" w14:textId="07C8BD10" w:rsidR="00081E30" w:rsidRDefault="00081E30">
    <w:pPr>
      <w:pStyle w:val="Sidehoved"/>
    </w:pPr>
    <w:r>
      <w:rPr>
        <w:noProof/>
      </w:rPr>
    </w:r>
    <w:r w:rsidR="00081E30">
      <w:rPr>
        <w:noProof/>
      </w:rPr>
      <w:pict w14:anchorId="3B09BE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6659125" o:spid="_x0000_s1026" type="#_x0000_t136" alt="" style="position:absolute;margin-left:0;margin-top:0;width:603.6pt;height:75.4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ACCEPTED VERSIO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6FE6A" w14:textId="5B34EC1A" w:rsidR="00081E30" w:rsidRDefault="00081E30">
    <w:pPr>
      <w:pStyle w:val="Sidehoved"/>
    </w:pPr>
    <w:r>
      <w:rPr>
        <w:noProof/>
      </w:rPr>
    </w:r>
    <w:r w:rsidR="00081E30">
      <w:rPr>
        <w:noProof/>
      </w:rPr>
      <w:pict w14:anchorId="185277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6659123" o:spid="_x0000_s1026" type="#_x0000_t136" alt="" style="position:absolute;margin-left:0;margin-top:0;width:603.6pt;height:75.4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ACCEPTED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57C4"/>
    <w:multiLevelType w:val="multilevel"/>
    <w:tmpl w:val="78F830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067CEB"/>
    <w:multiLevelType w:val="multilevel"/>
    <w:tmpl w:val="88465450"/>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32B1D21"/>
    <w:multiLevelType w:val="multilevel"/>
    <w:tmpl w:val="ADA2CC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FE47B88"/>
    <w:multiLevelType w:val="hybridMultilevel"/>
    <w:tmpl w:val="A128E6B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D6E737B"/>
    <w:multiLevelType w:val="multilevel"/>
    <w:tmpl w:val="AC1E7B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3E146E9"/>
    <w:multiLevelType w:val="multilevel"/>
    <w:tmpl w:val="443A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7455A3"/>
    <w:multiLevelType w:val="hybridMultilevel"/>
    <w:tmpl w:val="11AEA650"/>
    <w:lvl w:ilvl="0" w:tplc="04060001">
      <w:start w:val="1"/>
      <w:numFmt w:val="bullet"/>
      <w:lvlText w:val=""/>
      <w:lvlJc w:val="left"/>
      <w:pPr>
        <w:ind w:left="720" w:hanging="360"/>
      </w:pPr>
      <w:rPr>
        <w:rFonts w:ascii="Symbol" w:hAnsi="Symbol" w:hint="default"/>
      </w:rPr>
    </w:lvl>
    <w:lvl w:ilvl="1" w:tplc="BD64146A">
      <w:numFmt w:val="bullet"/>
      <w:lvlText w:val="•"/>
      <w:lvlJc w:val="left"/>
      <w:pPr>
        <w:ind w:left="1440" w:hanging="360"/>
      </w:pPr>
      <w:rPr>
        <w:rFonts w:ascii="Calibri-Light" w:eastAsiaTheme="minorHAnsi" w:hAnsi="Calibri-Light" w:cs="Calibri-Light" w:hint="default"/>
        <w:sz w:val="21"/>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4DF2716"/>
    <w:multiLevelType w:val="multilevel"/>
    <w:tmpl w:val="FB161DFE"/>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8" w15:restartNumberingAfterBreak="0">
    <w:nsid w:val="5BEF1B8C"/>
    <w:multiLevelType w:val="hybridMultilevel"/>
    <w:tmpl w:val="4D38F5A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1152495"/>
    <w:multiLevelType w:val="hybridMultilevel"/>
    <w:tmpl w:val="78F830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37C52B3"/>
    <w:multiLevelType w:val="multilevel"/>
    <w:tmpl w:val="88722052"/>
    <w:lvl w:ilvl="0">
      <w:start w:val="1"/>
      <w:numFmt w:val="decimal"/>
      <w:lvlText w:val="%1."/>
      <w:lvlJc w:val="left"/>
      <w:pPr>
        <w:ind w:left="720" w:hanging="360"/>
      </w:pPr>
    </w:lvl>
    <w:lvl w:ilvl="1">
      <w:start w:val="1"/>
      <w:numFmt w:val="decimal"/>
      <w:lvlText w:val="%1.%2."/>
      <w:lvlJc w:val="left"/>
      <w:pPr>
        <w:ind w:left="115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68EA2FD6"/>
    <w:multiLevelType w:val="multilevel"/>
    <w:tmpl w:val="C6DEA8CA"/>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73B530F5"/>
    <w:multiLevelType w:val="multilevel"/>
    <w:tmpl w:val="A3B27AB6"/>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3"/>
  </w:num>
  <w:num w:numId="3">
    <w:abstractNumId w:val="9"/>
  </w:num>
  <w:num w:numId="4">
    <w:abstractNumId w:val="11"/>
  </w:num>
  <w:num w:numId="5">
    <w:abstractNumId w:val="12"/>
  </w:num>
  <w:num w:numId="6">
    <w:abstractNumId w:val="4"/>
  </w:num>
  <w:num w:numId="7">
    <w:abstractNumId w:val="0"/>
  </w:num>
  <w:num w:numId="8">
    <w:abstractNumId w:val="10"/>
  </w:num>
  <w:num w:numId="9">
    <w:abstractNumId w:val="1"/>
  </w:num>
  <w:num w:numId="10">
    <w:abstractNumId w:val="7"/>
  </w:num>
  <w:num w:numId="11">
    <w:abstractNumId w:val="8"/>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CF9"/>
    <w:rsid w:val="00000C6F"/>
    <w:rsid w:val="00002F1F"/>
    <w:rsid w:val="000069D7"/>
    <w:rsid w:val="00012AB5"/>
    <w:rsid w:val="00014CC1"/>
    <w:rsid w:val="00015C23"/>
    <w:rsid w:val="0001749F"/>
    <w:rsid w:val="00024E1F"/>
    <w:rsid w:val="00027120"/>
    <w:rsid w:val="00031967"/>
    <w:rsid w:val="0003205B"/>
    <w:rsid w:val="00032C31"/>
    <w:rsid w:val="00033743"/>
    <w:rsid w:val="000349CA"/>
    <w:rsid w:val="00040869"/>
    <w:rsid w:val="00041FAC"/>
    <w:rsid w:val="00044D19"/>
    <w:rsid w:val="00044D72"/>
    <w:rsid w:val="0004573F"/>
    <w:rsid w:val="00046DFC"/>
    <w:rsid w:val="000523E0"/>
    <w:rsid w:val="00055467"/>
    <w:rsid w:val="00056341"/>
    <w:rsid w:val="00056B8E"/>
    <w:rsid w:val="000616A3"/>
    <w:rsid w:val="00061C94"/>
    <w:rsid w:val="00062A9F"/>
    <w:rsid w:val="00062B78"/>
    <w:rsid w:val="00065D59"/>
    <w:rsid w:val="000662B2"/>
    <w:rsid w:val="00067B43"/>
    <w:rsid w:val="00073A3E"/>
    <w:rsid w:val="000741CD"/>
    <w:rsid w:val="00074797"/>
    <w:rsid w:val="000758C7"/>
    <w:rsid w:val="00075AA9"/>
    <w:rsid w:val="00075B0E"/>
    <w:rsid w:val="000768B3"/>
    <w:rsid w:val="00081E30"/>
    <w:rsid w:val="00082178"/>
    <w:rsid w:val="00083E59"/>
    <w:rsid w:val="00085D94"/>
    <w:rsid w:val="00086DA7"/>
    <w:rsid w:val="00090C5E"/>
    <w:rsid w:val="00094580"/>
    <w:rsid w:val="000A0FF2"/>
    <w:rsid w:val="000A3367"/>
    <w:rsid w:val="000A3F0C"/>
    <w:rsid w:val="000A47E4"/>
    <w:rsid w:val="000A6464"/>
    <w:rsid w:val="000A6B3A"/>
    <w:rsid w:val="000A7D10"/>
    <w:rsid w:val="000B1957"/>
    <w:rsid w:val="000B4F46"/>
    <w:rsid w:val="000B4FAD"/>
    <w:rsid w:val="000B6CC7"/>
    <w:rsid w:val="000B7C3E"/>
    <w:rsid w:val="000C2181"/>
    <w:rsid w:val="000C2F89"/>
    <w:rsid w:val="000C6795"/>
    <w:rsid w:val="000C7675"/>
    <w:rsid w:val="000D136A"/>
    <w:rsid w:val="000D2194"/>
    <w:rsid w:val="000F214E"/>
    <w:rsid w:val="000F28EB"/>
    <w:rsid w:val="000F50BD"/>
    <w:rsid w:val="000F64C7"/>
    <w:rsid w:val="000F70C8"/>
    <w:rsid w:val="000F766E"/>
    <w:rsid w:val="001001EE"/>
    <w:rsid w:val="00101A7B"/>
    <w:rsid w:val="00101AC2"/>
    <w:rsid w:val="00104DB0"/>
    <w:rsid w:val="001070F3"/>
    <w:rsid w:val="00107165"/>
    <w:rsid w:val="001074EB"/>
    <w:rsid w:val="0011273B"/>
    <w:rsid w:val="00113111"/>
    <w:rsid w:val="0011418F"/>
    <w:rsid w:val="00116FBA"/>
    <w:rsid w:val="0011761E"/>
    <w:rsid w:val="001208B9"/>
    <w:rsid w:val="00120A97"/>
    <w:rsid w:val="00121A7E"/>
    <w:rsid w:val="00121D4B"/>
    <w:rsid w:val="00122528"/>
    <w:rsid w:val="001232E2"/>
    <w:rsid w:val="00123659"/>
    <w:rsid w:val="0012638E"/>
    <w:rsid w:val="00126435"/>
    <w:rsid w:val="00127097"/>
    <w:rsid w:val="00130BF5"/>
    <w:rsid w:val="00131158"/>
    <w:rsid w:val="00136597"/>
    <w:rsid w:val="00141DE9"/>
    <w:rsid w:val="00143B64"/>
    <w:rsid w:val="0014433B"/>
    <w:rsid w:val="0014510F"/>
    <w:rsid w:val="00145DD3"/>
    <w:rsid w:val="00147949"/>
    <w:rsid w:val="00154326"/>
    <w:rsid w:val="00155217"/>
    <w:rsid w:val="00160A73"/>
    <w:rsid w:val="00173392"/>
    <w:rsid w:val="00175E9A"/>
    <w:rsid w:val="001777AB"/>
    <w:rsid w:val="00180FC5"/>
    <w:rsid w:val="001833CD"/>
    <w:rsid w:val="001833F4"/>
    <w:rsid w:val="00185B63"/>
    <w:rsid w:val="00186160"/>
    <w:rsid w:val="00187272"/>
    <w:rsid w:val="0019213A"/>
    <w:rsid w:val="001925B7"/>
    <w:rsid w:val="00195EA6"/>
    <w:rsid w:val="001A4585"/>
    <w:rsid w:val="001A4F70"/>
    <w:rsid w:val="001A6276"/>
    <w:rsid w:val="001B5767"/>
    <w:rsid w:val="001B618C"/>
    <w:rsid w:val="001B6F99"/>
    <w:rsid w:val="001C0E0E"/>
    <w:rsid w:val="001C399D"/>
    <w:rsid w:val="001C3E6D"/>
    <w:rsid w:val="001C400B"/>
    <w:rsid w:val="001C4049"/>
    <w:rsid w:val="001C4407"/>
    <w:rsid w:val="001C5D86"/>
    <w:rsid w:val="001C77A4"/>
    <w:rsid w:val="001D2EBB"/>
    <w:rsid w:val="001D42C2"/>
    <w:rsid w:val="001D6CC8"/>
    <w:rsid w:val="001D76E5"/>
    <w:rsid w:val="001D7BD7"/>
    <w:rsid w:val="001E5EC8"/>
    <w:rsid w:val="001F2F81"/>
    <w:rsid w:val="001F3223"/>
    <w:rsid w:val="001F6C7C"/>
    <w:rsid w:val="00200B85"/>
    <w:rsid w:val="002026FB"/>
    <w:rsid w:val="00204A01"/>
    <w:rsid w:val="00205C68"/>
    <w:rsid w:val="00207EE2"/>
    <w:rsid w:val="00211D4E"/>
    <w:rsid w:val="00212907"/>
    <w:rsid w:val="002141DC"/>
    <w:rsid w:val="00217E67"/>
    <w:rsid w:val="00222FB6"/>
    <w:rsid w:val="00223592"/>
    <w:rsid w:val="00237D1B"/>
    <w:rsid w:val="00243245"/>
    <w:rsid w:val="002447A2"/>
    <w:rsid w:val="00245097"/>
    <w:rsid w:val="00256602"/>
    <w:rsid w:val="00257379"/>
    <w:rsid w:val="00263083"/>
    <w:rsid w:val="00264BF5"/>
    <w:rsid w:val="00265D51"/>
    <w:rsid w:val="002676C6"/>
    <w:rsid w:val="002718BE"/>
    <w:rsid w:val="002720ED"/>
    <w:rsid w:val="002732C3"/>
    <w:rsid w:val="00276F83"/>
    <w:rsid w:val="00280338"/>
    <w:rsid w:val="00285625"/>
    <w:rsid w:val="00287782"/>
    <w:rsid w:val="00292875"/>
    <w:rsid w:val="002932CF"/>
    <w:rsid w:val="002949E9"/>
    <w:rsid w:val="002A136D"/>
    <w:rsid w:val="002A1B5B"/>
    <w:rsid w:val="002A3613"/>
    <w:rsid w:val="002A6019"/>
    <w:rsid w:val="002A6F2A"/>
    <w:rsid w:val="002B1DC2"/>
    <w:rsid w:val="002B1F3E"/>
    <w:rsid w:val="002B2D16"/>
    <w:rsid w:val="002B3E72"/>
    <w:rsid w:val="002B606E"/>
    <w:rsid w:val="002C1254"/>
    <w:rsid w:val="002C4F05"/>
    <w:rsid w:val="002C60D4"/>
    <w:rsid w:val="002D17B0"/>
    <w:rsid w:val="002D315E"/>
    <w:rsid w:val="002D54A2"/>
    <w:rsid w:val="002E2D08"/>
    <w:rsid w:val="002E4B6A"/>
    <w:rsid w:val="002E5EB2"/>
    <w:rsid w:val="002E5EC6"/>
    <w:rsid w:val="002E78B4"/>
    <w:rsid w:val="002F33C1"/>
    <w:rsid w:val="002F35BB"/>
    <w:rsid w:val="002F6F5A"/>
    <w:rsid w:val="002F726B"/>
    <w:rsid w:val="002F7CF6"/>
    <w:rsid w:val="003046B5"/>
    <w:rsid w:val="003210F3"/>
    <w:rsid w:val="003239CC"/>
    <w:rsid w:val="003243F7"/>
    <w:rsid w:val="00324648"/>
    <w:rsid w:val="00326F47"/>
    <w:rsid w:val="003321C1"/>
    <w:rsid w:val="00334F0F"/>
    <w:rsid w:val="003372E7"/>
    <w:rsid w:val="003427F4"/>
    <w:rsid w:val="0034399C"/>
    <w:rsid w:val="00351C73"/>
    <w:rsid w:val="00354F1E"/>
    <w:rsid w:val="00356E73"/>
    <w:rsid w:val="0035735D"/>
    <w:rsid w:val="00360901"/>
    <w:rsid w:val="003609A8"/>
    <w:rsid w:val="0036138F"/>
    <w:rsid w:val="00363695"/>
    <w:rsid w:val="00363C20"/>
    <w:rsid w:val="00365727"/>
    <w:rsid w:val="00370A30"/>
    <w:rsid w:val="0037486A"/>
    <w:rsid w:val="0037555E"/>
    <w:rsid w:val="003806D9"/>
    <w:rsid w:val="00382194"/>
    <w:rsid w:val="00384854"/>
    <w:rsid w:val="00392622"/>
    <w:rsid w:val="0039319D"/>
    <w:rsid w:val="003A1971"/>
    <w:rsid w:val="003A6BAE"/>
    <w:rsid w:val="003B086A"/>
    <w:rsid w:val="003B262B"/>
    <w:rsid w:val="003B391C"/>
    <w:rsid w:val="003B461E"/>
    <w:rsid w:val="003B55CE"/>
    <w:rsid w:val="003B6CB8"/>
    <w:rsid w:val="003B6FFA"/>
    <w:rsid w:val="003C3014"/>
    <w:rsid w:val="003C3581"/>
    <w:rsid w:val="003C7B6B"/>
    <w:rsid w:val="003D000A"/>
    <w:rsid w:val="003D60DA"/>
    <w:rsid w:val="003E570E"/>
    <w:rsid w:val="003F4E69"/>
    <w:rsid w:val="003F50B4"/>
    <w:rsid w:val="0040238C"/>
    <w:rsid w:val="00402D6E"/>
    <w:rsid w:val="0040528E"/>
    <w:rsid w:val="00405CCB"/>
    <w:rsid w:val="00406DBB"/>
    <w:rsid w:val="00406EBD"/>
    <w:rsid w:val="00410723"/>
    <w:rsid w:val="004114F4"/>
    <w:rsid w:val="00411C1E"/>
    <w:rsid w:val="00412AAD"/>
    <w:rsid w:val="004154A2"/>
    <w:rsid w:val="00417E1C"/>
    <w:rsid w:val="00420D21"/>
    <w:rsid w:val="0042488C"/>
    <w:rsid w:val="00424D32"/>
    <w:rsid w:val="00424FEE"/>
    <w:rsid w:val="004274A9"/>
    <w:rsid w:val="00427FD5"/>
    <w:rsid w:val="00430986"/>
    <w:rsid w:val="004324E5"/>
    <w:rsid w:val="004329B1"/>
    <w:rsid w:val="00433490"/>
    <w:rsid w:val="00433D15"/>
    <w:rsid w:val="00435371"/>
    <w:rsid w:val="00436A0D"/>
    <w:rsid w:val="00437347"/>
    <w:rsid w:val="00440C64"/>
    <w:rsid w:val="00443188"/>
    <w:rsid w:val="00443A06"/>
    <w:rsid w:val="00446138"/>
    <w:rsid w:val="00446FC7"/>
    <w:rsid w:val="004471A7"/>
    <w:rsid w:val="00452432"/>
    <w:rsid w:val="00452E48"/>
    <w:rsid w:val="00453603"/>
    <w:rsid w:val="004571F3"/>
    <w:rsid w:val="00460FBC"/>
    <w:rsid w:val="004629BA"/>
    <w:rsid w:val="004641E5"/>
    <w:rsid w:val="00464739"/>
    <w:rsid w:val="00464FCC"/>
    <w:rsid w:val="00467576"/>
    <w:rsid w:val="00470005"/>
    <w:rsid w:val="00470504"/>
    <w:rsid w:val="0047147E"/>
    <w:rsid w:val="00471C0F"/>
    <w:rsid w:val="00473779"/>
    <w:rsid w:val="00477FA2"/>
    <w:rsid w:val="00481134"/>
    <w:rsid w:val="00487D8B"/>
    <w:rsid w:val="00491405"/>
    <w:rsid w:val="00493661"/>
    <w:rsid w:val="00496B1B"/>
    <w:rsid w:val="004A22A9"/>
    <w:rsid w:val="004A5617"/>
    <w:rsid w:val="004B1299"/>
    <w:rsid w:val="004B1AF2"/>
    <w:rsid w:val="004B57DD"/>
    <w:rsid w:val="004C20B4"/>
    <w:rsid w:val="004C2263"/>
    <w:rsid w:val="004C25E9"/>
    <w:rsid w:val="004C5327"/>
    <w:rsid w:val="004D2EEA"/>
    <w:rsid w:val="004E4A08"/>
    <w:rsid w:val="004E5631"/>
    <w:rsid w:val="004E6CEC"/>
    <w:rsid w:val="004F0FE9"/>
    <w:rsid w:val="004F363B"/>
    <w:rsid w:val="004F5E35"/>
    <w:rsid w:val="004F6213"/>
    <w:rsid w:val="005011F6"/>
    <w:rsid w:val="00501E07"/>
    <w:rsid w:val="00502128"/>
    <w:rsid w:val="005026AA"/>
    <w:rsid w:val="00503216"/>
    <w:rsid w:val="00505C8E"/>
    <w:rsid w:val="00505FCA"/>
    <w:rsid w:val="00507A3C"/>
    <w:rsid w:val="00510C00"/>
    <w:rsid w:val="00511153"/>
    <w:rsid w:val="00511E59"/>
    <w:rsid w:val="00512959"/>
    <w:rsid w:val="00523A2C"/>
    <w:rsid w:val="00526D08"/>
    <w:rsid w:val="00526EE9"/>
    <w:rsid w:val="005302B1"/>
    <w:rsid w:val="005316A2"/>
    <w:rsid w:val="00532EC2"/>
    <w:rsid w:val="00532EFC"/>
    <w:rsid w:val="00540BFB"/>
    <w:rsid w:val="00540DF9"/>
    <w:rsid w:val="00542EA3"/>
    <w:rsid w:val="00553FF1"/>
    <w:rsid w:val="0055511B"/>
    <w:rsid w:val="00556749"/>
    <w:rsid w:val="00556D03"/>
    <w:rsid w:val="00562A2A"/>
    <w:rsid w:val="00563CC8"/>
    <w:rsid w:val="005727FD"/>
    <w:rsid w:val="005749A3"/>
    <w:rsid w:val="00574C73"/>
    <w:rsid w:val="00574E10"/>
    <w:rsid w:val="0057548E"/>
    <w:rsid w:val="005755D2"/>
    <w:rsid w:val="00575667"/>
    <w:rsid w:val="00576E81"/>
    <w:rsid w:val="00580ED5"/>
    <w:rsid w:val="00582A2F"/>
    <w:rsid w:val="00585288"/>
    <w:rsid w:val="00586E5E"/>
    <w:rsid w:val="005906C4"/>
    <w:rsid w:val="0059271A"/>
    <w:rsid w:val="00596DC0"/>
    <w:rsid w:val="005A122F"/>
    <w:rsid w:val="005A7B2A"/>
    <w:rsid w:val="005B11D6"/>
    <w:rsid w:val="005B149C"/>
    <w:rsid w:val="005B185E"/>
    <w:rsid w:val="005B2910"/>
    <w:rsid w:val="005B62C1"/>
    <w:rsid w:val="005B7965"/>
    <w:rsid w:val="005B79F5"/>
    <w:rsid w:val="005C6361"/>
    <w:rsid w:val="005C6CBA"/>
    <w:rsid w:val="005E0F7B"/>
    <w:rsid w:val="005E6570"/>
    <w:rsid w:val="005E76BA"/>
    <w:rsid w:val="005F2922"/>
    <w:rsid w:val="005F652F"/>
    <w:rsid w:val="00600D5F"/>
    <w:rsid w:val="006012A8"/>
    <w:rsid w:val="00601E00"/>
    <w:rsid w:val="00603B45"/>
    <w:rsid w:val="00603F48"/>
    <w:rsid w:val="006061E3"/>
    <w:rsid w:val="006075F7"/>
    <w:rsid w:val="0060782A"/>
    <w:rsid w:val="00614235"/>
    <w:rsid w:val="0061532E"/>
    <w:rsid w:val="00615A3A"/>
    <w:rsid w:val="00617E43"/>
    <w:rsid w:val="006200BF"/>
    <w:rsid w:val="00620FCF"/>
    <w:rsid w:val="00621597"/>
    <w:rsid w:val="00623A9A"/>
    <w:rsid w:val="00627F87"/>
    <w:rsid w:val="00631E65"/>
    <w:rsid w:val="00633D1A"/>
    <w:rsid w:val="00640707"/>
    <w:rsid w:val="006435E2"/>
    <w:rsid w:val="006446F5"/>
    <w:rsid w:val="006476C3"/>
    <w:rsid w:val="00650556"/>
    <w:rsid w:val="00653127"/>
    <w:rsid w:val="0065589C"/>
    <w:rsid w:val="0066113F"/>
    <w:rsid w:val="00662E03"/>
    <w:rsid w:val="00663EEC"/>
    <w:rsid w:val="00665DB5"/>
    <w:rsid w:val="00666300"/>
    <w:rsid w:val="006673DF"/>
    <w:rsid w:val="00671417"/>
    <w:rsid w:val="0067282C"/>
    <w:rsid w:val="00674C63"/>
    <w:rsid w:val="006752FE"/>
    <w:rsid w:val="0067553E"/>
    <w:rsid w:val="00675FF7"/>
    <w:rsid w:val="00681306"/>
    <w:rsid w:val="006852BD"/>
    <w:rsid w:val="006861FB"/>
    <w:rsid w:val="006877AA"/>
    <w:rsid w:val="00687B2E"/>
    <w:rsid w:val="00687B7E"/>
    <w:rsid w:val="0069043A"/>
    <w:rsid w:val="006A310A"/>
    <w:rsid w:val="006A3CC6"/>
    <w:rsid w:val="006A7099"/>
    <w:rsid w:val="006B1DC9"/>
    <w:rsid w:val="006B6732"/>
    <w:rsid w:val="006B6881"/>
    <w:rsid w:val="006C00A0"/>
    <w:rsid w:val="006C26DD"/>
    <w:rsid w:val="006C49D9"/>
    <w:rsid w:val="006C5E41"/>
    <w:rsid w:val="006D0935"/>
    <w:rsid w:val="006D2117"/>
    <w:rsid w:val="006D633E"/>
    <w:rsid w:val="006D6905"/>
    <w:rsid w:val="006D6A04"/>
    <w:rsid w:val="006E0376"/>
    <w:rsid w:val="006E194B"/>
    <w:rsid w:val="006E4D7C"/>
    <w:rsid w:val="006E4E7D"/>
    <w:rsid w:val="006E52D4"/>
    <w:rsid w:val="006F0761"/>
    <w:rsid w:val="0070695A"/>
    <w:rsid w:val="007141D9"/>
    <w:rsid w:val="00715098"/>
    <w:rsid w:val="00715C13"/>
    <w:rsid w:val="00715D72"/>
    <w:rsid w:val="00723226"/>
    <w:rsid w:val="00724331"/>
    <w:rsid w:val="00725E6E"/>
    <w:rsid w:val="00733330"/>
    <w:rsid w:val="007334ED"/>
    <w:rsid w:val="007369F6"/>
    <w:rsid w:val="007379E0"/>
    <w:rsid w:val="00741DFD"/>
    <w:rsid w:val="007468F2"/>
    <w:rsid w:val="00746A70"/>
    <w:rsid w:val="00750CE7"/>
    <w:rsid w:val="00752A76"/>
    <w:rsid w:val="0075421F"/>
    <w:rsid w:val="00754F34"/>
    <w:rsid w:val="007611AE"/>
    <w:rsid w:val="0076187E"/>
    <w:rsid w:val="00766593"/>
    <w:rsid w:val="00770C2A"/>
    <w:rsid w:val="007735A9"/>
    <w:rsid w:val="007808C8"/>
    <w:rsid w:val="00781081"/>
    <w:rsid w:val="007819D8"/>
    <w:rsid w:val="007822DD"/>
    <w:rsid w:val="00782EC3"/>
    <w:rsid w:val="00783766"/>
    <w:rsid w:val="00786CB3"/>
    <w:rsid w:val="00790531"/>
    <w:rsid w:val="00792F6E"/>
    <w:rsid w:val="00793C42"/>
    <w:rsid w:val="007A00F3"/>
    <w:rsid w:val="007A0E37"/>
    <w:rsid w:val="007A0EC3"/>
    <w:rsid w:val="007A134D"/>
    <w:rsid w:val="007A2D07"/>
    <w:rsid w:val="007A4F29"/>
    <w:rsid w:val="007A5026"/>
    <w:rsid w:val="007A508F"/>
    <w:rsid w:val="007A630F"/>
    <w:rsid w:val="007B0C53"/>
    <w:rsid w:val="007B236D"/>
    <w:rsid w:val="007B3262"/>
    <w:rsid w:val="007B35C4"/>
    <w:rsid w:val="007B4E60"/>
    <w:rsid w:val="007B4F7D"/>
    <w:rsid w:val="007C230D"/>
    <w:rsid w:val="007C2CCF"/>
    <w:rsid w:val="007C322C"/>
    <w:rsid w:val="007C5839"/>
    <w:rsid w:val="007C5980"/>
    <w:rsid w:val="007C62FB"/>
    <w:rsid w:val="007C668B"/>
    <w:rsid w:val="007D0248"/>
    <w:rsid w:val="007D3B45"/>
    <w:rsid w:val="007D4B8B"/>
    <w:rsid w:val="007E0403"/>
    <w:rsid w:val="007E0BE2"/>
    <w:rsid w:val="007E1BD2"/>
    <w:rsid w:val="007E3B3D"/>
    <w:rsid w:val="007E73A2"/>
    <w:rsid w:val="007F01CE"/>
    <w:rsid w:val="007F033C"/>
    <w:rsid w:val="007F2987"/>
    <w:rsid w:val="008007EF"/>
    <w:rsid w:val="00803F49"/>
    <w:rsid w:val="008043A2"/>
    <w:rsid w:val="00811C33"/>
    <w:rsid w:val="00812A9C"/>
    <w:rsid w:val="00822CE3"/>
    <w:rsid w:val="00823AE6"/>
    <w:rsid w:val="00823FC6"/>
    <w:rsid w:val="00823FF3"/>
    <w:rsid w:val="008254BB"/>
    <w:rsid w:val="00826DB2"/>
    <w:rsid w:val="00830915"/>
    <w:rsid w:val="00832939"/>
    <w:rsid w:val="00833DB0"/>
    <w:rsid w:val="00837B64"/>
    <w:rsid w:val="00842095"/>
    <w:rsid w:val="0084260A"/>
    <w:rsid w:val="00842B14"/>
    <w:rsid w:val="00844E00"/>
    <w:rsid w:val="008472BA"/>
    <w:rsid w:val="008476A7"/>
    <w:rsid w:val="00852E43"/>
    <w:rsid w:val="00870FB9"/>
    <w:rsid w:val="00885F49"/>
    <w:rsid w:val="00890E5A"/>
    <w:rsid w:val="00894989"/>
    <w:rsid w:val="00895FA9"/>
    <w:rsid w:val="00896935"/>
    <w:rsid w:val="00896A86"/>
    <w:rsid w:val="008A33FB"/>
    <w:rsid w:val="008A5E6D"/>
    <w:rsid w:val="008A65DE"/>
    <w:rsid w:val="008B21FA"/>
    <w:rsid w:val="008B2E0B"/>
    <w:rsid w:val="008B5FC1"/>
    <w:rsid w:val="008C04D7"/>
    <w:rsid w:val="008C13F8"/>
    <w:rsid w:val="008C16C7"/>
    <w:rsid w:val="008C1EE0"/>
    <w:rsid w:val="008C3131"/>
    <w:rsid w:val="008D5D34"/>
    <w:rsid w:val="008E0AEA"/>
    <w:rsid w:val="008E1725"/>
    <w:rsid w:val="008E5FB8"/>
    <w:rsid w:val="008E60A3"/>
    <w:rsid w:val="008F2593"/>
    <w:rsid w:val="008F64FC"/>
    <w:rsid w:val="00900334"/>
    <w:rsid w:val="00900C56"/>
    <w:rsid w:val="00903C4D"/>
    <w:rsid w:val="0090610A"/>
    <w:rsid w:val="00906F59"/>
    <w:rsid w:val="009123D3"/>
    <w:rsid w:val="00913497"/>
    <w:rsid w:val="00915E04"/>
    <w:rsid w:val="00920F43"/>
    <w:rsid w:val="009221E2"/>
    <w:rsid w:val="00924727"/>
    <w:rsid w:val="009275BC"/>
    <w:rsid w:val="009302A8"/>
    <w:rsid w:val="00930740"/>
    <w:rsid w:val="00930A48"/>
    <w:rsid w:val="0093494A"/>
    <w:rsid w:val="00947769"/>
    <w:rsid w:val="009552CF"/>
    <w:rsid w:val="009602DC"/>
    <w:rsid w:val="0096085B"/>
    <w:rsid w:val="009623A2"/>
    <w:rsid w:val="00962631"/>
    <w:rsid w:val="009642CC"/>
    <w:rsid w:val="009725F5"/>
    <w:rsid w:val="00973C66"/>
    <w:rsid w:val="009751AB"/>
    <w:rsid w:val="009753D0"/>
    <w:rsid w:val="00976D6D"/>
    <w:rsid w:val="00977B47"/>
    <w:rsid w:val="00980981"/>
    <w:rsid w:val="0098225F"/>
    <w:rsid w:val="009901BC"/>
    <w:rsid w:val="0099241F"/>
    <w:rsid w:val="00994B8F"/>
    <w:rsid w:val="009950E1"/>
    <w:rsid w:val="009967B2"/>
    <w:rsid w:val="009A1666"/>
    <w:rsid w:val="009A1B24"/>
    <w:rsid w:val="009A2527"/>
    <w:rsid w:val="009B0B70"/>
    <w:rsid w:val="009B0E70"/>
    <w:rsid w:val="009B29BC"/>
    <w:rsid w:val="009C16EA"/>
    <w:rsid w:val="009C4D54"/>
    <w:rsid w:val="009C4EFA"/>
    <w:rsid w:val="009C5EBC"/>
    <w:rsid w:val="009D0714"/>
    <w:rsid w:val="009D15D8"/>
    <w:rsid w:val="009D24CE"/>
    <w:rsid w:val="009D3AE2"/>
    <w:rsid w:val="009D5234"/>
    <w:rsid w:val="009D75E1"/>
    <w:rsid w:val="009E2DB5"/>
    <w:rsid w:val="009E4B1C"/>
    <w:rsid w:val="009F0892"/>
    <w:rsid w:val="00A0036F"/>
    <w:rsid w:val="00A0417E"/>
    <w:rsid w:val="00A04712"/>
    <w:rsid w:val="00A069EA"/>
    <w:rsid w:val="00A10534"/>
    <w:rsid w:val="00A15CE4"/>
    <w:rsid w:val="00A16775"/>
    <w:rsid w:val="00A2063D"/>
    <w:rsid w:val="00A21D5D"/>
    <w:rsid w:val="00A270D6"/>
    <w:rsid w:val="00A3027F"/>
    <w:rsid w:val="00A31D8B"/>
    <w:rsid w:val="00A32746"/>
    <w:rsid w:val="00A32921"/>
    <w:rsid w:val="00A3693D"/>
    <w:rsid w:val="00A51EEE"/>
    <w:rsid w:val="00A5788D"/>
    <w:rsid w:val="00A57B1B"/>
    <w:rsid w:val="00A70A4C"/>
    <w:rsid w:val="00A741CC"/>
    <w:rsid w:val="00A75707"/>
    <w:rsid w:val="00A77C4C"/>
    <w:rsid w:val="00A82D8D"/>
    <w:rsid w:val="00A838A0"/>
    <w:rsid w:val="00A86E3C"/>
    <w:rsid w:val="00A87075"/>
    <w:rsid w:val="00A90130"/>
    <w:rsid w:val="00A9078E"/>
    <w:rsid w:val="00A908F5"/>
    <w:rsid w:val="00AA000A"/>
    <w:rsid w:val="00AA039C"/>
    <w:rsid w:val="00AB52A4"/>
    <w:rsid w:val="00AB7383"/>
    <w:rsid w:val="00AC1294"/>
    <w:rsid w:val="00AC25BE"/>
    <w:rsid w:val="00AC6E11"/>
    <w:rsid w:val="00AC75C6"/>
    <w:rsid w:val="00AD0364"/>
    <w:rsid w:val="00AD1F0D"/>
    <w:rsid w:val="00AD32A0"/>
    <w:rsid w:val="00AD3AF2"/>
    <w:rsid w:val="00AD4FD2"/>
    <w:rsid w:val="00AD592C"/>
    <w:rsid w:val="00AD5C38"/>
    <w:rsid w:val="00AD5F47"/>
    <w:rsid w:val="00AD6F83"/>
    <w:rsid w:val="00AE0EA8"/>
    <w:rsid w:val="00AE3BC9"/>
    <w:rsid w:val="00AE6885"/>
    <w:rsid w:val="00AF4F3C"/>
    <w:rsid w:val="00AF57EF"/>
    <w:rsid w:val="00B023BA"/>
    <w:rsid w:val="00B0332F"/>
    <w:rsid w:val="00B03904"/>
    <w:rsid w:val="00B05AB7"/>
    <w:rsid w:val="00B063A0"/>
    <w:rsid w:val="00B06AEE"/>
    <w:rsid w:val="00B06B6B"/>
    <w:rsid w:val="00B12B29"/>
    <w:rsid w:val="00B15CFB"/>
    <w:rsid w:val="00B163B2"/>
    <w:rsid w:val="00B214C7"/>
    <w:rsid w:val="00B22C80"/>
    <w:rsid w:val="00B24443"/>
    <w:rsid w:val="00B24CDB"/>
    <w:rsid w:val="00B250F1"/>
    <w:rsid w:val="00B27EBC"/>
    <w:rsid w:val="00B3065E"/>
    <w:rsid w:val="00B31F1F"/>
    <w:rsid w:val="00B33B3D"/>
    <w:rsid w:val="00B37475"/>
    <w:rsid w:val="00B42B0A"/>
    <w:rsid w:val="00B45BF2"/>
    <w:rsid w:val="00B46A9A"/>
    <w:rsid w:val="00B52979"/>
    <w:rsid w:val="00B53086"/>
    <w:rsid w:val="00B53AEF"/>
    <w:rsid w:val="00B540D4"/>
    <w:rsid w:val="00B61903"/>
    <w:rsid w:val="00B640A1"/>
    <w:rsid w:val="00B658FF"/>
    <w:rsid w:val="00B65B1A"/>
    <w:rsid w:val="00B7075B"/>
    <w:rsid w:val="00B71D65"/>
    <w:rsid w:val="00B744A5"/>
    <w:rsid w:val="00B75FA5"/>
    <w:rsid w:val="00B8102F"/>
    <w:rsid w:val="00B81879"/>
    <w:rsid w:val="00B8604E"/>
    <w:rsid w:val="00B94481"/>
    <w:rsid w:val="00B95EC2"/>
    <w:rsid w:val="00B96A6B"/>
    <w:rsid w:val="00BA0E6F"/>
    <w:rsid w:val="00BB0934"/>
    <w:rsid w:val="00BB0B6E"/>
    <w:rsid w:val="00BB129B"/>
    <w:rsid w:val="00BB6FEF"/>
    <w:rsid w:val="00BC3F18"/>
    <w:rsid w:val="00BC72DC"/>
    <w:rsid w:val="00BC7379"/>
    <w:rsid w:val="00BC74DF"/>
    <w:rsid w:val="00BC7CD8"/>
    <w:rsid w:val="00BD0105"/>
    <w:rsid w:val="00BD0F0C"/>
    <w:rsid w:val="00BD68E8"/>
    <w:rsid w:val="00BE0637"/>
    <w:rsid w:val="00BE24D6"/>
    <w:rsid w:val="00BE33A7"/>
    <w:rsid w:val="00BE5F5C"/>
    <w:rsid w:val="00BE73CB"/>
    <w:rsid w:val="00BE7727"/>
    <w:rsid w:val="00BE7751"/>
    <w:rsid w:val="00BF0608"/>
    <w:rsid w:val="00BF10A1"/>
    <w:rsid w:val="00BF7566"/>
    <w:rsid w:val="00C01366"/>
    <w:rsid w:val="00C01647"/>
    <w:rsid w:val="00C01C2C"/>
    <w:rsid w:val="00C05489"/>
    <w:rsid w:val="00C0669A"/>
    <w:rsid w:val="00C10285"/>
    <w:rsid w:val="00C150F2"/>
    <w:rsid w:val="00C167B9"/>
    <w:rsid w:val="00C25588"/>
    <w:rsid w:val="00C25FC9"/>
    <w:rsid w:val="00C341A7"/>
    <w:rsid w:val="00C34EC6"/>
    <w:rsid w:val="00C3651C"/>
    <w:rsid w:val="00C36B61"/>
    <w:rsid w:val="00C4E3EF"/>
    <w:rsid w:val="00C511F6"/>
    <w:rsid w:val="00C512DE"/>
    <w:rsid w:val="00C53BFF"/>
    <w:rsid w:val="00C55CDD"/>
    <w:rsid w:val="00C57521"/>
    <w:rsid w:val="00C60432"/>
    <w:rsid w:val="00C629A4"/>
    <w:rsid w:val="00C62C6A"/>
    <w:rsid w:val="00C631E5"/>
    <w:rsid w:val="00C640F2"/>
    <w:rsid w:val="00C66984"/>
    <w:rsid w:val="00C66A31"/>
    <w:rsid w:val="00C705E7"/>
    <w:rsid w:val="00C81882"/>
    <w:rsid w:val="00C847FF"/>
    <w:rsid w:val="00C86554"/>
    <w:rsid w:val="00C907E0"/>
    <w:rsid w:val="00C956B7"/>
    <w:rsid w:val="00C95794"/>
    <w:rsid w:val="00C96E31"/>
    <w:rsid w:val="00CA00F4"/>
    <w:rsid w:val="00CA4101"/>
    <w:rsid w:val="00CA5B2A"/>
    <w:rsid w:val="00CA77B0"/>
    <w:rsid w:val="00CB3A4D"/>
    <w:rsid w:val="00CB41DC"/>
    <w:rsid w:val="00CB47F4"/>
    <w:rsid w:val="00CB63CF"/>
    <w:rsid w:val="00CC0523"/>
    <w:rsid w:val="00CC4CE6"/>
    <w:rsid w:val="00CC6DB5"/>
    <w:rsid w:val="00CD1CED"/>
    <w:rsid w:val="00CD331C"/>
    <w:rsid w:val="00CD4605"/>
    <w:rsid w:val="00CD7358"/>
    <w:rsid w:val="00CE10FB"/>
    <w:rsid w:val="00CE18E9"/>
    <w:rsid w:val="00CE2707"/>
    <w:rsid w:val="00CE33E4"/>
    <w:rsid w:val="00CE728B"/>
    <w:rsid w:val="00CF1506"/>
    <w:rsid w:val="00CF1D31"/>
    <w:rsid w:val="00CF7BD6"/>
    <w:rsid w:val="00D0591F"/>
    <w:rsid w:val="00D064AC"/>
    <w:rsid w:val="00D117E6"/>
    <w:rsid w:val="00D15B08"/>
    <w:rsid w:val="00D15E45"/>
    <w:rsid w:val="00D15FF5"/>
    <w:rsid w:val="00D177F0"/>
    <w:rsid w:val="00D20C9F"/>
    <w:rsid w:val="00D20DDE"/>
    <w:rsid w:val="00D21E00"/>
    <w:rsid w:val="00D22546"/>
    <w:rsid w:val="00D2449C"/>
    <w:rsid w:val="00D26875"/>
    <w:rsid w:val="00D30DB4"/>
    <w:rsid w:val="00D30FBE"/>
    <w:rsid w:val="00D3113A"/>
    <w:rsid w:val="00D43796"/>
    <w:rsid w:val="00D44768"/>
    <w:rsid w:val="00D46986"/>
    <w:rsid w:val="00D469BE"/>
    <w:rsid w:val="00D46B1B"/>
    <w:rsid w:val="00D46E27"/>
    <w:rsid w:val="00D50497"/>
    <w:rsid w:val="00D50A9B"/>
    <w:rsid w:val="00D5392C"/>
    <w:rsid w:val="00D559D2"/>
    <w:rsid w:val="00D55DC6"/>
    <w:rsid w:val="00D560FF"/>
    <w:rsid w:val="00D60129"/>
    <w:rsid w:val="00D63825"/>
    <w:rsid w:val="00D723DB"/>
    <w:rsid w:val="00D728D8"/>
    <w:rsid w:val="00D72A67"/>
    <w:rsid w:val="00D734CC"/>
    <w:rsid w:val="00D81101"/>
    <w:rsid w:val="00D81B6C"/>
    <w:rsid w:val="00D829DF"/>
    <w:rsid w:val="00D85540"/>
    <w:rsid w:val="00D90D17"/>
    <w:rsid w:val="00D95C4B"/>
    <w:rsid w:val="00D97A23"/>
    <w:rsid w:val="00DA1314"/>
    <w:rsid w:val="00DA2696"/>
    <w:rsid w:val="00DA3D69"/>
    <w:rsid w:val="00DA3EE6"/>
    <w:rsid w:val="00DA7078"/>
    <w:rsid w:val="00DC2EE0"/>
    <w:rsid w:val="00DC4EBC"/>
    <w:rsid w:val="00DE00B2"/>
    <w:rsid w:val="00DE03AC"/>
    <w:rsid w:val="00DE0F5C"/>
    <w:rsid w:val="00DE40E0"/>
    <w:rsid w:val="00DF19CB"/>
    <w:rsid w:val="00DF2579"/>
    <w:rsid w:val="00DF32C6"/>
    <w:rsid w:val="00DF3C63"/>
    <w:rsid w:val="00E00C11"/>
    <w:rsid w:val="00E00C14"/>
    <w:rsid w:val="00E0194B"/>
    <w:rsid w:val="00E044BF"/>
    <w:rsid w:val="00E070A7"/>
    <w:rsid w:val="00E12F67"/>
    <w:rsid w:val="00E17C63"/>
    <w:rsid w:val="00E20040"/>
    <w:rsid w:val="00E2328B"/>
    <w:rsid w:val="00E23836"/>
    <w:rsid w:val="00E30979"/>
    <w:rsid w:val="00E33BA2"/>
    <w:rsid w:val="00E346E7"/>
    <w:rsid w:val="00E37B1D"/>
    <w:rsid w:val="00E409DD"/>
    <w:rsid w:val="00E41D1F"/>
    <w:rsid w:val="00E50062"/>
    <w:rsid w:val="00E51580"/>
    <w:rsid w:val="00E52DB0"/>
    <w:rsid w:val="00E57546"/>
    <w:rsid w:val="00E57E80"/>
    <w:rsid w:val="00E62A51"/>
    <w:rsid w:val="00E63E8B"/>
    <w:rsid w:val="00E64607"/>
    <w:rsid w:val="00E667CA"/>
    <w:rsid w:val="00E675A6"/>
    <w:rsid w:val="00E70093"/>
    <w:rsid w:val="00E7203B"/>
    <w:rsid w:val="00E7232F"/>
    <w:rsid w:val="00E8130A"/>
    <w:rsid w:val="00E8379B"/>
    <w:rsid w:val="00E85F03"/>
    <w:rsid w:val="00E86B8D"/>
    <w:rsid w:val="00E87A2F"/>
    <w:rsid w:val="00E9057F"/>
    <w:rsid w:val="00E913FE"/>
    <w:rsid w:val="00E93375"/>
    <w:rsid w:val="00E93952"/>
    <w:rsid w:val="00E95C58"/>
    <w:rsid w:val="00E97899"/>
    <w:rsid w:val="00EA1C75"/>
    <w:rsid w:val="00EA6BF0"/>
    <w:rsid w:val="00EA77DC"/>
    <w:rsid w:val="00EB3E41"/>
    <w:rsid w:val="00EB7DA5"/>
    <w:rsid w:val="00EC1380"/>
    <w:rsid w:val="00EC2312"/>
    <w:rsid w:val="00EC61DD"/>
    <w:rsid w:val="00EC7959"/>
    <w:rsid w:val="00ED299B"/>
    <w:rsid w:val="00ED3B7E"/>
    <w:rsid w:val="00ED4351"/>
    <w:rsid w:val="00ED5EA9"/>
    <w:rsid w:val="00ED65AC"/>
    <w:rsid w:val="00ED75C7"/>
    <w:rsid w:val="00EE584B"/>
    <w:rsid w:val="00EE7686"/>
    <w:rsid w:val="00EE7871"/>
    <w:rsid w:val="00EF0940"/>
    <w:rsid w:val="00EF7201"/>
    <w:rsid w:val="00F009C8"/>
    <w:rsid w:val="00F0264F"/>
    <w:rsid w:val="00F11664"/>
    <w:rsid w:val="00F12E97"/>
    <w:rsid w:val="00F132AB"/>
    <w:rsid w:val="00F1479F"/>
    <w:rsid w:val="00F23BFE"/>
    <w:rsid w:val="00F2532E"/>
    <w:rsid w:val="00F26F9C"/>
    <w:rsid w:val="00F2761F"/>
    <w:rsid w:val="00F30AB6"/>
    <w:rsid w:val="00F315CA"/>
    <w:rsid w:val="00F317E8"/>
    <w:rsid w:val="00F31972"/>
    <w:rsid w:val="00F34E9F"/>
    <w:rsid w:val="00F374BB"/>
    <w:rsid w:val="00F37931"/>
    <w:rsid w:val="00F402F9"/>
    <w:rsid w:val="00F43039"/>
    <w:rsid w:val="00F51996"/>
    <w:rsid w:val="00F52FA8"/>
    <w:rsid w:val="00F56EFD"/>
    <w:rsid w:val="00F6281A"/>
    <w:rsid w:val="00F643CD"/>
    <w:rsid w:val="00F65309"/>
    <w:rsid w:val="00F70061"/>
    <w:rsid w:val="00F70CE3"/>
    <w:rsid w:val="00F71150"/>
    <w:rsid w:val="00F726BA"/>
    <w:rsid w:val="00F72F00"/>
    <w:rsid w:val="00F74D10"/>
    <w:rsid w:val="00F77CF9"/>
    <w:rsid w:val="00F80F60"/>
    <w:rsid w:val="00F81235"/>
    <w:rsid w:val="00F845E2"/>
    <w:rsid w:val="00F85DF0"/>
    <w:rsid w:val="00F86F8E"/>
    <w:rsid w:val="00F91CD3"/>
    <w:rsid w:val="00F93C80"/>
    <w:rsid w:val="00F97173"/>
    <w:rsid w:val="00FA052B"/>
    <w:rsid w:val="00FA074C"/>
    <w:rsid w:val="00FA1A3B"/>
    <w:rsid w:val="00FA3011"/>
    <w:rsid w:val="00FA5305"/>
    <w:rsid w:val="00FA7A25"/>
    <w:rsid w:val="00FB0C88"/>
    <w:rsid w:val="00FB2930"/>
    <w:rsid w:val="00FB5A17"/>
    <w:rsid w:val="00FB67F9"/>
    <w:rsid w:val="00FC02B3"/>
    <w:rsid w:val="00FC4681"/>
    <w:rsid w:val="00FC6100"/>
    <w:rsid w:val="00FC79CD"/>
    <w:rsid w:val="00FD1CDF"/>
    <w:rsid w:val="00FD4A70"/>
    <w:rsid w:val="00FD4D4F"/>
    <w:rsid w:val="00FD7125"/>
    <w:rsid w:val="00FE009C"/>
    <w:rsid w:val="00FE41D0"/>
    <w:rsid w:val="00FE73A5"/>
    <w:rsid w:val="00FF1213"/>
    <w:rsid w:val="00FF2EC7"/>
    <w:rsid w:val="00FF46B0"/>
    <w:rsid w:val="00FF4D10"/>
    <w:rsid w:val="00FF62C8"/>
    <w:rsid w:val="00FF648F"/>
    <w:rsid w:val="00FF6F0E"/>
    <w:rsid w:val="01036C9D"/>
    <w:rsid w:val="016FA70C"/>
    <w:rsid w:val="0276E822"/>
    <w:rsid w:val="02FBD0CE"/>
    <w:rsid w:val="03D82F23"/>
    <w:rsid w:val="045305E9"/>
    <w:rsid w:val="04910FF3"/>
    <w:rsid w:val="05E7E248"/>
    <w:rsid w:val="06081D5A"/>
    <w:rsid w:val="0627FF73"/>
    <w:rsid w:val="07C8B0B5"/>
    <w:rsid w:val="08648F9B"/>
    <w:rsid w:val="0888B1BA"/>
    <w:rsid w:val="08CD0149"/>
    <w:rsid w:val="09269B03"/>
    <w:rsid w:val="09CCD159"/>
    <w:rsid w:val="0A1C9F27"/>
    <w:rsid w:val="0B9A5A90"/>
    <w:rsid w:val="0C1C5AE8"/>
    <w:rsid w:val="0C56134D"/>
    <w:rsid w:val="0D236F5D"/>
    <w:rsid w:val="0D6D3575"/>
    <w:rsid w:val="0DE22706"/>
    <w:rsid w:val="0E260E1F"/>
    <w:rsid w:val="0F1D0268"/>
    <w:rsid w:val="104B38FE"/>
    <w:rsid w:val="110E55AB"/>
    <w:rsid w:val="1139ED64"/>
    <w:rsid w:val="11ADA824"/>
    <w:rsid w:val="11C72CA7"/>
    <w:rsid w:val="126B790B"/>
    <w:rsid w:val="12CB3B2E"/>
    <w:rsid w:val="12F49CA0"/>
    <w:rsid w:val="132E7B1A"/>
    <w:rsid w:val="138C4418"/>
    <w:rsid w:val="13C10F29"/>
    <w:rsid w:val="13E76374"/>
    <w:rsid w:val="1425FBD0"/>
    <w:rsid w:val="1478A665"/>
    <w:rsid w:val="149F23B5"/>
    <w:rsid w:val="159D28BE"/>
    <w:rsid w:val="15C72745"/>
    <w:rsid w:val="15F9A049"/>
    <w:rsid w:val="161476C6"/>
    <w:rsid w:val="1620215D"/>
    <w:rsid w:val="162A3F21"/>
    <w:rsid w:val="169BA21D"/>
    <w:rsid w:val="1705A2A3"/>
    <w:rsid w:val="17D6C477"/>
    <w:rsid w:val="18066F13"/>
    <w:rsid w:val="18B8E6F1"/>
    <w:rsid w:val="18F79282"/>
    <w:rsid w:val="197294D8"/>
    <w:rsid w:val="19A2F854"/>
    <w:rsid w:val="1A2125D9"/>
    <w:rsid w:val="1A87FE74"/>
    <w:rsid w:val="1B8BE0C4"/>
    <w:rsid w:val="1BDDBEED"/>
    <w:rsid w:val="1BDEE991"/>
    <w:rsid w:val="1C090227"/>
    <w:rsid w:val="1C99B4BD"/>
    <w:rsid w:val="1CD0DD9B"/>
    <w:rsid w:val="1E31D5CC"/>
    <w:rsid w:val="1EAA5929"/>
    <w:rsid w:val="1EE03BBD"/>
    <w:rsid w:val="1F517FF0"/>
    <w:rsid w:val="1F5A541D"/>
    <w:rsid w:val="1FAD16C5"/>
    <w:rsid w:val="1FCDA62D"/>
    <w:rsid w:val="201DD90E"/>
    <w:rsid w:val="206A97F3"/>
    <w:rsid w:val="20762AEF"/>
    <w:rsid w:val="20CED0B7"/>
    <w:rsid w:val="21598DE5"/>
    <w:rsid w:val="21727156"/>
    <w:rsid w:val="21BC71D2"/>
    <w:rsid w:val="21F4441E"/>
    <w:rsid w:val="2290855F"/>
    <w:rsid w:val="22EF38B6"/>
    <w:rsid w:val="231E6F4C"/>
    <w:rsid w:val="23252413"/>
    <w:rsid w:val="23ED2148"/>
    <w:rsid w:val="242C55C0"/>
    <w:rsid w:val="245B73B9"/>
    <w:rsid w:val="24AE7E51"/>
    <w:rsid w:val="254625C9"/>
    <w:rsid w:val="25F1ABB3"/>
    <w:rsid w:val="2617FA37"/>
    <w:rsid w:val="2622B247"/>
    <w:rsid w:val="26276EA6"/>
    <w:rsid w:val="2665E338"/>
    <w:rsid w:val="26B3FB8E"/>
    <w:rsid w:val="27144020"/>
    <w:rsid w:val="276385F8"/>
    <w:rsid w:val="285A3879"/>
    <w:rsid w:val="286B0AF7"/>
    <w:rsid w:val="28E45EA8"/>
    <w:rsid w:val="2900D43B"/>
    <w:rsid w:val="29EB289E"/>
    <w:rsid w:val="2A0932A1"/>
    <w:rsid w:val="2A8B93F8"/>
    <w:rsid w:val="2AC72336"/>
    <w:rsid w:val="2ADE19D4"/>
    <w:rsid w:val="2B66F57D"/>
    <w:rsid w:val="2BA2ABB9"/>
    <w:rsid w:val="2CA54A7B"/>
    <w:rsid w:val="2D28F4F1"/>
    <w:rsid w:val="2D615374"/>
    <w:rsid w:val="2D9CEB55"/>
    <w:rsid w:val="2DF475E4"/>
    <w:rsid w:val="2E6189B5"/>
    <w:rsid w:val="2E8ED96F"/>
    <w:rsid w:val="2EDEBCD9"/>
    <w:rsid w:val="2FAC5260"/>
    <w:rsid w:val="305C4D54"/>
    <w:rsid w:val="3135DF67"/>
    <w:rsid w:val="31907719"/>
    <w:rsid w:val="31B20D4E"/>
    <w:rsid w:val="337F1710"/>
    <w:rsid w:val="33EA1CB5"/>
    <w:rsid w:val="33F0DE72"/>
    <w:rsid w:val="3536BEB7"/>
    <w:rsid w:val="35432136"/>
    <w:rsid w:val="355920DD"/>
    <w:rsid w:val="35AAFE0D"/>
    <w:rsid w:val="35D71C16"/>
    <w:rsid w:val="3631B2C5"/>
    <w:rsid w:val="36443815"/>
    <w:rsid w:val="365542D2"/>
    <w:rsid w:val="36A41E36"/>
    <w:rsid w:val="36E9CEBE"/>
    <w:rsid w:val="37D555D1"/>
    <w:rsid w:val="37D92153"/>
    <w:rsid w:val="37DF6847"/>
    <w:rsid w:val="37EAFA1E"/>
    <w:rsid w:val="394BD03C"/>
    <w:rsid w:val="39AAEC44"/>
    <w:rsid w:val="3A68F625"/>
    <w:rsid w:val="3B2E6A24"/>
    <w:rsid w:val="3BCDE7FC"/>
    <w:rsid w:val="3C37A714"/>
    <w:rsid w:val="3C6FEB91"/>
    <w:rsid w:val="3C916A70"/>
    <w:rsid w:val="3C92C2EE"/>
    <w:rsid w:val="3CA625AD"/>
    <w:rsid w:val="3CD00215"/>
    <w:rsid w:val="3DDD15ED"/>
    <w:rsid w:val="3E660AE6"/>
    <w:rsid w:val="3F262298"/>
    <w:rsid w:val="3F47A00D"/>
    <w:rsid w:val="3F711CF5"/>
    <w:rsid w:val="3F8AFC67"/>
    <w:rsid w:val="40A1591F"/>
    <w:rsid w:val="40A4700B"/>
    <w:rsid w:val="40F5AA59"/>
    <w:rsid w:val="41116282"/>
    <w:rsid w:val="4188BB42"/>
    <w:rsid w:val="42195940"/>
    <w:rsid w:val="421A0B56"/>
    <w:rsid w:val="422991C4"/>
    <w:rsid w:val="42E2D7DC"/>
    <w:rsid w:val="43071BFB"/>
    <w:rsid w:val="432B10E4"/>
    <w:rsid w:val="43D7CF0E"/>
    <w:rsid w:val="43F70911"/>
    <w:rsid w:val="443B9056"/>
    <w:rsid w:val="44AD028B"/>
    <w:rsid w:val="44F79C85"/>
    <w:rsid w:val="45051F4D"/>
    <w:rsid w:val="465B2808"/>
    <w:rsid w:val="46AE869A"/>
    <w:rsid w:val="4738087F"/>
    <w:rsid w:val="486DC902"/>
    <w:rsid w:val="490DB9ED"/>
    <w:rsid w:val="49120D32"/>
    <w:rsid w:val="49765D7F"/>
    <w:rsid w:val="4ADF0DFC"/>
    <w:rsid w:val="4AF3EDFA"/>
    <w:rsid w:val="4B36D757"/>
    <w:rsid w:val="4B8BA73B"/>
    <w:rsid w:val="4BC8FEBB"/>
    <w:rsid w:val="4BFFE213"/>
    <w:rsid w:val="4C01A043"/>
    <w:rsid w:val="4C44A149"/>
    <w:rsid w:val="4C85D265"/>
    <w:rsid w:val="4CADFE41"/>
    <w:rsid w:val="4D005206"/>
    <w:rsid w:val="4D4EE20C"/>
    <w:rsid w:val="4D8AAEB9"/>
    <w:rsid w:val="4DC0ACD9"/>
    <w:rsid w:val="4DC3F341"/>
    <w:rsid w:val="4DF2D84A"/>
    <w:rsid w:val="4DFEB6DE"/>
    <w:rsid w:val="4F1F51AF"/>
    <w:rsid w:val="4FFDF0E1"/>
    <w:rsid w:val="50E84C35"/>
    <w:rsid w:val="516C7E57"/>
    <w:rsid w:val="5172F8F9"/>
    <w:rsid w:val="51743519"/>
    <w:rsid w:val="517AD2CF"/>
    <w:rsid w:val="517C4497"/>
    <w:rsid w:val="525F62EE"/>
    <w:rsid w:val="5359B193"/>
    <w:rsid w:val="536F938A"/>
    <w:rsid w:val="539A1AD5"/>
    <w:rsid w:val="54A03FDC"/>
    <w:rsid w:val="558C5305"/>
    <w:rsid w:val="562565CA"/>
    <w:rsid w:val="565BE7CD"/>
    <w:rsid w:val="568E0BEF"/>
    <w:rsid w:val="569E811B"/>
    <w:rsid w:val="56F8438C"/>
    <w:rsid w:val="59762EE9"/>
    <w:rsid w:val="59FA68DB"/>
    <w:rsid w:val="59FE0B6A"/>
    <w:rsid w:val="5A049018"/>
    <w:rsid w:val="5A0AB6BA"/>
    <w:rsid w:val="5AD98870"/>
    <w:rsid w:val="5B00D086"/>
    <w:rsid w:val="5B11FF4A"/>
    <w:rsid w:val="5B37435E"/>
    <w:rsid w:val="5B617D12"/>
    <w:rsid w:val="5BA88D2F"/>
    <w:rsid w:val="5BD97219"/>
    <w:rsid w:val="5BFAFBB0"/>
    <w:rsid w:val="5C117806"/>
    <w:rsid w:val="5C1E3D08"/>
    <w:rsid w:val="5C605043"/>
    <w:rsid w:val="5CC8FECF"/>
    <w:rsid w:val="5D290F41"/>
    <w:rsid w:val="5D2CC4D3"/>
    <w:rsid w:val="5D9E8A3A"/>
    <w:rsid w:val="5E610114"/>
    <w:rsid w:val="5F9B6A18"/>
    <w:rsid w:val="5FAB909A"/>
    <w:rsid w:val="607AD384"/>
    <w:rsid w:val="609CC08F"/>
    <w:rsid w:val="60EA6526"/>
    <w:rsid w:val="618140CE"/>
    <w:rsid w:val="61DD5FF2"/>
    <w:rsid w:val="6216A3E5"/>
    <w:rsid w:val="622E614D"/>
    <w:rsid w:val="62CD8C24"/>
    <w:rsid w:val="62E23C46"/>
    <w:rsid w:val="631C68A1"/>
    <w:rsid w:val="63823BA3"/>
    <w:rsid w:val="642F75CA"/>
    <w:rsid w:val="647BE85E"/>
    <w:rsid w:val="651C3D9F"/>
    <w:rsid w:val="657DCE5A"/>
    <w:rsid w:val="657E5FE7"/>
    <w:rsid w:val="675BD7A3"/>
    <w:rsid w:val="67A39A08"/>
    <w:rsid w:val="686BC1E8"/>
    <w:rsid w:val="697772B5"/>
    <w:rsid w:val="6A66ED49"/>
    <w:rsid w:val="6B6EE987"/>
    <w:rsid w:val="6B8A3A4D"/>
    <w:rsid w:val="6BE9954D"/>
    <w:rsid w:val="6C02BDAA"/>
    <w:rsid w:val="6C76F28B"/>
    <w:rsid w:val="6D3371AF"/>
    <w:rsid w:val="6DB85D93"/>
    <w:rsid w:val="6E4EEA7F"/>
    <w:rsid w:val="6E72687B"/>
    <w:rsid w:val="6EA7F4B9"/>
    <w:rsid w:val="6EE6D04D"/>
    <w:rsid w:val="6EE75AC1"/>
    <w:rsid w:val="6EFD1473"/>
    <w:rsid w:val="6F6DCD77"/>
    <w:rsid w:val="6FEA5960"/>
    <w:rsid w:val="701FCC4C"/>
    <w:rsid w:val="70483265"/>
    <w:rsid w:val="705D44BC"/>
    <w:rsid w:val="70C5EE21"/>
    <w:rsid w:val="710DA664"/>
    <w:rsid w:val="713B5DE0"/>
    <w:rsid w:val="714585C9"/>
    <w:rsid w:val="719C7C21"/>
    <w:rsid w:val="71E04420"/>
    <w:rsid w:val="71F97BD1"/>
    <w:rsid w:val="7206E2D2"/>
    <w:rsid w:val="727D883C"/>
    <w:rsid w:val="72BA20B5"/>
    <w:rsid w:val="72BB50F2"/>
    <w:rsid w:val="72CCAF5C"/>
    <w:rsid w:val="7393709A"/>
    <w:rsid w:val="742C0F75"/>
    <w:rsid w:val="74756043"/>
    <w:rsid w:val="74F9A4FC"/>
    <w:rsid w:val="75019282"/>
    <w:rsid w:val="75B3B463"/>
    <w:rsid w:val="75BD28DA"/>
    <w:rsid w:val="760441FA"/>
    <w:rsid w:val="779B9EF0"/>
    <w:rsid w:val="77AD0105"/>
    <w:rsid w:val="77D9FA80"/>
    <w:rsid w:val="77DAD368"/>
    <w:rsid w:val="787B268C"/>
    <w:rsid w:val="78970C49"/>
    <w:rsid w:val="78A3F6B9"/>
    <w:rsid w:val="78F4A371"/>
    <w:rsid w:val="79AF7B8C"/>
    <w:rsid w:val="7A2B502A"/>
    <w:rsid w:val="7A8677AC"/>
    <w:rsid w:val="7AC23869"/>
    <w:rsid w:val="7AD1801B"/>
    <w:rsid w:val="7B315C29"/>
    <w:rsid w:val="7B3A589F"/>
    <w:rsid w:val="7B895175"/>
    <w:rsid w:val="7BB2575E"/>
    <w:rsid w:val="7BF18D17"/>
    <w:rsid w:val="7C37215A"/>
    <w:rsid w:val="7C89751F"/>
    <w:rsid w:val="7D108025"/>
    <w:rsid w:val="7D4D165A"/>
    <w:rsid w:val="7D7198BE"/>
    <w:rsid w:val="7D79FC1B"/>
    <w:rsid w:val="7D92F959"/>
    <w:rsid w:val="7E277E8D"/>
    <w:rsid w:val="7F31CDCE"/>
    <w:rsid w:val="7FE8D5A3"/>
    <w:rsid w:val="7FF05D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44D96"/>
  <w15:chartTrackingRefBased/>
  <w15:docId w15:val="{95FAF0AE-A7B9-C741-9443-1C9961744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A2F"/>
    <w:rPr>
      <w:sz w:val="22"/>
    </w:rPr>
  </w:style>
  <w:style w:type="paragraph" w:styleId="Overskrift1">
    <w:name w:val="heading 1"/>
    <w:basedOn w:val="Normal"/>
    <w:next w:val="Normal"/>
    <w:link w:val="Overskrift1Tegn"/>
    <w:uiPriority w:val="9"/>
    <w:qFormat/>
    <w:rsid w:val="009D0714"/>
    <w:pPr>
      <w:keepNext/>
      <w:keepLines/>
      <w:numPr>
        <w:numId w:val="10"/>
      </w:numPr>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autoRedefine/>
    <w:uiPriority w:val="9"/>
    <w:unhideWhenUsed/>
    <w:qFormat/>
    <w:rsid w:val="005E0F7B"/>
    <w:pPr>
      <w:keepNext/>
      <w:keepLines/>
      <w:numPr>
        <w:ilvl w:val="1"/>
        <w:numId w:val="10"/>
      </w:numPr>
      <w:spacing w:before="40"/>
      <w:outlineLvl w:val="1"/>
    </w:pPr>
    <w:rPr>
      <w:rFonts w:asciiTheme="majorHAnsi" w:eastAsiaTheme="majorEastAsia" w:hAnsiTheme="majorHAnsi" w:cstheme="majorBidi"/>
      <w:color w:val="2F5496" w:themeColor="accent1" w:themeShade="BF"/>
      <w:sz w:val="26"/>
      <w:szCs w:val="26"/>
      <w:lang w:val="en-US"/>
    </w:rPr>
  </w:style>
  <w:style w:type="paragraph" w:styleId="Overskrift3">
    <w:name w:val="heading 3"/>
    <w:basedOn w:val="Normal"/>
    <w:next w:val="Normal"/>
    <w:link w:val="Overskrift3Tegn"/>
    <w:uiPriority w:val="9"/>
    <w:unhideWhenUsed/>
    <w:qFormat/>
    <w:rsid w:val="00DF3C63"/>
    <w:pPr>
      <w:keepNext/>
      <w:keepLines/>
      <w:numPr>
        <w:ilvl w:val="2"/>
        <w:numId w:val="10"/>
      </w:numPr>
      <w:spacing w:before="40"/>
      <w:outlineLvl w:val="2"/>
    </w:pPr>
    <w:rPr>
      <w:rFonts w:asciiTheme="majorHAnsi" w:eastAsiaTheme="majorEastAsia" w:hAnsiTheme="majorHAnsi" w:cstheme="majorBidi"/>
      <w:color w:val="1F3763" w:themeColor="accent1" w:themeShade="7F"/>
    </w:rPr>
  </w:style>
  <w:style w:type="paragraph" w:styleId="Overskrift4">
    <w:name w:val="heading 4"/>
    <w:basedOn w:val="Normal"/>
    <w:next w:val="Normal"/>
    <w:link w:val="Overskrift4Tegn"/>
    <w:uiPriority w:val="9"/>
    <w:semiHidden/>
    <w:unhideWhenUsed/>
    <w:qFormat/>
    <w:rsid w:val="00DF3C63"/>
    <w:pPr>
      <w:keepNext/>
      <w:keepLines/>
      <w:numPr>
        <w:ilvl w:val="3"/>
        <w:numId w:val="10"/>
      </w:numPr>
      <w:spacing w:before="4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DF3C63"/>
    <w:pPr>
      <w:keepNext/>
      <w:keepLines/>
      <w:numPr>
        <w:ilvl w:val="4"/>
        <w:numId w:val="10"/>
      </w:numPr>
      <w:spacing w:before="4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DF3C63"/>
    <w:pPr>
      <w:keepNext/>
      <w:keepLines/>
      <w:numPr>
        <w:ilvl w:val="5"/>
        <w:numId w:val="10"/>
      </w:numPr>
      <w:spacing w:before="4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DF3C63"/>
    <w:pPr>
      <w:keepNext/>
      <w:keepLines/>
      <w:numPr>
        <w:ilvl w:val="6"/>
        <w:numId w:val="10"/>
      </w:numPr>
      <w:spacing w:before="4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DF3C63"/>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DF3C63"/>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77CF9"/>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F77CF9"/>
    <w:rPr>
      <w:rFonts w:ascii="Times New Roman" w:hAnsi="Times New Roman" w:cs="Times New Roman"/>
      <w:sz w:val="18"/>
      <w:szCs w:val="18"/>
    </w:rPr>
  </w:style>
  <w:style w:type="character" w:customStyle="1" w:styleId="Overskrift2Tegn">
    <w:name w:val="Overskrift 2 Tegn"/>
    <w:basedOn w:val="Standardskrifttypeiafsnit"/>
    <w:link w:val="Overskrift2"/>
    <w:uiPriority w:val="9"/>
    <w:rsid w:val="005E0F7B"/>
    <w:rPr>
      <w:rFonts w:asciiTheme="majorHAnsi" w:eastAsiaTheme="majorEastAsia" w:hAnsiTheme="majorHAnsi" w:cstheme="majorBidi"/>
      <w:color w:val="2F5496" w:themeColor="accent1" w:themeShade="BF"/>
      <w:sz w:val="26"/>
      <w:szCs w:val="26"/>
      <w:lang w:val="en-US"/>
    </w:rPr>
  </w:style>
  <w:style w:type="character" w:customStyle="1" w:styleId="Overskrift3Tegn">
    <w:name w:val="Overskrift 3 Tegn"/>
    <w:basedOn w:val="Standardskrifttypeiafsnit"/>
    <w:link w:val="Overskrift3"/>
    <w:uiPriority w:val="9"/>
    <w:rsid w:val="004324E5"/>
    <w:rPr>
      <w:rFonts w:asciiTheme="majorHAnsi" w:eastAsiaTheme="majorEastAsia" w:hAnsiTheme="majorHAnsi" w:cstheme="majorBidi"/>
      <w:color w:val="1F3763" w:themeColor="accent1" w:themeShade="7F"/>
    </w:rPr>
  </w:style>
  <w:style w:type="paragraph" w:styleId="Sidehoved">
    <w:name w:val="header"/>
    <w:basedOn w:val="Normal"/>
    <w:link w:val="SidehovedTegn"/>
    <w:uiPriority w:val="99"/>
    <w:unhideWhenUsed/>
    <w:rsid w:val="00582A2F"/>
    <w:pPr>
      <w:tabs>
        <w:tab w:val="center" w:pos="4819"/>
        <w:tab w:val="right" w:pos="9638"/>
      </w:tabs>
    </w:pPr>
  </w:style>
  <w:style w:type="character" w:customStyle="1" w:styleId="SidehovedTegn">
    <w:name w:val="Sidehoved Tegn"/>
    <w:basedOn w:val="Standardskrifttypeiafsnit"/>
    <w:link w:val="Sidehoved"/>
    <w:uiPriority w:val="99"/>
    <w:rsid w:val="00582A2F"/>
  </w:style>
  <w:style w:type="paragraph" w:styleId="Sidefod">
    <w:name w:val="footer"/>
    <w:basedOn w:val="Normal"/>
    <w:link w:val="SidefodTegn"/>
    <w:uiPriority w:val="99"/>
    <w:unhideWhenUsed/>
    <w:rsid w:val="00582A2F"/>
    <w:pPr>
      <w:tabs>
        <w:tab w:val="center" w:pos="4819"/>
        <w:tab w:val="right" w:pos="9638"/>
      </w:tabs>
    </w:pPr>
  </w:style>
  <w:style w:type="character" w:customStyle="1" w:styleId="SidefodTegn">
    <w:name w:val="Sidefod Tegn"/>
    <w:basedOn w:val="Standardskrifttypeiafsnit"/>
    <w:link w:val="Sidefod"/>
    <w:uiPriority w:val="99"/>
    <w:rsid w:val="00582A2F"/>
  </w:style>
  <w:style w:type="paragraph" w:styleId="Undertitel">
    <w:name w:val="Subtitle"/>
    <w:basedOn w:val="Normal"/>
    <w:next w:val="Normal"/>
    <w:link w:val="UndertitelTegn"/>
    <w:uiPriority w:val="11"/>
    <w:qFormat/>
    <w:rsid w:val="00265D51"/>
    <w:pPr>
      <w:numPr>
        <w:ilvl w:val="1"/>
      </w:numPr>
      <w:spacing w:after="160"/>
    </w:pPr>
    <w:rPr>
      <w:rFonts w:eastAsiaTheme="minorEastAsia"/>
      <w:color w:val="5A5A5A" w:themeColor="text1" w:themeTint="A5"/>
      <w:spacing w:val="15"/>
      <w:szCs w:val="22"/>
    </w:rPr>
  </w:style>
  <w:style w:type="character" w:customStyle="1" w:styleId="UndertitelTegn">
    <w:name w:val="Undertitel Tegn"/>
    <w:basedOn w:val="Standardskrifttypeiafsnit"/>
    <w:link w:val="Undertitel"/>
    <w:uiPriority w:val="11"/>
    <w:rsid w:val="00265D51"/>
    <w:rPr>
      <w:rFonts w:eastAsiaTheme="minorEastAsia"/>
      <w:color w:val="5A5A5A" w:themeColor="text1" w:themeTint="A5"/>
      <w:spacing w:val="15"/>
      <w:sz w:val="22"/>
      <w:szCs w:val="22"/>
    </w:rPr>
  </w:style>
  <w:style w:type="paragraph" w:styleId="Listeafsnit">
    <w:name w:val="List Paragraph"/>
    <w:basedOn w:val="Normal"/>
    <w:uiPriority w:val="34"/>
    <w:qFormat/>
    <w:rsid w:val="00265D51"/>
    <w:pPr>
      <w:ind w:left="720"/>
      <w:contextualSpacing/>
    </w:pPr>
  </w:style>
  <w:style w:type="paragraph" w:styleId="Fodnotetekst">
    <w:name w:val="footnote text"/>
    <w:basedOn w:val="Normal"/>
    <w:link w:val="FodnotetekstTegn"/>
    <w:uiPriority w:val="99"/>
    <w:semiHidden/>
    <w:unhideWhenUsed/>
    <w:rsid w:val="00B0332F"/>
    <w:rPr>
      <w:sz w:val="20"/>
      <w:szCs w:val="20"/>
    </w:rPr>
  </w:style>
  <w:style w:type="character" w:customStyle="1" w:styleId="FodnotetekstTegn">
    <w:name w:val="Fodnotetekst Tegn"/>
    <w:basedOn w:val="Standardskrifttypeiafsnit"/>
    <w:link w:val="Fodnotetekst"/>
    <w:uiPriority w:val="99"/>
    <w:semiHidden/>
    <w:rsid w:val="00B0332F"/>
    <w:rPr>
      <w:sz w:val="20"/>
      <w:szCs w:val="20"/>
    </w:rPr>
  </w:style>
  <w:style w:type="character" w:styleId="Fodnotehenvisning">
    <w:name w:val="footnote reference"/>
    <w:basedOn w:val="Standardskrifttypeiafsnit"/>
    <w:uiPriority w:val="99"/>
    <w:semiHidden/>
    <w:unhideWhenUsed/>
    <w:rsid w:val="00B0332F"/>
    <w:rPr>
      <w:vertAlign w:val="superscript"/>
    </w:rPr>
  </w:style>
  <w:style w:type="character" w:customStyle="1" w:styleId="Overskrift1Tegn">
    <w:name w:val="Overskrift 1 Tegn"/>
    <w:basedOn w:val="Standardskrifttypeiafsnit"/>
    <w:link w:val="Overskrift1"/>
    <w:uiPriority w:val="9"/>
    <w:rsid w:val="00263083"/>
    <w:rPr>
      <w:rFonts w:asciiTheme="majorHAnsi" w:eastAsiaTheme="majorEastAsia" w:hAnsiTheme="majorHAnsi" w:cstheme="majorBidi"/>
      <w:color w:val="2F5496" w:themeColor="accent1" w:themeShade="BF"/>
      <w:sz w:val="32"/>
      <w:szCs w:val="32"/>
    </w:rPr>
  </w:style>
  <w:style w:type="character" w:styleId="Kommentarhenvisning">
    <w:name w:val="annotation reference"/>
    <w:basedOn w:val="Standardskrifttypeiafsnit"/>
    <w:uiPriority w:val="99"/>
    <w:semiHidden/>
    <w:unhideWhenUsed/>
    <w:rsid w:val="00205C68"/>
    <w:rPr>
      <w:sz w:val="16"/>
      <w:szCs w:val="16"/>
    </w:rPr>
  </w:style>
  <w:style w:type="paragraph" w:styleId="Kommentartekst">
    <w:name w:val="annotation text"/>
    <w:basedOn w:val="Normal"/>
    <w:link w:val="KommentartekstTegn"/>
    <w:uiPriority w:val="99"/>
    <w:unhideWhenUsed/>
    <w:rsid w:val="00205C68"/>
    <w:rPr>
      <w:sz w:val="20"/>
      <w:szCs w:val="20"/>
    </w:rPr>
  </w:style>
  <w:style w:type="character" w:customStyle="1" w:styleId="KommentartekstTegn">
    <w:name w:val="Kommentartekst Tegn"/>
    <w:basedOn w:val="Standardskrifttypeiafsnit"/>
    <w:link w:val="Kommentartekst"/>
    <w:uiPriority w:val="99"/>
    <w:rsid w:val="00205C68"/>
    <w:rPr>
      <w:sz w:val="20"/>
      <w:szCs w:val="20"/>
    </w:rPr>
  </w:style>
  <w:style w:type="paragraph" w:styleId="Kommentaremne">
    <w:name w:val="annotation subject"/>
    <w:basedOn w:val="Kommentartekst"/>
    <w:next w:val="Kommentartekst"/>
    <w:link w:val="KommentaremneTegn"/>
    <w:uiPriority w:val="99"/>
    <w:semiHidden/>
    <w:unhideWhenUsed/>
    <w:rsid w:val="00205C68"/>
    <w:rPr>
      <w:b/>
      <w:bCs/>
    </w:rPr>
  </w:style>
  <w:style w:type="character" w:customStyle="1" w:styleId="KommentaremneTegn">
    <w:name w:val="Kommentaremne Tegn"/>
    <w:basedOn w:val="KommentartekstTegn"/>
    <w:link w:val="Kommentaremne"/>
    <w:uiPriority w:val="99"/>
    <w:semiHidden/>
    <w:rsid w:val="00205C68"/>
    <w:rPr>
      <w:b/>
      <w:bCs/>
      <w:sz w:val="20"/>
      <w:szCs w:val="20"/>
    </w:rPr>
  </w:style>
  <w:style w:type="paragraph" w:styleId="Billedtekst">
    <w:name w:val="caption"/>
    <w:basedOn w:val="Normal"/>
    <w:next w:val="Normal"/>
    <w:uiPriority w:val="35"/>
    <w:unhideWhenUsed/>
    <w:qFormat/>
    <w:rsid w:val="00DA3D69"/>
    <w:rPr>
      <w:i/>
      <w:iCs/>
      <w:color w:val="44546A" w:themeColor="text2"/>
      <w:sz w:val="18"/>
      <w:szCs w:val="18"/>
    </w:rPr>
  </w:style>
  <w:style w:type="paragraph" w:styleId="NormalWeb">
    <w:name w:val="Normal (Web)"/>
    <w:basedOn w:val="Normal"/>
    <w:uiPriority w:val="99"/>
    <w:unhideWhenUsed/>
    <w:rsid w:val="00AA039C"/>
    <w:pPr>
      <w:spacing w:before="100" w:beforeAutospacing="1" w:after="100" w:afterAutospacing="1"/>
    </w:pPr>
    <w:rPr>
      <w:rFonts w:ascii="Times New Roman" w:eastAsia="Times New Roman" w:hAnsi="Times New Roman" w:cs="Times New Roman"/>
      <w:sz w:val="24"/>
      <w:lang w:eastAsia="da-DK"/>
    </w:rPr>
  </w:style>
  <w:style w:type="character" w:customStyle="1" w:styleId="Overskrift4Tegn">
    <w:name w:val="Overskrift 4 Tegn"/>
    <w:basedOn w:val="Standardskrifttypeiafsnit"/>
    <w:link w:val="Overskrift4"/>
    <w:uiPriority w:val="9"/>
    <w:semiHidden/>
    <w:rsid w:val="00DF3C63"/>
    <w:rPr>
      <w:rFonts w:asciiTheme="majorHAnsi" w:eastAsiaTheme="majorEastAsia" w:hAnsiTheme="majorHAnsi" w:cstheme="majorBidi"/>
      <w:i/>
      <w:iCs/>
      <w:color w:val="2F5496" w:themeColor="accent1" w:themeShade="BF"/>
      <w:sz w:val="22"/>
    </w:rPr>
  </w:style>
  <w:style w:type="character" w:customStyle="1" w:styleId="Overskrift5Tegn">
    <w:name w:val="Overskrift 5 Tegn"/>
    <w:basedOn w:val="Standardskrifttypeiafsnit"/>
    <w:link w:val="Overskrift5"/>
    <w:uiPriority w:val="9"/>
    <w:semiHidden/>
    <w:rsid w:val="00DF3C63"/>
    <w:rPr>
      <w:rFonts w:asciiTheme="majorHAnsi" w:eastAsiaTheme="majorEastAsia" w:hAnsiTheme="majorHAnsi" w:cstheme="majorBidi"/>
      <w:color w:val="2F5496" w:themeColor="accent1" w:themeShade="BF"/>
      <w:sz w:val="22"/>
    </w:rPr>
  </w:style>
  <w:style w:type="character" w:customStyle="1" w:styleId="Overskrift6Tegn">
    <w:name w:val="Overskrift 6 Tegn"/>
    <w:basedOn w:val="Standardskrifttypeiafsnit"/>
    <w:link w:val="Overskrift6"/>
    <w:uiPriority w:val="9"/>
    <w:semiHidden/>
    <w:rsid w:val="00DF3C63"/>
    <w:rPr>
      <w:rFonts w:asciiTheme="majorHAnsi" w:eastAsiaTheme="majorEastAsia" w:hAnsiTheme="majorHAnsi" w:cstheme="majorBidi"/>
      <w:color w:val="1F3763" w:themeColor="accent1" w:themeShade="7F"/>
      <w:sz w:val="22"/>
    </w:rPr>
  </w:style>
  <w:style w:type="character" w:customStyle="1" w:styleId="Overskrift7Tegn">
    <w:name w:val="Overskrift 7 Tegn"/>
    <w:basedOn w:val="Standardskrifttypeiafsnit"/>
    <w:link w:val="Overskrift7"/>
    <w:uiPriority w:val="9"/>
    <w:semiHidden/>
    <w:rsid w:val="00DF3C63"/>
    <w:rPr>
      <w:rFonts w:asciiTheme="majorHAnsi" w:eastAsiaTheme="majorEastAsia" w:hAnsiTheme="majorHAnsi" w:cstheme="majorBidi"/>
      <w:i/>
      <w:iCs/>
      <w:color w:val="1F3763" w:themeColor="accent1" w:themeShade="7F"/>
      <w:sz w:val="22"/>
    </w:rPr>
  </w:style>
  <w:style w:type="character" w:customStyle="1" w:styleId="Overskrift8Tegn">
    <w:name w:val="Overskrift 8 Tegn"/>
    <w:basedOn w:val="Standardskrifttypeiafsnit"/>
    <w:link w:val="Overskrift8"/>
    <w:uiPriority w:val="9"/>
    <w:semiHidden/>
    <w:rsid w:val="00DF3C63"/>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DF3C63"/>
    <w:rPr>
      <w:rFonts w:asciiTheme="majorHAnsi" w:eastAsiaTheme="majorEastAsia" w:hAnsiTheme="majorHAnsi" w:cstheme="majorBidi"/>
      <w:i/>
      <w:iCs/>
      <w:color w:val="272727" w:themeColor="text1" w:themeTint="D8"/>
      <w:sz w:val="21"/>
      <w:szCs w:val="21"/>
    </w:rPr>
  </w:style>
  <w:style w:type="character" w:styleId="Hyperlink">
    <w:name w:val="Hyperlink"/>
    <w:basedOn w:val="Standardskrifttypeiafsnit"/>
    <w:uiPriority w:val="99"/>
    <w:unhideWhenUsed/>
    <w:rsid w:val="00F643CD"/>
    <w:rPr>
      <w:color w:val="0563C1" w:themeColor="hyperlink"/>
      <w:u w:val="single"/>
    </w:rPr>
  </w:style>
  <w:style w:type="character" w:customStyle="1" w:styleId="volume">
    <w:name w:val="volume"/>
    <w:basedOn w:val="Standardskrifttypeiafsnit"/>
    <w:rsid w:val="00406EBD"/>
  </w:style>
  <w:style w:type="character" w:customStyle="1" w:styleId="apple-converted-space">
    <w:name w:val="apple-converted-space"/>
    <w:basedOn w:val="Standardskrifttypeiafsnit"/>
    <w:rsid w:val="00406EBD"/>
  </w:style>
  <w:style w:type="character" w:customStyle="1" w:styleId="numberofpages">
    <w:name w:val="numberofpages"/>
    <w:basedOn w:val="Standardskrifttypeiafsnit"/>
    <w:rsid w:val="00406EBD"/>
  </w:style>
  <w:style w:type="character" w:styleId="Ulstomtale">
    <w:name w:val="Unresolved Mention"/>
    <w:basedOn w:val="Standardskrifttypeiafsnit"/>
    <w:uiPriority w:val="99"/>
    <w:semiHidden/>
    <w:unhideWhenUsed/>
    <w:rsid w:val="005906C4"/>
    <w:rPr>
      <w:color w:val="605E5C"/>
      <w:shd w:val="clear" w:color="auto" w:fill="E1DFDD"/>
    </w:rPr>
  </w:style>
  <w:style w:type="character" w:styleId="BesgtLink">
    <w:name w:val="FollowedHyperlink"/>
    <w:basedOn w:val="Standardskrifttypeiafsnit"/>
    <w:uiPriority w:val="99"/>
    <w:semiHidden/>
    <w:unhideWhenUsed/>
    <w:rsid w:val="001A6276"/>
    <w:rPr>
      <w:color w:val="954F72" w:themeColor="followedHyperlink"/>
      <w:u w:val="single"/>
    </w:rPr>
  </w:style>
  <w:style w:type="character" w:customStyle="1" w:styleId="normaltextrun">
    <w:name w:val="normaltextrun"/>
    <w:basedOn w:val="Standardskrifttypeiafsnit"/>
    <w:rsid w:val="003372E7"/>
  </w:style>
  <w:style w:type="paragraph" w:styleId="Korrektur">
    <w:name w:val="Revision"/>
    <w:hidden/>
    <w:uiPriority w:val="99"/>
    <w:semiHidden/>
    <w:rsid w:val="0018727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4627">
      <w:bodyDiv w:val="1"/>
      <w:marLeft w:val="0"/>
      <w:marRight w:val="0"/>
      <w:marTop w:val="0"/>
      <w:marBottom w:val="0"/>
      <w:divBdr>
        <w:top w:val="none" w:sz="0" w:space="0" w:color="auto"/>
        <w:left w:val="none" w:sz="0" w:space="0" w:color="auto"/>
        <w:bottom w:val="none" w:sz="0" w:space="0" w:color="auto"/>
        <w:right w:val="none" w:sz="0" w:space="0" w:color="auto"/>
      </w:divBdr>
    </w:div>
    <w:div w:id="75446397">
      <w:bodyDiv w:val="1"/>
      <w:marLeft w:val="0"/>
      <w:marRight w:val="0"/>
      <w:marTop w:val="0"/>
      <w:marBottom w:val="0"/>
      <w:divBdr>
        <w:top w:val="none" w:sz="0" w:space="0" w:color="auto"/>
        <w:left w:val="none" w:sz="0" w:space="0" w:color="auto"/>
        <w:bottom w:val="none" w:sz="0" w:space="0" w:color="auto"/>
        <w:right w:val="none" w:sz="0" w:space="0" w:color="auto"/>
      </w:divBdr>
      <w:divsChild>
        <w:div w:id="909538255">
          <w:marLeft w:val="0"/>
          <w:marRight w:val="0"/>
          <w:marTop w:val="0"/>
          <w:marBottom w:val="0"/>
          <w:divBdr>
            <w:top w:val="none" w:sz="0" w:space="0" w:color="auto"/>
            <w:left w:val="none" w:sz="0" w:space="0" w:color="auto"/>
            <w:bottom w:val="none" w:sz="0" w:space="0" w:color="auto"/>
            <w:right w:val="none" w:sz="0" w:space="0" w:color="auto"/>
          </w:divBdr>
          <w:divsChild>
            <w:div w:id="1789859126">
              <w:marLeft w:val="0"/>
              <w:marRight w:val="0"/>
              <w:marTop w:val="0"/>
              <w:marBottom w:val="0"/>
              <w:divBdr>
                <w:top w:val="none" w:sz="0" w:space="0" w:color="auto"/>
                <w:left w:val="none" w:sz="0" w:space="0" w:color="auto"/>
                <w:bottom w:val="none" w:sz="0" w:space="0" w:color="auto"/>
                <w:right w:val="none" w:sz="0" w:space="0" w:color="auto"/>
              </w:divBdr>
              <w:divsChild>
                <w:div w:id="1227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4429">
      <w:bodyDiv w:val="1"/>
      <w:marLeft w:val="0"/>
      <w:marRight w:val="0"/>
      <w:marTop w:val="0"/>
      <w:marBottom w:val="0"/>
      <w:divBdr>
        <w:top w:val="none" w:sz="0" w:space="0" w:color="auto"/>
        <w:left w:val="none" w:sz="0" w:space="0" w:color="auto"/>
        <w:bottom w:val="none" w:sz="0" w:space="0" w:color="auto"/>
        <w:right w:val="none" w:sz="0" w:space="0" w:color="auto"/>
      </w:divBdr>
    </w:div>
    <w:div w:id="244608448">
      <w:bodyDiv w:val="1"/>
      <w:marLeft w:val="0"/>
      <w:marRight w:val="0"/>
      <w:marTop w:val="0"/>
      <w:marBottom w:val="0"/>
      <w:divBdr>
        <w:top w:val="none" w:sz="0" w:space="0" w:color="auto"/>
        <w:left w:val="none" w:sz="0" w:space="0" w:color="auto"/>
        <w:bottom w:val="none" w:sz="0" w:space="0" w:color="auto"/>
        <w:right w:val="none" w:sz="0" w:space="0" w:color="auto"/>
      </w:divBdr>
    </w:div>
    <w:div w:id="548960761">
      <w:bodyDiv w:val="1"/>
      <w:marLeft w:val="0"/>
      <w:marRight w:val="0"/>
      <w:marTop w:val="0"/>
      <w:marBottom w:val="0"/>
      <w:divBdr>
        <w:top w:val="none" w:sz="0" w:space="0" w:color="auto"/>
        <w:left w:val="none" w:sz="0" w:space="0" w:color="auto"/>
        <w:bottom w:val="none" w:sz="0" w:space="0" w:color="auto"/>
        <w:right w:val="none" w:sz="0" w:space="0" w:color="auto"/>
      </w:divBdr>
    </w:div>
    <w:div w:id="706181797">
      <w:bodyDiv w:val="1"/>
      <w:marLeft w:val="0"/>
      <w:marRight w:val="0"/>
      <w:marTop w:val="0"/>
      <w:marBottom w:val="0"/>
      <w:divBdr>
        <w:top w:val="none" w:sz="0" w:space="0" w:color="auto"/>
        <w:left w:val="none" w:sz="0" w:space="0" w:color="auto"/>
        <w:bottom w:val="none" w:sz="0" w:space="0" w:color="auto"/>
        <w:right w:val="none" w:sz="0" w:space="0" w:color="auto"/>
      </w:divBdr>
    </w:div>
    <w:div w:id="782697982">
      <w:bodyDiv w:val="1"/>
      <w:marLeft w:val="0"/>
      <w:marRight w:val="0"/>
      <w:marTop w:val="0"/>
      <w:marBottom w:val="0"/>
      <w:divBdr>
        <w:top w:val="none" w:sz="0" w:space="0" w:color="auto"/>
        <w:left w:val="none" w:sz="0" w:space="0" w:color="auto"/>
        <w:bottom w:val="none" w:sz="0" w:space="0" w:color="auto"/>
        <w:right w:val="none" w:sz="0" w:space="0" w:color="auto"/>
      </w:divBdr>
    </w:div>
    <w:div w:id="824320378">
      <w:bodyDiv w:val="1"/>
      <w:marLeft w:val="0"/>
      <w:marRight w:val="0"/>
      <w:marTop w:val="0"/>
      <w:marBottom w:val="0"/>
      <w:divBdr>
        <w:top w:val="none" w:sz="0" w:space="0" w:color="auto"/>
        <w:left w:val="none" w:sz="0" w:space="0" w:color="auto"/>
        <w:bottom w:val="none" w:sz="0" w:space="0" w:color="auto"/>
        <w:right w:val="none" w:sz="0" w:space="0" w:color="auto"/>
      </w:divBdr>
    </w:div>
    <w:div w:id="879171475">
      <w:bodyDiv w:val="1"/>
      <w:marLeft w:val="0"/>
      <w:marRight w:val="0"/>
      <w:marTop w:val="0"/>
      <w:marBottom w:val="0"/>
      <w:divBdr>
        <w:top w:val="none" w:sz="0" w:space="0" w:color="auto"/>
        <w:left w:val="none" w:sz="0" w:space="0" w:color="auto"/>
        <w:bottom w:val="none" w:sz="0" w:space="0" w:color="auto"/>
        <w:right w:val="none" w:sz="0" w:space="0" w:color="auto"/>
      </w:divBdr>
    </w:div>
    <w:div w:id="882596806">
      <w:bodyDiv w:val="1"/>
      <w:marLeft w:val="0"/>
      <w:marRight w:val="0"/>
      <w:marTop w:val="0"/>
      <w:marBottom w:val="0"/>
      <w:divBdr>
        <w:top w:val="none" w:sz="0" w:space="0" w:color="auto"/>
        <w:left w:val="none" w:sz="0" w:space="0" w:color="auto"/>
        <w:bottom w:val="none" w:sz="0" w:space="0" w:color="auto"/>
        <w:right w:val="none" w:sz="0" w:space="0" w:color="auto"/>
      </w:divBdr>
    </w:div>
    <w:div w:id="950360373">
      <w:bodyDiv w:val="1"/>
      <w:marLeft w:val="0"/>
      <w:marRight w:val="0"/>
      <w:marTop w:val="0"/>
      <w:marBottom w:val="0"/>
      <w:divBdr>
        <w:top w:val="none" w:sz="0" w:space="0" w:color="auto"/>
        <w:left w:val="none" w:sz="0" w:space="0" w:color="auto"/>
        <w:bottom w:val="none" w:sz="0" w:space="0" w:color="auto"/>
        <w:right w:val="none" w:sz="0" w:space="0" w:color="auto"/>
      </w:divBdr>
    </w:div>
    <w:div w:id="1081440613">
      <w:bodyDiv w:val="1"/>
      <w:marLeft w:val="0"/>
      <w:marRight w:val="0"/>
      <w:marTop w:val="0"/>
      <w:marBottom w:val="0"/>
      <w:divBdr>
        <w:top w:val="none" w:sz="0" w:space="0" w:color="auto"/>
        <w:left w:val="none" w:sz="0" w:space="0" w:color="auto"/>
        <w:bottom w:val="none" w:sz="0" w:space="0" w:color="auto"/>
        <w:right w:val="none" w:sz="0" w:space="0" w:color="auto"/>
      </w:divBdr>
    </w:div>
    <w:div w:id="1103840666">
      <w:bodyDiv w:val="1"/>
      <w:marLeft w:val="0"/>
      <w:marRight w:val="0"/>
      <w:marTop w:val="0"/>
      <w:marBottom w:val="0"/>
      <w:divBdr>
        <w:top w:val="none" w:sz="0" w:space="0" w:color="auto"/>
        <w:left w:val="none" w:sz="0" w:space="0" w:color="auto"/>
        <w:bottom w:val="none" w:sz="0" w:space="0" w:color="auto"/>
        <w:right w:val="none" w:sz="0" w:space="0" w:color="auto"/>
      </w:divBdr>
    </w:div>
    <w:div w:id="1125543555">
      <w:bodyDiv w:val="1"/>
      <w:marLeft w:val="0"/>
      <w:marRight w:val="0"/>
      <w:marTop w:val="0"/>
      <w:marBottom w:val="0"/>
      <w:divBdr>
        <w:top w:val="none" w:sz="0" w:space="0" w:color="auto"/>
        <w:left w:val="none" w:sz="0" w:space="0" w:color="auto"/>
        <w:bottom w:val="none" w:sz="0" w:space="0" w:color="auto"/>
        <w:right w:val="none" w:sz="0" w:space="0" w:color="auto"/>
      </w:divBdr>
    </w:div>
    <w:div w:id="1218475732">
      <w:bodyDiv w:val="1"/>
      <w:marLeft w:val="0"/>
      <w:marRight w:val="0"/>
      <w:marTop w:val="0"/>
      <w:marBottom w:val="0"/>
      <w:divBdr>
        <w:top w:val="none" w:sz="0" w:space="0" w:color="auto"/>
        <w:left w:val="none" w:sz="0" w:space="0" w:color="auto"/>
        <w:bottom w:val="none" w:sz="0" w:space="0" w:color="auto"/>
        <w:right w:val="none" w:sz="0" w:space="0" w:color="auto"/>
      </w:divBdr>
    </w:div>
    <w:div w:id="1366251003">
      <w:bodyDiv w:val="1"/>
      <w:marLeft w:val="0"/>
      <w:marRight w:val="0"/>
      <w:marTop w:val="0"/>
      <w:marBottom w:val="0"/>
      <w:divBdr>
        <w:top w:val="none" w:sz="0" w:space="0" w:color="auto"/>
        <w:left w:val="none" w:sz="0" w:space="0" w:color="auto"/>
        <w:bottom w:val="none" w:sz="0" w:space="0" w:color="auto"/>
        <w:right w:val="none" w:sz="0" w:space="0" w:color="auto"/>
      </w:divBdr>
    </w:div>
    <w:div w:id="1388257223">
      <w:bodyDiv w:val="1"/>
      <w:marLeft w:val="0"/>
      <w:marRight w:val="0"/>
      <w:marTop w:val="0"/>
      <w:marBottom w:val="0"/>
      <w:divBdr>
        <w:top w:val="none" w:sz="0" w:space="0" w:color="auto"/>
        <w:left w:val="none" w:sz="0" w:space="0" w:color="auto"/>
        <w:bottom w:val="none" w:sz="0" w:space="0" w:color="auto"/>
        <w:right w:val="none" w:sz="0" w:space="0" w:color="auto"/>
      </w:divBdr>
      <w:divsChild>
        <w:div w:id="407847055">
          <w:marLeft w:val="0"/>
          <w:marRight w:val="0"/>
          <w:marTop w:val="0"/>
          <w:marBottom w:val="0"/>
          <w:divBdr>
            <w:top w:val="none" w:sz="0" w:space="0" w:color="auto"/>
            <w:left w:val="none" w:sz="0" w:space="0" w:color="auto"/>
            <w:bottom w:val="none" w:sz="0" w:space="0" w:color="auto"/>
            <w:right w:val="none" w:sz="0" w:space="0" w:color="auto"/>
          </w:divBdr>
        </w:div>
      </w:divsChild>
    </w:div>
    <w:div w:id="1425343136">
      <w:bodyDiv w:val="1"/>
      <w:marLeft w:val="0"/>
      <w:marRight w:val="0"/>
      <w:marTop w:val="0"/>
      <w:marBottom w:val="0"/>
      <w:divBdr>
        <w:top w:val="none" w:sz="0" w:space="0" w:color="auto"/>
        <w:left w:val="none" w:sz="0" w:space="0" w:color="auto"/>
        <w:bottom w:val="none" w:sz="0" w:space="0" w:color="auto"/>
        <w:right w:val="none" w:sz="0" w:space="0" w:color="auto"/>
      </w:divBdr>
    </w:div>
    <w:div w:id="1447113146">
      <w:bodyDiv w:val="1"/>
      <w:marLeft w:val="0"/>
      <w:marRight w:val="0"/>
      <w:marTop w:val="0"/>
      <w:marBottom w:val="0"/>
      <w:divBdr>
        <w:top w:val="none" w:sz="0" w:space="0" w:color="auto"/>
        <w:left w:val="none" w:sz="0" w:space="0" w:color="auto"/>
        <w:bottom w:val="none" w:sz="0" w:space="0" w:color="auto"/>
        <w:right w:val="none" w:sz="0" w:space="0" w:color="auto"/>
      </w:divBdr>
    </w:div>
    <w:div w:id="1641155024">
      <w:bodyDiv w:val="1"/>
      <w:marLeft w:val="0"/>
      <w:marRight w:val="0"/>
      <w:marTop w:val="0"/>
      <w:marBottom w:val="0"/>
      <w:divBdr>
        <w:top w:val="none" w:sz="0" w:space="0" w:color="auto"/>
        <w:left w:val="none" w:sz="0" w:space="0" w:color="auto"/>
        <w:bottom w:val="none" w:sz="0" w:space="0" w:color="auto"/>
        <w:right w:val="none" w:sz="0" w:space="0" w:color="auto"/>
      </w:divBdr>
    </w:div>
    <w:div w:id="1649826504">
      <w:bodyDiv w:val="1"/>
      <w:marLeft w:val="0"/>
      <w:marRight w:val="0"/>
      <w:marTop w:val="0"/>
      <w:marBottom w:val="0"/>
      <w:divBdr>
        <w:top w:val="none" w:sz="0" w:space="0" w:color="auto"/>
        <w:left w:val="none" w:sz="0" w:space="0" w:color="auto"/>
        <w:bottom w:val="none" w:sz="0" w:space="0" w:color="auto"/>
        <w:right w:val="none" w:sz="0" w:space="0" w:color="auto"/>
      </w:divBdr>
    </w:div>
    <w:div w:id="1672635756">
      <w:bodyDiv w:val="1"/>
      <w:marLeft w:val="0"/>
      <w:marRight w:val="0"/>
      <w:marTop w:val="0"/>
      <w:marBottom w:val="0"/>
      <w:divBdr>
        <w:top w:val="none" w:sz="0" w:space="0" w:color="auto"/>
        <w:left w:val="none" w:sz="0" w:space="0" w:color="auto"/>
        <w:bottom w:val="none" w:sz="0" w:space="0" w:color="auto"/>
        <w:right w:val="none" w:sz="0" w:space="0" w:color="auto"/>
      </w:divBdr>
    </w:div>
    <w:div w:id="1730181658">
      <w:bodyDiv w:val="1"/>
      <w:marLeft w:val="0"/>
      <w:marRight w:val="0"/>
      <w:marTop w:val="0"/>
      <w:marBottom w:val="0"/>
      <w:divBdr>
        <w:top w:val="none" w:sz="0" w:space="0" w:color="auto"/>
        <w:left w:val="none" w:sz="0" w:space="0" w:color="auto"/>
        <w:bottom w:val="none" w:sz="0" w:space="0" w:color="auto"/>
        <w:right w:val="none" w:sz="0" w:space="0" w:color="auto"/>
      </w:divBdr>
    </w:div>
    <w:div w:id="2081050201">
      <w:bodyDiv w:val="1"/>
      <w:marLeft w:val="0"/>
      <w:marRight w:val="0"/>
      <w:marTop w:val="0"/>
      <w:marBottom w:val="0"/>
      <w:divBdr>
        <w:top w:val="none" w:sz="0" w:space="0" w:color="auto"/>
        <w:left w:val="none" w:sz="0" w:space="0" w:color="auto"/>
        <w:bottom w:val="none" w:sz="0" w:space="0" w:color="auto"/>
        <w:right w:val="none" w:sz="0" w:space="0" w:color="auto"/>
      </w:divBdr>
    </w:div>
    <w:div w:id="2085443161">
      <w:bodyDiv w:val="1"/>
      <w:marLeft w:val="0"/>
      <w:marRight w:val="0"/>
      <w:marTop w:val="0"/>
      <w:marBottom w:val="0"/>
      <w:divBdr>
        <w:top w:val="none" w:sz="0" w:space="0" w:color="auto"/>
        <w:left w:val="none" w:sz="0" w:space="0" w:color="auto"/>
        <w:bottom w:val="none" w:sz="0" w:space="0" w:color="auto"/>
        <w:right w:val="none" w:sz="0" w:space="0" w:color="auto"/>
      </w:divBdr>
      <w:divsChild>
        <w:div w:id="1967933435">
          <w:marLeft w:val="0"/>
          <w:marRight w:val="0"/>
          <w:marTop w:val="0"/>
          <w:marBottom w:val="0"/>
          <w:divBdr>
            <w:top w:val="none" w:sz="0" w:space="0" w:color="auto"/>
            <w:left w:val="none" w:sz="0" w:space="0" w:color="auto"/>
            <w:bottom w:val="none" w:sz="0" w:space="0" w:color="auto"/>
            <w:right w:val="none" w:sz="0" w:space="0" w:color="auto"/>
          </w:divBdr>
        </w:div>
      </w:divsChild>
    </w:div>
    <w:div w:id="209998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retsinformation.dk/eli/lta/2020/973" TargetMode="External"/><Relationship Id="rId39" Type="http://schemas.openxmlformats.org/officeDocument/2006/relationships/hyperlink" Target="https://doi.org/10.1016/j.enpol.2018.01.002" TargetMode="External"/><Relationship Id="rId21" Type="http://schemas.openxmlformats.org/officeDocument/2006/relationships/image" Target="media/image4.emf"/><Relationship Id="rId34" Type="http://schemas.openxmlformats.org/officeDocument/2006/relationships/hyperlink" Target="http://dx.doi.org.zorac.aub.aau.dk/10.1007/s11069-015-2089-8" TargetMode="External"/><Relationship Id="rId42" Type="http://schemas.openxmlformats.org/officeDocument/2006/relationships/hyperlink" Target="https://doi.org/10.1016/J.SPC.2019.05.002" TargetMode="External"/><Relationship Id="rId47" Type="http://schemas.openxmlformats.org/officeDocument/2006/relationships/hyperlink" Target="https://doi.org/10.3126/hn.v24i0.23585" TargetMode="External"/><Relationship Id="rId50" Type="http://schemas.openxmlformats.org/officeDocument/2006/relationships/hyperlink" Target="https://sustainabledevelopment.un.org/post2015/transformingourworld"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planinfo.erhvervsstyrelsen.dk/sites/default/files/media/vvm_etape_3_skagenhavnsamlet.pdf" TargetMode="External"/><Relationship Id="rId11" Type="http://schemas.openxmlformats.org/officeDocument/2006/relationships/hyperlink" Target="http://www.tandfonline.com/10.1080/14615517.2021.1930832" TargetMode="External"/><Relationship Id="rId24" Type="http://schemas.openxmlformats.org/officeDocument/2006/relationships/image" Target="media/image7.emf"/><Relationship Id="rId32" Type="http://schemas.openxmlformats.org/officeDocument/2006/relationships/hyperlink" Target="https://planinfo.erhvervsstyrelsen.dk/sites/default/files/media/miljoekonsekvensrapport_tuborg_syd_inkl_bilag.pdf" TargetMode="External"/><Relationship Id="rId37" Type="http://schemas.openxmlformats.org/officeDocument/2006/relationships/hyperlink" Target="https://doi.org/10.3152/147154605781765427" TargetMode="External"/><Relationship Id="rId40" Type="http://schemas.openxmlformats.org/officeDocument/2006/relationships/hyperlink" Target="https://sfx.aub.aau.dk/sfxaub?sid=pureportal&amp;doi=10.1080/14615517.2013.795694" TargetMode="External"/><Relationship Id="rId45" Type="http://schemas.openxmlformats.org/officeDocument/2006/relationships/hyperlink" Target="https://doi.org/https://doi.org/10.1007/978-94-011-2528-4_17"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2.emf"/><Relationship Id="rId31" Type="http://schemas.openxmlformats.org/officeDocument/2006/relationships/hyperlink" Target="https://mst.dk/media/167709/20181102-vestforbraending-bilag-f.pdf" TargetMode="External"/><Relationship Id="rId44" Type="http://schemas.openxmlformats.org/officeDocument/2006/relationships/hyperlink" Target="https://doi.org/10.1016/j.envsci.2017.09.003" TargetMode="External"/><Relationship Id="rId52" Type="http://schemas.openxmlformats.org/officeDocument/2006/relationships/hyperlink" Target="https://doi-org.zorac.aub.aau.dk/10.1016/j.jenvman.2012.10.03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5.emf"/><Relationship Id="rId27" Type="http://schemas.openxmlformats.org/officeDocument/2006/relationships/hyperlink" Target="http://www.undp.org/content/dam/undp/library/Environment%20and%20Energy/sustainable%20land%20management/Environmental_Dimensions_of_SDGs_in_Asia.pdf" TargetMode="External"/><Relationship Id="rId30" Type="http://schemas.openxmlformats.org/officeDocument/2006/relationships/hyperlink" Target="https://dokument.plandata.dk/12_9400131_1531392736929.pdf" TargetMode="External"/><Relationship Id="rId35" Type="http://schemas.openxmlformats.org/officeDocument/2006/relationships/hyperlink" Target="https://doi.org/10.1080/14615517.2018.1477469" TargetMode="External"/><Relationship Id="rId43" Type="http://schemas.openxmlformats.org/officeDocument/2006/relationships/hyperlink" Target="https://doi.org/10.1080/14615517.2019.1677089" TargetMode="External"/><Relationship Id="rId48" Type="http://schemas.openxmlformats.org/officeDocument/2006/relationships/hyperlink" Target="https://doi.org/10.1007/s11625-016-0383-3" TargetMode="External"/><Relationship Id="rId8" Type="http://schemas.openxmlformats.org/officeDocument/2006/relationships/webSettings" Target="webSettings.xml"/><Relationship Id="rId51" Type="http://schemas.openxmlformats.org/officeDocument/2006/relationships/hyperlink" Target="https://doi.org/10.1016/J.EIAR.2017.05.002" TargetMode="Externa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image" Target="media/image8.emf"/><Relationship Id="rId33" Type="http://schemas.openxmlformats.org/officeDocument/2006/relationships/hyperlink" Target="https://planinfo.erhvervsstyrelsen.dk/sites/default/files/media/miljoekonsekvensrapport_samt_meddelt_miljoegodkendelse.pdf" TargetMode="External"/><Relationship Id="rId38" Type="http://schemas.openxmlformats.org/officeDocument/2006/relationships/hyperlink" Target="https://vbn.aau.dk/ws/files/262085253/Larsen_et_al_2015_VBN_version.pdf" TargetMode="External"/><Relationship Id="rId46" Type="http://schemas.openxmlformats.org/officeDocument/2006/relationships/hyperlink" Target="https://doi.org/10.1016/j.jenvman.2019.02.096" TargetMode="External"/><Relationship Id="rId20" Type="http://schemas.openxmlformats.org/officeDocument/2006/relationships/image" Target="media/image3.emf"/><Relationship Id="rId41" Type="http://schemas.openxmlformats.org/officeDocument/2006/relationships/hyperlink" Target="http://dx.doi.org/10.1080/1523908x.2015.1053438"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image" Target="media/image6.emf"/><Relationship Id="rId28" Type="http://schemas.openxmlformats.org/officeDocument/2006/relationships/hyperlink" Target="https://doi.org/https://doi.org/10.1186/s40965-016-0005-0https://doi.org/10.1186/s40965-016-0005-0" TargetMode="External"/><Relationship Id="rId36" Type="http://schemas.openxmlformats.org/officeDocument/2006/relationships/hyperlink" Target="https://doi.org/10.1016/j.eiar.2018.05.009" TargetMode="External"/><Relationship Id="rId49" Type="http://schemas.openxmlformats.org/officeDocument/2006/relationships/hyperlink" Target="http://www.stockholmresilience.org/research/research-news/2017-02-28-contributions-to-agenda-203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8CF0C71F34A3C4E947F18B56310E837" ma:contentTypeVersion="13" ma:contentTypeDescription="Opret et nyt dokument." ma:contentTypeScope="" ma:versionID="b91d3fb0c279ea4dd704b00f1aa08b84">
  <xsd:schema xmlns:xsd="http://www.w3.org/2001/XMLSchema" xmlns:xs="http://www.w3.org/2001/XMLSchema" xmlns:p="http://schemas.microsoft.com/office/2006/metadata/properties" xmlns:ns3="8ec8f80e-5250-4c5e-9350-55c34e6f8f9a" xmlns:ns4="415e5320-9a77-43ab-ae22-217f8fd3ea02" targetNamespace="http://schemas.microsoft.com/office/2006/metadata/properties" ma:root="true" ma:fieldsID="bb07a0deeb019afd20403c006879bfba" ns3:_="" ns4:_="">
    <xsd:import namespace="8ec8f80e-5250-4c5e-9350-55c34e6f8f9a"/>
    <xsd:import namespace="415e5320-9a77-43ab-ae22-217f8fd3ea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8f80e-5250-4c5e-9350-55c34e6f8f9a"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SharingHintHash" ma:index="10" nillable="true" ma:displayName="Hashværdi for deling"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e5320-9a77-43ab-ae22-217f8fd3ea0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2F6D0C-799C-483A-8A6E-00F4DFCF6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c8f80e-5250-4c5e-9350-55c34e6f8f9a"/>
    <ds:schemaRef ds:uri="415e5320-9a77-43ab-ae22-217f8fd3e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8CEA80-9D7D-4540-800F-5BC33617F5EE}">
  <ds:schemaRefs>
    <ds:schemaRef ds:uri="http://schemas.openxmlformats.org/officeDocument/2006/bibliography"/>
  </ds:schemaRefs>
</ds:datastoreItem>
</file>

<file path=customXml/itemProps3.xml><?xml version="1.0" encoding="utf-8"?>
<ds:datastoreItem xmlns:ds="http://schemas.openxmlformats.org/officeDocument/2006/customXml" ds:itemID="{A2C49686-15D5-402A-81A9-3FA5B9E9C9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7AC842-BB79-4411-9F06-259B580109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19</Pages>
  <Words>7396</Words>
  <Characters>45121</Characters>
  <Application>Microsoft Office Word</Application>
  <DocSecurity>0</DocSecurity>
  <Lines>376</Lines>
  <Paragraphs>104</Paragraphs>
  <ScaleCrop>false</ScaleCrop>
  <Company/>
  <LinksUpToDate>false</LinksUpToDate>
  <CharactersWithSpaces>52413</CharactersWithSpaces>
  <SharedDoc>false</SharedDoc>
  <HLinks>
    <vt:vector size="114" baseType="variant">
      <vt:variant>
        <vt:i4>3997749</vt:i4>
      </vt:variant>
      <vt:variant>
        <vt:i4>129</vt:i4>
      </vt:variant>
      <vt:variant>
        <vt:i4>0</vt:i4>
      </vt:variant>
      <vt:variant>
        <vt:i4>5</vt:i4>
      </vt:variant>
      <vt:variant>
        <vt:lpwstr>https://doi.org/10.1016/J.EIAR.2017.05.002</vt:lpwstr>
      </vt:variant>
      <vt:variant>
        <vt:lpwstr/>
      </vt:variant>
      <vt:variant>
        <vt:i4>6750261</vt:i4>
      </vt:variant>
      <vt:variant>
        <vt:i4>126</vt:i4>
      </vt:variant>
      <vt:variant>
        <vt:i4>0</vt:i4>
      </vt:variant>
      <vt:variant>
        <vt:i4>5</vt:i4>
      </vt:variant>
      <vt:variant>
        <vt:lpwstr>https://sustainabledevelopment.un.org/post2015/transformingourworld</vt:lpwstr>
      </vt:variant>
      <vt:variant>
        <vt:lpwstr/>
      </vt:variant>
      <vt:variant>
        <vt:i4>6881392</vt:i4>
      </vt:variant>
      <vt:variant>
        <vt:i4>123</vt:i4>
      </vt:variant>
      <vt:variant>
        <vt:i4>0</vt:i4>
      </vt:variant>
      <vt:variant>
        <vt:i4>5</vt:i4>
      </vt:variant>
      <vt:variant>
        <vt:lpwstr>http://www.stockholmresilience.org/research/research-news/2017-02-28-contributions-to-agenda-2030.html</vt:lpwstr>
      </vt:variant>
      <vt:variant>
        <vt:lpwstr/>
      </vt:variant>
      <vt:variant>
        <vt:i4>131100</vt:i4>
      </vt:variant>
      <vt:variant>
        <vt:i4>120</vt:i4>
      </vt:variant>
      <vt:variant>
        <vt:i4>0</vt:i4>
      </vt:variant>
      <vt:variant>
        <vt:i4>5</vt:i4>
      </vt:variant>
      <vt:variant>
        <vt:lpwstr>https://doi.org/10.1007/s11625-016-0383-3</vt:lpwstr>
      </vt:variant>
      <vt:variant>
        <vt:lpwstr/>
      </vt:variant>
      <vt:variant>
        <vt:i4>3997797</vt:i4>
      </vt:variant>
      <vt:variant>
        <vt:i4>117</vt:i4>
      </vt:variant>
      <vt:variant>
        <vt:i4>0</vt:i4>
      </vt:variant>
      <vt:variant>
        <vt:i4>5</vt:i4>
      </vt:variant>
      <vt:variant>
        <vt:lpwstr>https://doi.org/10.3126/hn.v24i0.23585</vt:lpwstr>
      </vt:variant>
      <vt:variant>
        <vt:lpwstr/>
      </vt:variant>
      <vt:variant>
        <vt:i4>5111838</vt:i4>
      </vt:variant>
      <vt:variant>
        <vt:i4>114</vt:i4>
      </vt:variant>
      <vt:variant>
        <vt:i4>0</vt:i4>
      </vt:variant>
      <vt:variant>
        <vt:i4>5</vt:i4>
      </vt:variant>
      <vt:variant>
        <vt:lpwstr>https://doi.org/10.1016/j.jenvman.2019.02.096</vt:lpwstr>
      </vt:variant>
      <vt:variant>
        <vt:lpwstr/>
      </vt:variant>
      <vt:variant>
        <vt:i4>7602201</vt:i4>
      </vt:variant>
      <vt:variant>
        <vt:i4>111</vt:i4>
      </vt:variant>
      <vt:variant>
        <vt:i4>0</vt:i4>
      </vt:variant>
      <vt:variant>
        <vt:i4>5</vt:i4>
      </vt:variant>
      <vt:variant>
        <vt:lpwstr>https://doi.org/https://doi.org/10.1007/978-94-011-2528-4_17</vt:lpwstr>
      </vt:variant>
      <vt:variant>
        <vt:lpwstr/>
      </vt:variant>
      <vt:variant>
        <vt:i4>6225985</vt:i4>
      </vt:variant>
      <vt:variant>
        <vt:i4>108</vt:i4>
      </vt:variant>
      <vt:variant>
        <vt:i4>0</vt:i4>
      </vt:variant>
      <vt:variant>
        <vt:i4>5</vt:i4>
      </vt:variant>
      <vt:variant>
        <vt:lpwstr>https://doi.org/10.1016/j.envsci.2017.09.003</vt:lpwstr>
      </vt:variant>
      <vt:variant>
        <vt:lpwstr/>
      </vt:variant>
      <vt:variant>
        <vt:i4>524360</vt:i4>
      </vt:variant>
      <vt:variant>
        <vt:i4>105</vt:i4>
      </vt:variant>
      <vt:variant>
        <vt:i4>0</vt:i4>
      </vt:variant>
      <vt:variant>
        <vt:i4>5</vt:i4>
      </vt:variant>
      <vt:variant>
        <vt:lpwstr>https://doi.org/10.1080/14615517.2019.1677089</vt:lpwstr>
      </vt:variant>
      <vt:variant>
        <vt:lpwstr/>
      </vt:variant>
      <vt:variant>
        <vt:i4>4521998</vt:i4>
      </vt:variant>
      <vt:variant>
        <vt:i4>102</vt:i4>
      </vt:variant>
      <vt:variant>
        <vt:i4>0</vt:i4>
      </vt:variant>
      <vt:variant>
        <vt:i4>5</vt:i4>
      </vt:variant>
      <vt:variant>
        <vt:lpwstr>https://doi.org/10.1016/J.SPC.2019.05.002</vt:lpwstr>
      </vt:variant>
      <vt:variant>
        <vt:lpwstr/>
      </vt:variant>
      <vt:variant>
        <vt:i4>3473507</vt:i4>
      </vt:variant>
      <vt:variant>
        <vt:i4>99</vt:i4>
      </vt:variant>
      <vt:variant>
        <vt:i4>0</vt:i4>
      </vt:variant>
      <vt:variant>
        <vt:i4>5</vt:i4>
      </vt:variant>
      <vt:variant>
        <vt:lpwstr>https://doi.org/10.1016/j.enpol.2018.01.002</vt:lpwstr>
      </vt:variant>
      <vt:variant>
        <vt:lpwstr/>
      </vt:variant>
      <vt:variant>
        <vt:i4>5439540</vt:i4>
      </vt:variant>
      <vt:variant>
        <vt:i4>96</vt:i4>
      </vt:variant>
      <vt:variant>
        <vt:i4>0</vt:i4>
      </vt:variant>
      <vt:variant>
        <vt:i4>5</vt:i4>
      </vt:variant>
      <vt:variant>
        <vt:lpwstr>https://vbn.aau.dk/ws/files/262085253/Larsen_et_al_2015_VBN_version.pdf</vt:lpwstr>
      </vt:variant>
      <vt:variant>
        <vt:lpwstr/>
      </vt:variant>
      <vt:variant>
        <vt:i4>2490465</vt:i4>
      </vt:variant>
      <vt:variant>
        <vt:i4>93</vt:i4>
      </vt:variant>
      <vt:variant>
        <vt:i4>0</vt:i4>
      </vt:variant>
      <vt:variant>
        <vt:i4>5</vt:i4>
      </vt:variant>
      <vt:variant>
        <vt:lpwstr>https://doi.org/10.3152/147154605781765427</vt:lpwstr>
      </vt:variant>
      <vt:variant>
        <vt:lpwstr/>
      </vt:variant>
      <vt:variant>
        <vt:i4>3539002</vt:i4>
      </vt:variant>
      <vt:variant>
        <vt:i4>90</vt:i4>
      </vt:variant>
      <vt:variant>
        <vt:i4>0</vt:i4>
      </vt:variant>
      <vt:variant>
        <vt:i4>5</vt:i4>
      </vt:variant>
      <vt:variant>
        <vt:lpwstr>https://doi.org/10.1016/j.eiar.2018.05.009</vt:lpwstr>
      </vt:variant>
      <vt:variant>
        <vt:lpwstr/>
      </vt:variant>
      <vt:variant>
        <vt:i4>262221</vt:i4>
      </vt:variant>
      <vt:variant>
        <vt:i4>87</vt:i4>
      </vt:variant>
      <vt:variant>
        <vt:i4>0</vt:i4>
      </vt:variant>
      <vt:variant>
        <vt:i4>5</vt:i4>
      </vt:variant>
      <vt:variant>
        <vt:lpwstr>https://doi.org/10.1080/14615517.2018.1477469</vt:lpwstr>
      </vt:variant>
      <vt:variant>
        <vt:lpwstr/>
      </vt:variant>
      <vt:variant>
        <vt:i4>5177415</vt:i4>
      </vt:variant>
      <vt:variant>
        <vt:i4>84</vt:i4>
      </vt:variant>
      <vt:variant>
        <vt:i4>0</vt:i4>
      </vt:variant>
      <vt:variant>
        <vt:i4>5</vt:i4>
      </vt:variant>
      <vt:variant>
        <vt:lpwstr>http://dx.doi.org.zorac.aub.aau.dk/10.1007/s11069-015-2089-8</vt:lpwstr>
      </vt:variant>
      <vt:variant>
        <vt:lpwstr/>
      </vt:variant>
      <vt:variant>
        <vt:i4>2687073</vt:i4>
      </vt:variant>
      <vt:variant>
        <vt:i4>81</vt:i4>
      </vt:variant>
      <vt:variant>
        <vt:i4>0</vt:i4>
      </vt:variant>
      <vt:variant>
        <vt:i4>5</vt:i4>
      </vt:variant>
      <vt:variant>
        <vt:lpwstr>https://doi.org/https://doi.org/10.1186/s40965-016-0005-0https://doi.org/10.1186/s40965-016-0005-0</vt:lpwstr>
      </vt:variant>
      <vt:variant>
        <vt:lpwstr/>
      </vt:variant>
      <vt:variant>
        <vt:i4>2949209</vt:i4>
      </vt:variant>
      <vt:variant>
        <vt:i4>78</vt:i4>
      </vt:variant>
      <vt:variant>
        <vt:i4>0</vt:i4>
      </vt:variant>
      <vt:variant>
        <vt:i4>5</vt:i4>
      </vt:variant>
      <vt:variant>
        <vt:lpwstr>http://www.undp.org/content/dam/undp/library/Environment and Energy/sustainable land management/Environmental_Dimensions_of_SDGs_in_Asia.pdf</vt:lpwstr>
      </vt:variant>
      <vt:variant>
        <vt:lpwstr/>
      </vt:variant>
      <vt:variant>
        <vt:i4>7667767</vt:i4>
      </vt:variant>
      <vt:variant>
        <vt:i4>75</vt:i4>
      </vt:variant>
      <vt:variant>
        <vt:i4>0</vt:i4>
      </vt:variant>
      <vt:variant>
        <vt:i4>5</vt:i4>
      </vt:variant>
      <vt:variant>
        <vt:lpwstr>https://www.retsinformation.dk/eli/lta/2020/973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Ravn Bøss</dc:creator>
  <cp:keywords/>
  <dc:description/>
  <cp:lastModifiedBy>Emilia Ravn Bøss</cp:lastModifiedBy>
  <cp:revision>360</cp:revision>
  <dcterms:created xsi:type="dcterms:W3CDTF">2020-11-12T09:34:00Z</dcterms:created>
  <dcterms:modified xsi:type="dcterms:W3CDTF">2022-02-04T13:19:00Z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0x010100C8CF0C71F34A3C4E947F18B56310E837</vt:lpwstr>
  </property>
</Properties>
</file>