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4D75A" w14:textId="77777777" w:rsidR="00546CF4" w:rsidRDefault="00546CF4" w:rsidP="00677815">
      <w:pPr>
        <w:spacing w:line="276" w:lineRule="auto"/>
        <w:rPr>
          <w:lang w:val="en-US"/>
        </w:rPr>
      </w:pPr>
      <w:r>
        <w:rPr>
          <w:lang w:val="en-US"/>
        </w:rPr>
        <w:t xml:space="preserve">FOR SPECIAL ISSUE OF </w:t>
      </w:r>
      <w:r w:rsidRPr="00546CF4">
        <w:rPr>
          <w:i/>
          <w:lang w:val="en-US"/>
        </w:rPr>
        <w:t>TRANSACTIONS OF THE CHARLES S. PEIRCE SOCIETY</w:t>
      </w:r>
      <w:r>
        <w:rPr>
          <w:lang w:val="en-US"/>
        </w:rPr>
        <w:t>, 2020</w:t>
      </w:r>
    </w:p>
    <w:p w14:paraId="53E67C53" w14:textId="77777777" w:rsidR="00546CF4" w:rsidRDefault="00546CF4" w:rsidP="00677815">
      <w:pPr>
        <w:spacing w:line="276" w:lineRule="auto"/>
        <w:rPr>
          <w:lang w:val="en-US"/>
        </w:rPr>
      </w:pPr>
    </w:p>
    <w:p w14:paraId="4C3C53D1" w14:textId="77777777" w:rsidR="00583D22" w:rsidRPr="003C0B0E" w:rsidRDefault="004F367A" w:rsidP="00677815">
      <w:pPr>
        <w:spacing w:line="276" w:lineRule="auto"/>
        <w:rPr>
          <w:lang w:val="en-US"/>
        </w:rPr>
      </w:pPr>
      <w:r w:rsidRPr="003C0B0E">
        <w:rPr>
          <w:lang w:val="en-US"/>
        </w:rPr>
        <w:t xml:space="preserve">Peirce’s </w:t>
      </w:r>
      <w:r w:rsidR="00355A22">
        <w:rPr>
          <w:lang w:val="en-US"/>
        </w:rPr>
        <w:t>T</w:t>
      </w:r>
      <w:r w:rsidRPr="003C0B0E">
        <w:rPr>
          <w:lang w:val="en-US"/>
        </w:rPr>
        <w:t>heories of Assertion</w:t>
      </w:r>
    </w:p>
    <w:p w14:paraId="416866B2" w14:textId="77777777" w:rsidR="004F367A" w:rsidRPr="003C0B0E" w:rsidRDefault="004F367A" w:rsidP="00677815">
      <w:pPr>
        <w:spacing w:line="276" w:lineRule="auto"/>
        <w:rPr>
          <w:lang w:val="en-US"/>
        </w:rPr>
      </w:pPr>
    </w:p>
    <w:p w14:paraId="5D389879" w14:textId="77777777" w:rsidR="004F367A" w:rsidRPr="003C0B0E" w:rsidRDefault="004F367A" w:rsidP="00677815">
      <w:pPr>
        <w:spacing w:line="276" w:lineRule="auto"/>
        <w:rPr>
          <w:lang w:val="en-US"/>
        </w:rPr>
      </w:pPr>
      <w:r w:rsidRPr="003C0B0E">
        <w:rPr>
          <w:lang w:val="en-US"/>
        </w:rPr>
        <w:t xml:space="preserve">Frederik </w:t>
      </w:r>
      <w:proofErr w:type="spellStart"/>
      <w:r w:rsidRPr="003C0B0E">
        <w:rPr>
          <w:lang w:val="en-US"/>
        </w:rPr>
        <w:t>Stjernfelt</w:t>
      </w:r>
      <w:proofErr w:type="spellEnd"/>
    </w:p>
    <w:p w14:paraId="5F3E43AE" w14:textId="77777777" w:rsidR="00AB5BAB" w:rsidRPr="003C0B0E" w:rsidRDefault="00AB5BAB" w:rsidP="00677815">
      <w:pPr>
        <w:spacing w:line="276" w:lineRule="auto"/>
        <w:rPr>
          <w:lang w:val="en-US"/>
        </w:rPr>
      </w:pPr>
    </w:p>
    <w:p w14:paraId="72B74F5D" w14:textId="77777777" w:rsidR="00AB5BAB" w:rsidRPr="00AB5BAB" w:rsidRDefault="00AB5BAB" w:rsidP="00677815">
      <w:pPr>
        <w:spacing w:line="276" w:lineRule="auto"/>
        <w:jc w:val="both"/>
        <w:rPr>
          <w:rFonts w:eastAsia="Times New Roman" w:cstheme="minorHAnsi"/>
          <w:color w:val="000000"/>
          <w:lang w:val="en-US" w:eastAsia="da-DK"/>
        </w:rPr>
      </w:pPr>
      <w:r w:rsidRPr="003C0B0E">
        <w:rPr>
          <w:lang w:val="en-US"/>
        </w:rPr>
        <w:tab/>
      </w:r>
      <w:r w:rsidRPr="00AB5BAB">
        <w:rPr>
          <w:rFonts w:eastAsia="Times New Roman" w:cstheme="minorHAnsi"/>
          <w:color w:val="000000"/>
          <w:lang w:val="en-US" w:eastAsia="da-DK"/>
        </w:rPr>
        <w:t xml:space="preserve"> </w:t>
      </w:r>
    </w:p>
    <w:p w14:paraId="7D6C84DD" w14:textId="77777777" w:rsidR="00AB5BAB" w:rsidRDefault="00AB5BAB" w:rsidP="00677815">
      <w:pPr>
        <w:autoSpaceDE w:val="0"/>
        <w:autoSpaceDN w:val="0"/>
        <w:adjustRightInd w:val="0"/>
        <w:spacing w:line="276" w:lineRule="auto"/>
        <w:ind w:left="1304"/>
        <w:rPr>
          <w:rFonts w:cstheme="minorHAnsi"/>
          <w:lang w:val="en-US"/>
        </w:rPr>
      </w:pPr>
      <w:r w:rsidRPr="005520E9">
        <w:rPr>
          <w:rFonts w:cstheme="minorHAnsi"/>
          <w:lang w:val="en-US"/>
        </w:rPr>
        <w:t>A man first comes to the study of logic with an immense multitude of opinions upon a vast variety of topics; and they are held with a degree of confidence, upon which, after he has studied logic, he comes to look back with no little amusement.</w:t>
      </w:r>
    </w:p>
    <w:p w14:paraId="473209A5" w14:textId="77777777" w:rsidR="00AB5BAB" w:rsidRDefault="0036742D" w:rsidP="00677815">
      <w:pPr>
        <w:autoSpaceDE w:val="0"/>
        <w:autoSpaceDN w:val="0"/>
        <w:adjustRightInd w:val="0"/>
        <w:spacing w:line="276" w:lineRule="auto"/>
        <w:ind w:left="1304"/>
        <w:rPr>
          <w:rFonts w:cstheme="minorHAnsi"/>
          <w:lang w:val="en-US"/>
        </w:rPr>
      </w:pPr>
      <w:r>
        <w:rPr>
          <w:rFonts w:eastAsia="Times New Roman" w:cstheme="minorHAnsi"/>
          <w:color w:val="000000"/>
          <w:lang w:val="en-US" w:eastAsia="da-DK"/>
        </w:rPr>
        <w:t>“</w:t>
      </w:r>
      <w:r w:rsidR="00AB5BAB" w:rsidRPr="00AB5BAB">
        <w:rPr>
          <w:rFonts w:eastAsia="Times New Roman" w:cstheme="minorHAnsi"/>
          <w:color w:val="000000"/>
          <w:lang w:val="en-US" w:eastAsia="da-DK"/>
        </w:rPr>
        <w:t>The Regenerated Logic</w:t>
      </w:r>
      <w:r>
        <w:rPr>
          <w:rFonts w:eastAsia="Times New Roman" w:cstheme="minorHAnsi"/>
          <w:color w:val="000000"/>
          <w:lang w:val="en-US" w:eastAsia="da-DK"/>
        </w:rPr>
        <w:t>”, 1896,</w:t>
      </w:r>
      <w:r w:rsidR="00AB5BAB" w:rsidRPr="00AB5BAB">
        <w:rPr>
          <w:rFonts w:eastAsia="Times New Roman" w:cstheme="minorHAnsi"/>
          <w:color w:val="000000"/>
          <w:lang w:val="en-US" w:eastAsia="da-DK"/>
        </w:rPr>
        <w:t xml:space="preserve"> CP 3.432</w:t>
      </w:r>
    </w:p>
    <w:p w14:paraId="65A8E66A" w14:textId="77777777" w:rsidR="00AB5BAB" w:rsidRPr="00AB5BAB" w:rsidRDefault="00AB5BAB" w:rsidP="00677815">
      <w:pPr>
        <w:spacing w:line="276" w:lineRule="auto"/>
        <w:rPr>
          <w:lang w:val="en-US"/>
        </w:rPr>
      </w:pPr>
    </w:p>
    <w:p w14:paraId="1B9C6ACB" w14:textId="77777777" w:rsidR="00A55447" w:rsidRDefault="00A55447" w:rsidP="00677815">
      <w:pPr>
        <w:spacing w:line="276" w:lineRule="auto"/>
        <w:rPr>
          <w:lang w:val="en-US"/>
        </w:rPr>
      </w:pPr>
    </w:p>
    <w:p w14:paraId="5AB9B201" w14:textId="77777777" w:rsidR="0005209B" w:rsidRDefault="009534FE" w:rsidP="00677815">
      <w:pPr>
        <w:snapToGrid w:val="0"/>
        <w:spacing w:line="276" w:lineRule="auto"/>
        <w:rPr>
          <w:lang w:val="en-US"/>
        </w:rPr>
      </w:pPr>
      <w:r>
        <w:rPr>
          <w:lang w:val="en-US"/>
        </w:rPr>
        <w:t>It is fairly easy to give a</w:t>
      </w:r>
      <w:r w:rsidR="00C961DE">
        <w:rPr>
          <w:lang w:val="en-US"/>
        </w:rPr>
        <w:t xml:space="preserve"> brief</w:t>
      </w:r>
      <w:r>
        <w:rPr>
          <w:lang w:val="en-US"/>
        </w:rPr>
        <w:t xml:space="preserve"> account of the mature Peirce’s standard view of assertion, that is, after the </w:t>
      </w:r>
      <w:r w:rsidR="003C0B0E">
        <w:rPr>
          <w:lang w:val="en-US"/>
        </w:rPr>
        <w:t xml:space="preserve">many </w:t>
      </w:r>
      <w:r>
        <w:rPr>
          <w:lang w:val="en-US"/>
        </w:rPr>
        <w:t xml:space="preserve">theoretical </w:t>
      </w:r>
      <w:r w:rsidR="00B05EE3">
        <w:rPr>
          <w:lang w:val="en-US"/>
        </w:rPr>
        <w:t>developments</w:t>
      </w:r>
      <w:r>
        <w:rPr>
          <w:lang w:val="en-US"/>
        </w:rPr>
        <w:t xml:space="preserve"> of the fertile 1902-0</w:t>
      </w:r>
      <w:r w:rsidR="00B05EE3">
        <w:rPr>
          <w:lang w:val="en-US"/>
        </w:rPr>
        <w:t>4</w:t>
      </w:r>
      <w:r>
        <w:rPr>
          <w:lang w:val="en-US"/>
        </w:rPr>
        <w:t xml:space="preserve"> period</w:t>
      </w:r>
      <w:r w:rsidR="0005209B">
        <w:rPr>
          <w:lang w:val="en-US"/>
        </w:rPr>
        <w:t xml:space="preserve"> – the sixth and seventh phases of the development of </w:t>
      </w:r>
      <w:r w:rsidR="003C0B0E">
        <w:rPr>
          <w:lang w:val="en-US"/>
        </w:rPr>
        <w:t>Peirce’s</w:t>
      </w:r>
      <w:r w:rsidR="0005209B">
        <w:rPr>
          <w:lang w:val="en-US"/>
        </w:rPr>
        <w:t xml:space="preserve"> semiotics, in </w:t>
      </w:r>
      <w:r w:rsidR="0005209B" w:rsidRPr="0005209B">
        <w:rPr>
          <w:lang w:val="en-US"/>
        </w:rPr>
        <w:t xml:space="preserve">Francesco Bellucci’s recent </w:t>
      </w:r>
      <w:r w:rsidR="0005209B" w:rsidRPr="00553CC8">
        <w:rPr>
          <w:color w:val="000000" w:themeColor="text1"/>
          <w:lang w:val="en-US"/>
        </w:rPr>
        <w:t>count</w:t>
      </w:r>
      <w:r w:rsidR="003C0B0E">
        <w:rPr>
          <w:color w:val="000000" w:themeColor="text1"/>
          <w:lang w:val="en-US"/>
        </w:rPr>
        <w:t xml:space="preserve"> </w:t>
      </w:r>
      <w:r w:rsidR="008C2766">
        <w:rPr>
          <w:color w:val="000000" w:themeColor="text1"/>
          <w:lang w:val="en-US"/>
        </w:rPr>
        <w:t>(</w:t>
      </w:r>
      <w:r w:rsidR="003C0B0E">
        <w:rPr>
          <w:color w:val="000000" w:themeColor="text1"/>
          <w:lang w:val="en-US"/>
        </w:rPr>
        <w:t>Bellucci 2017</w:t>
      </w:r>
      <w:r w:rsidR="008C2766">
        <w:rPr>
          <w:color w:val="000000" w:themeColor="text1"/>
          <w:lang w:val="en-US"/>
        </w:rPr>
        <w:t>)</w:t>
      </w:r>
      <w:r w:rsidR="003C0B0E">
        <w:rPr>
          <w:color w:val="000000" w:themeColor="text1"/>
          <w:lang w:val="en-US"/>
        </w:rPr>
        <w:t>.</w:t>
      </w:r>
      <w:r w:rsidR="00553CC8" w:rsidRPr="00553CC8">
        <w:rPr>
          <w:color w:val="000000" w:themeColor="text1"/>
          <w:lang w:val="en-US"/>
        </w:rPr>
        <w:t xml:space="preserve"> In </w:t>
      </w:r>
      <w:r w:rsidR="00553CC8" w:rsidRPr="00553CC8">
        <w:rPr>
          <w:i/>
          <w:color w:val="000000" w:themeColor="text1"/>
          <w:lang w:val="en-US"/>
        </w:rPr>
        <w:t>Reason’s Rules</w:t>
      </w:r>
      <w:r w:rsidR="00553CC8" w:rsidRPr="00553CC8">
        <w:rPr>
          <w:color w:val="000000" w:themeColor="text1"/>
          <w:lang w:val="en-US"/>
        </w:rPr>
        <w:t xml:space="preserve"> </w:t>
      </w:r>
      <w:r w:rsidR="00B723A5">
        <w:rPr>
          <w:color w:val="000000" w:themeColor="text1"/>
          <w:lang w:val="en-US"/>
        </w:rPr>
        <w:t>(1902)</w:t>
      </w:r>
      <w:r w:rsidR="003C0B0E">
        <w:rPr>
          <w:color w:val="000000" w:themeColor="text1"/>
          <w:lang w:val="en-US"/>
        </w:rPr>
        <w:t>, e.g.,</w:t>
      </w:r>
      <w:r w:rsidR="00B723A5">
        <w:rPr>
          <w:color w:val="000000" w:themeColor="text1"/>
          <w:lang w:val="en-US"/>
        </w:rPr>
        <w:t xml:space="preserve"> </w:t>
      </w:r>
      <w:r w:rsidR="00553CC8" w:rsidRPr="00553CC8">
        <w:rPr>
          <w:color w:val="000000" w:themeColor="text1"/>
          <w:lang w:val="en-US"/>
        </w:rPr>
        <w:t xml:space="preserve">it goes like this: “… </w:t>
      </w:r>
      <w:r w:rsidR="00553CC8" w:rsidRPr="00553CC8">
        <w:rPr>
          <w:rFonts w:eastAsia="Times New Roman" w:cstheme="minorHAnsi"/>
          <w:color w:val="000000" w:themeColor="text1"/>
          <w:shd w:val="clear" w:color="auto" w:fill="FFFFFF"/>
          <w:lang w:val="en-US" w:eastAsia="da-DK"/>
        </w:rPr>
        <w:t>to assert a proposition is to make oneself responsible for its truth”.</w:t>
      </w:r>
      <w:r w:rsidR="00553CC8">
        <w:rPr>
          <w:rStyle w:val="Slutnotehenvisning"/>
          <w:rFonts w:eastAsia="Times New Roman" w:cstheme="minorHAnsi"/>
          <w:color w:val="000000" w:themeColor="text1"/>
          <w:shd w:val="clear" w:color="auto" w:fill="FFFFFF"/>
          <w:lang w:val="en-US" w:eastAsia="da-DK"/>
        </w:rPr>
        <w:endnoteReference w:id="1"/>
      </w:r>
      <w:r w:rsidR="0005209B" w:rsidRPr="00553CC8">
        <w:rPr>
          <w:color w:val="000000" w:themeColor="text1"/>
          <w:lang w:val="en-US"/>
        </w:rPr>
        <w:t xml:space="preserve"> It </w:t>
      </w:r>
      <w:r w:rsidR="00B723A5">
        <w:rPr>
          <w:color w:val="000000" w:themeColor="text1"/>
          <w:lang w:val="en-US"/>
        </w:rPr>
        <w:t>ties into</w:t>
      </w:r>
      <w:r w:rsidR="0005209B" w:rsidRPr="00553CC8">
        <w:rPr>
          <w:color w:val="000000" w:themeColor="text1"/>
          <w:lang w:val="en-US"/>
        </w:rPr>
        <w:t xml:space="preserve"> the idea that propositions are general</w:t>
      </w:r>
      <w:r w:rsidR="00C961DE" w:rsidRPr="00553CC8">
        <w:rPr>
          <w:color w:val="000000" w:themeColor="text1"/>
          <w:lang w:val="en-US"/>
        </w:rPr>
        <w:t xml:space="preserve"> ideas</w:t>
      </w:r>
      <w:r w:rsidR="0005209B" w:rsidRPr="00553CC8">
        <w:rPr>
          <w:color w:val="000000" w:themeColor="text1"/>
          <w:lang w:val="en-US"/>
        </w:rPr>
        <w:t xml:space="preserve"> and do not, in themselves, perform any action. They may, however, be put to use in a number of different act</w:t>
      </w:r>
      <w:r w:rsidR="008C2766">
        <w:rPr>
          <w:color w:val="000000" w:themeColor="text1"/>
          <w:lang w:val="en-US"/>
        </w:rPr>
        <w:t xml:space="preserve"> types</w:t>
      </w:r>
      <w:r w:rsidR="0005209B" w:rsidRPr="00553CC8">
        <w:rPr>
          <w:color w:val="000000" w:themeColor="text1"/>
          <w:lang w:val="en-US"/>
        </w:rPr>
        <w:t xml:space="preserve">, </w:t>
      </w:r>
      <w:r w:rsidR="00C961DE" w:rsidRPr="00553CC8">
        <w:rPr>
          <w:color w:val="000000" w:themeColor="text1"/>
          <w:lang w:val="en-US"/>
        </w:rPr>
        <w:t>utterances</w:t>
      </w:r>
      <w:r w:rsidR="00C961DE">
        <w:rPr>
          <w:lang w:val="en-US"/>
        </w:rPr>
        <w:t xml:space="preserve">, </w:t>
      </w:r>
      <w:r w:rsidR="0005209B" w:rsidRPr="0005209B">
        <w:rPr>
          <w:lang w:val="en-US"/>
        </w:rPr>
        <w:t xml:space="preserve">questions, orders, wishes, beliefs, etc. – prominent about those being the act </w:t>
      </w:r>
      <w:r w:rsidR="00677815">
        <w:rPr>
          <w:lang w:val="en-US"/>
        </w:rPr>
        <w:t xml:space="preserve">type </w:t>
      </w:r>
      <w:r w:rsidR="0005209B" w:rsidRPr="0005209B">
        <w:rPr>
          <w:lang w:val="en-US"/>
        </w:rPr>
        <w:t xml:space="preserve">of </w:t>
      </w:r>
      <w:r w:rsidR="0005209B" w:rsidRPr="00677815">
        <w:rPr>
          <w:i/>
          <w:lang w:val="en-US"/>
        </w:rPr>
        <w:t>asserting</w:t>
      </w:r>
      <w:r w:rsidR="0005209B" w:rsidRPr="0005209B">
        <w:rPr>
          <w:lang w:val="en-US"/>
        </w:rPr>
        <w:t xml:space="preserve"> a proposition. This, of course, amounts to </w:t>
      </w:r>
      <w:r w:rsidR="0005209B">
        <w:rPr>
          <w:lang w:val="en-US"/>
        </w:rPr>
        <w:t xml:space="preserve">the germ of </w:t>
      </w:r>
      <w:r w:rsidR="0005209B" w:rsidRPr="0005209B">
        <w:rPr>
          <w:lang w:val="en-US"/>
        </w:rPr>
        <w:t xml:space="preserve">a </w:t>
      </w:r>
      <w:r w:rsidR="00B05EE3">
        <w:rPr>
          <w:lang w:val="en-US"/>
        </w:rPr>
        <w:t xml:space="preserve">Peircean </w:t>
      </w:r>
      <w:r w:rsidR="0005209B" w:rsidRPr="0005209B">
        <w:rPr>
          <w:lang w:val="en-US"/>
        </w:rPr>
        <w:t>speech act theory in which the act of asserting a proposition in public differs, in particular, from the act of personall</w:t>
      </w:r>
      <w:r w:rsidR="0005209B">
        <w:rPr>
          <w:lang w:val="en-US"/>
        </w:rPr>
        <w:t>y believing the same proposition to be true</w:t>
      </w:r>
      <w:r w:rsidR="00C961DE">
        <w:rPr>
          <w:lang w:val="en-US"/>
        </w:rPr>
        <w:t xml:space="preserve"> in private</w:t>
      </w:r>
      <w:r w:rsidR="0005209B">
        <w:rPr>
          <w:lang w:val="en-US"/>
        </w:rPr>
        <w:t xml:space="preserve">, an act also covered by concepts such as </w:t>
      </w:r>
      <w:r w:rsidR="00B05EE3" w:rsidRPr="00B05EE3">
        <w:rPr>
          <w:i/>
          <w:lang w:val="en-US"/>
        </w:rPr>
        <w:t xml:space="preserve">belief, </w:t>
      </w:r>
      <w:r w:rsidR="0005209B" w:rsidRPr="00B05EE3">
        <w:rPr>
          <w:i/>
          <w:lang w:val="en-US"/>
        </w:rPr>
        <w:t>judgment</w:t>
      </w:r>
      <w:r w:rsidR="00677815">
        <w:rPr>
          <w:lang w:val="en-US"/>
        </w:rPr>
        <w:t xml:space="preserve">, </w:t>
      </w:r>
      <w:r w:rsidR="00B05EE3">
        <w:rPr>
          <w:lang w:val="en-US"/>
        </w:rPr>
        <w:t xml:space="preserve">and </w:t>
      </w:r>
      <w:r w:rsidR="00677815" w:rsidRPr="00677815">
        <w:rPr>
          <w:i/>
          <w:lang w:val="en-US"/>
        </w:rPr>
        <w:t>assen</w:t>
      </w:r>
      <w:r w:rsidR="00B05EE3">
        <w:rPr>
          <w:i/>
          <w:lang w:val="en-US"/>
        </w:rPr>
        <w:t>t.</w:t>
      </w:r>
      <w:r w:rsidR="0005209B">
        <w:rPr>
          <w:lang w:val="en-US"/>
        </w:rPr>
        <w:t xml:space="preserve"> Thus</w:t>
      </w:r>
      <w:r w:rsidR="00677815">
        <w:rPr>
          <w:lang w:val="en-US"/>
        </w:rPr>
        <w:t>,</w:t>
      </w:r>
      <w:r w:rsidR="0005209B">
        <w:rPr>
          <w:lang w:val="en-US"/>
        </w:rPr>
        <w:t xml:space="preserve"> it is possible to assert a proposition simultaneously with</w:t>
      </w:r>
      <w:r w:rsidR="00355A22">
        <w:rPr>
          <w:lang w:val="en-US"/>
        </w:rPr>
        <w:t xml:space="preserve"> not</w:t>
      </w:r>
      <w:r w:rsidR="00677815">
        <w:rPr>
          <w:lang w:val="en-US"/>
        </w:rPr>
        <w:t xml:space="preserve"> </w:t>
      </w:r>
      <w:r w:rsidR="0005209B">
        <w:rPr>
          <w:lang w:val="en-US"/>
        </w:rPr>
        <w:t>assenting to it, that is, lying.</w:t>
      </w:r>
      <w:r w:rsidR="008C2766">
        <w:rPr>
          <w:rStyle w:val="Slutnotehenvisning"/>
          <w:lang w:val="en-US"/>
        </w:rPr>
        <w:endnoteReference w:id="2"/>
      </w:r>
      <w:r w:rsidR="0005209B">
        <w:rPr>
          <w:lang w:val="en-US"/>
        </w:rPr>
        <w:t xml:space="preserve"> </w:t>
      </w:r>
    </w:p>
    <w:p w14:paraId="20EEBC69" w14:textId="77777777" w:rsidR="00E27727" w:rsidRDefault="00E27727" w:rsidP="00677815">
      <w:pPr>
        <w:snapToGrid w:val="0"/>
        <w:spacing w:line="276" w:lineRule="auto"/>
        <w:rPr>
          <w:lang w:val="en-US"/>
        </w:rPr>
      </w:pPr>
      <w:r>
        <w:rPr>
          <w:lang w:val="en-US"/>
        </w:rPr>
        <w:tab/>
        <w:t xml:space="preserve">This, however, also indicates that it would be a vain endeavor to try to define Peirce’s concept of assertion in isolation. Rather, it belongs to a </w:t>
      </w:r>
      <w:r w:rsidR="00677815">
        <w:rPr>
          <w:lang w:val="en-US"/>
        </w:rPr>
        <w:t xml:space="preserve">considerable </w:t>
      </w:r>
      <w:r>
        <w:rPr>
          <w:lang w:val="en-US"/>
        </w:rPr>
        <w:t>conceptual cluster charting the whole field of possibly truth-</w:t>
      </w:r>
      <w:r w:rsidR="00677815">
        <w:rPr>
          <w:lang w:val="en-US"/>
        </w:rPr>
        <w:t>involving</w:t>
      </w:r>
      <w:r>
        <w:rPr>
          <w:lang w:val="en-US"/>
        </w:rPr>
        <w:t xml:space="preserve"> expressions and utterances</w:t>
      </w:r>
      <w:r w:rsidR="00B05EE3">
        <w:rPr>
          <w:lang w:val="en-US"/>
        </w:rPr>
        <w:t xml:space="preserve">, situated between logic, philosophy of logic, semiotic pragmatics (or “speculative </w:t>
      </w:r>
      <w:proofErr w:type="spellStart"/>
      <w:r w:rsidR="00B05EE3">
        <w:rPr>
          <w:lang w:val="en-US"/>
        </w:rPr>
        <w:t>rhetorics</w:t>
      </w:r>
      <w:proofErr w:type="spellEnd"/>
      <w:r w:rsidR="00B05EE3">
        <w:rPr>
          <w:lang w:val="en-US"/>
        </w:rPr>
        <w:t>” as Peirce would have it)</w:t>
      </w:r>
      <w:r w:rsidR="008C2766">
        <w:rPr>
          <w:lang w:val="en-US"/>
        </w:rPr>
        <w:t xml:space="preserve"> and philosophy of science </w:t>
      </w:r>
      <w:proofErr w:type="gramStart"/>
      <w:r w:rsidR="008C2766">
        <w:rPr>
          <w:lang w:val="en-US"/>
        </w:rPr>
        <w:t>– </w:t>
      </w:r>
      <w:r w:rsidR="00B05EE3">
        <w:rPr>
          <w:lang w:val="en-US"/>
        </w:rPr>
        <w:t xml:space="preserve"> a</w:t>
      </w:r>
      <w:proofErr w:type="gramEnd"/>
      <w:r w:rsidR="00B05EE3">
        <w:rPr>
          <w:lang w:val="en-US"/>
        </w:rPr>
        <w:t xml:space="preserve"> conceptual field</w:t>
      </w:r>
      <w:r>
        <w:rPr>
          <w:lang w:val="en-US"/>
        </w:rPr>
        <w:t xml:space="preserve"> involving terms</w:t>
      </w:r>
      <w:r w:rsidRPr="00677815">
        <w:rPr>
          <w:lang w:val="en-US"/>
        </w:rPr>
        <w:t xml:space="preserve"> like</w:t>
      </w:r>
      <w:r w:rsidRPr="00C961DE">
        <w:rPr>
          <w:i/>
          <w:lang w:val="en-US"/>
        </w:rPr>
        <w:t xml:space="preserve"> judgment, belief, assent, resolve, proposition, corollary,</w:t>
      </w:r>
      <w:r w:rsidR="00677815">
        <w:rPr>
          <w:i/>
          <w:lang w:val="en-US"/>
        </w:rPr>
        <w:t xml:space="preserve"> theorem,</w:t>
      </w:r>
      <w:r w:rsidRPr="00C961DE">
        <w:rPr>
          <w:i/>
          <w:lang w:val="en-US"/>
        </w:rPr>
        <w:t xml:space="preserve"> </w:t>
      </w:r>
      <w:r w:rsidR="00B04D52" w:rsidRPr="00C961DE">
        <w:rPr>
          <w:i/>
          <w:lang w:val="en-US"/>
        </w:rPr>
        <w:t xml:space="preserve">affirmation, </w:t>
      </w:r>
      <w:r w:rsidRPr="00C961DE">
        <w:rPr>
          <w:i/>
          <w:lang w:val="en-US"/>
        </w:rPr>
        <w:t>claim, thought, thinking</w:t>
      </w:r>
      <w:r w:rsidR="00B04D52" w:rsidRPr="00C961DE">
        <w:rPr>
          <w:i/>
          <w:lang w:val="en-US"/>
        </w:rPr>
        <w:t xml:space="preserve">, </w:t>
      </w:r>
      <w:r w:rsidR="00C961DE" w:rsidRPr="00C961DE">
        <w:rPr>
          <w:i/>
          <w:lang w:val="en-US"/>
        </w:rPr>
        <w:t xml:space="preserve">fact, </w:t>
      </w:r>
      <w:r w:rsidR="00B04D52" w:rsidRPr="00C961DE">
        <w:rPr>
          <w:i/>
          <w:lang w:val="en-US"/>
        </w:rPr>
        <w:t>truth, reality</w:t>
      </w:r>
      <w:r w:rsidR="00B04D52">
        <w:rPr>
          <w:lang w:val="en-US"/>
        </w:rPr>
        <w:t xml:space="preserve">, and </w:t>
      </w:r>
      <w:r w:rsidR="00B05EE3">
        <w:rPr>
          <w:lang w:val="en-US"/>
        </w:rPr>
        <w:t>several</w:t>
      </w:r>
      <w:r w:rsidR="00B04D52">
        <w:rPr>
          <w:lang w:val="en-US"/>
        </w:rPr>
        <w:t xml:space="preserve"> more. This note attempts to give an overview over Peirce’s development behind the mature standard view as well as to place that standard view in</w:t>
      </w:r>
      <w:r w:rsidR="00677815">
        <w:rPr>
          <w:lang w:val="en-US"/>
        </w:rPr>
        <w:t xml:space="preserve"> the context of</w:t>
      </w:r>
      <w:r w:rsidR="00B04D52">
        <w:rPr>
          <w:lang w:val="en-US"/>
        </w:rPr>
        <w:t xml:space="preserve"> the conceptual cluster mentioned – </w:t>
      </w:r>
      <w:r w:rsidR="00677815">
        <w:rPr>
          <w:lang w:val="en-US"/>
        </w:rPr>
        <w:t xml:space="preserve">an overview which also gives </w:t>
      </w:r>
      <w:r w:rsidR="00B05EE3">
        <w:rPr>
          <w:lang w:val="en-US"/>
        </w:rPr>
        <w:t xml:space="preserve">occasion </w:t>
      </w:r>
      <w:r w:rsidR="00677815">
        <w:rPr>
          <w:lang w:val="en-US"/>
        </w:rPr>
        <w:t>for noting certain</w:t>
      </w:r>
      <w:r w:rsidR="00B04D52">
        <w:rPr>
          <w:lang w:val="en-US"/>
        </w:rPr>
        <w:t xml:space="preserve"> tensions and even unresolved issues. </w:t>
      </w:r>
    </w:p>
    <w:p w14:paraId="01BEDF24" w14:textId="77777777" w:rsidR="00B723A5" w:rsidRDefault="00B723A5" w:rsidP="00677815">
      <w:pPr>
        <w:snapToGrid w:val="0"/>
        <w:spacing w:line="276" w:lineRule="auto"/>
        <w:rPr>
          <w:lang w:val="en-US"/>
        </w:rPr>
      </w:pPr>
    </w:p>
    <w:p w14:paraId="12831723" w14:textId="77777777" w:rsidR="00B05EE3" w:rsidRDefault="00B05EE3" w:rsidP="00677815">
      <w:pPr>
        <w:snapToGrid w:val="0"/>
        <w:spacing w:line="276" w:lineRule="auto"/>
        <w:rPr>
          <w:i/>
          <w:lang w:val="en-US"/>
        </w:rPr>
      </w:pPr>
      <w:r w:rsidRPr="00B05EE3">
        <w:rPr>
          <w:i/>
          <w:lang w:val="en-US"/>
        </w:rPr>
        <w:t>Assertion from colloquial to technical term</w:t>
      </w:r>
    </w:p>
    <w:p w14:paraId="4A1B4FE4" w14:textId="77777777" w:rsidR="00B05EE3" w:rsidRPr="00B05EE3" w:rsidRDefault="00B05EE3" w:rsidP="00677815">
      <w:pPr>
        <w:snapToGrid w:val="0"/>
        <w:spacing w:line="276" w:lineRule="auto"/>
        <w:rPr>
          <w:i/>
          <w:lang w:val="en-US"/>
        </w:rPr>
      </w:pPr>
    </w:p>
    <w:p w14:paraId="14D4B4D3" w14:textId="77777777" w:rsidR="00C961DE" w:rsidRPr="00B80524" w:rsidRDefault="00C961DE" w:rsidP="00677815">
      <w:pPr>
        <w:snapToGrid w:val="0"/>
        <w:spacing w:line="276" w:lineRule="auto"/>
        <w:rPr>
          <w:lang w:val="en-US"/>
        </w:rPr>
      </w:pPr>
      <w:r>
        <w:rPr>
          <w:lang w:val="en-US"/>
        </w:rPr>
        <w:t xml:space="preserve">In much of Peirce’s early and middle period up to the </w:t>
      </w:r>
      <w:r w:rsidR="00677815">
        <w:rPr>
          <w:lang w:val="en-US"/>
        </w:rPr>
        <w:t>mid-90’s</w:t>
      </w:r>
      <w:r>
        <w:rPr>
          <w:lang w:val="en-US"/>
        </w:rPr>
        <w:t>, “assertion” is not singled out as a technical term but is rather used interchangeably with “proposition”</w:t>
      </w:r>
      <w:r w:rsidR="00BF371A">
        <w:rPr>
          <w:lang w:val="en-US"/>
        </w:rPr>
        <w:t xml:space="preserve"> or even “judgment”</w:t>
      </w:r>
      <w:r>
        <w:rPr>
          <w:lang w:val="en-US"/>
        </w:rPr>
        <w:t xml:space="preserve">, implying </w:t>
      </w:r>
      <w:r>
        <w:rPr>
          <w:lang w:val="en-US"/>
        </w:rPr>
        <w:lastRenderedPageBreak/>
        <w:t>that, in this period, Peirce rarely considered the distinction between the structure and content of propositions on the one hand, and their utterance</w:t>
      </w:r>
      <w:r w:rsidR="009A60A6">
        <w:rPr>
          <w:lang w:val="en-US"/>
        </w:rPr>
        <w:t xml:space="preserve"> and </w:t>
      </w:r>
      <w:r w:rsidR="00E50BAA">
        <w:rPr>
          <w:lang w:val="en-US"/>
        </w:rPr>
        <w:t>force</w:t>
      </w:r>
      <w:r w:rsidR="00677815">
        <w:rPr>
          <w:lang w:val="en-US"/>
        </w:rPr>
        <w:t xml:space="preserve"> to claim truth</w:t>
      </w:r>
      <w:r>
        <w:rPr>
          <w:lang w:val="en-US"/>
        </w:rPr>
        <w:t xml:space="preserve"> on the other.</w:t>
      </w:r>
      <w:r w:rsidR="00E97BDF">
        <w:rPr>
          <w:rStyle w:val="Slutnotehenvisning"/>
          <w:lang w:val="en-US"/>
        </w:rPr>
        <w:endnoteReference w:id="3"/>
      </w:r>
      <w:r>
        <w:rPr>
          <w:lang w:val="en-US"/>
        </w:rPr>
        <w:t xml:space="preserve"> </w:t>
      </w:r>
      <w:r w:rsidR="008C2766">
        <w:rPr>
          <w:lang w:val="en-US"/>
        </w:rPr>
        <w:t>Rather, he took for granted that it was part and parcel of a proposition itself to possess some sort of illocutionary</w:t>
      </w:r>
      <w:r w:rsidR="009B76DF">
        <w:rPr>
          <w:lang w:val="en-US"/>
        </w:rPr>
        <w:t xml:space="preserve"> force</w:t>
      </w:r>
      <w:r w:rsidR="008C2766">
        <w:rPr>
          <w:lang w:val="en-US"/>
        </w:rPr>
        <w:t xml:space="preserve">, often localized in the copula. </w:t>
      </w:r>
      <w:r>
        <w:rPr>
          <w:lang w:val="en-US"/>
        </w:rPr>
        <w:t>As is well known,</w:t>
      </w:r>
      <w:r w:rsidR="006511E7">
        <w:rPr>
          <w:lang w:val="en-US"/>
        </w:rPr>
        <w:t xml:space="preserve"> Peirce focused upon investigating and formalizing </w:t>
      </w:r>
      <w:r w:rsidR="00677815">
        <w:rPr>
          <w:lang w:val="en-US"/>
        </w:rPr>
        <w:t xml:space="preserve">the relations and structure of </w:t>
      </w:r>
      <w:r w:rsidR="006511E7">
        <w:rPr>
          <w:lang w:val="en-US"/>
        </w:rPr>
        <w:t>propositions in his versions of propositional logic and first order logic in the two “Algebra of Logic” papers (1880-85</w:t>
      </w:r>
      <w:r w:rsidR="006511E7" w:rsidRPr="009222AC">
        <w:rPr>
          <w:lang w:val="en-US"/>
        </w:rPr>
        <w:t>);</w:t>
      </w:r>
      <w:r w:rsidRPr="009222AC">
        <w:rPr>
          <w:lang w:val="en-US"/>
        </w:rPr>
        <w:t xml:space="preserve"> </w:t>
      </w:r>
      <w:r w:rsidR="006511E7" w:rsidRPr="009222AC">
        <w:rPr>
          <w:lang w:val="en-US"/>
        </w:rPr>
        <w:t>among</w:t>
      </w:r>
      <w:r w:rsidRPr="009222AC">
        <w:rPr>
          <w:lang w:val="en-US"/>
        </w:rPr>
        <w:t xml:space="preserve"> the</w:t>
      </w:r>
      <w:r w:rsidR="006511E7" w:rsidRPr="009222AC">
        <w:rPr>
          <w:lang w:val="en-US"/>
        </w:rPr>
        <w:t xml:space="preserve"> other terms of the</w:t>
      </w:r>
      <w:r w:rsidRPr="009222AC">
        <w:rPr>
          <w:lang w:val="en-US"/>
        </w:rPr>
        <w:t xml:space="preserve"> propositional concept cluster which Peirce</w:t>
      </w:r>
      <w:r w:rsidR="006511E7" w:rsidRPr="009222AC">
        <w:rPr>
          <w:lang w:val="en-US"/>
        </w:rPr>
        <w:t xml:space="preserve"> </w:t>
      </w:r>
      <w:r w:rsidRPr="009222AC">
        <w:rPr>
          <w:lang w:val="en-US"/>
        </w:rPr>
        <w:t xml:space="preserve">develops in the early </w:t>
      </w:r>
      <w:r w:rsidR="00E50BAA" w:rsidRPr="00B80524">
        <w:rPr>
          <w:lang w:val="en-US"/>
        </w:rPr>
        <w:t xml:space="preserve">period, </w:t>
      </w:r>
      <w:r w:rsidR="006511E7" w:rsidRPr="00B80524">
        <w:rPr>
          <w:lang w:val="en-US"/>
        </w:rPr>
        <w:t>particularly</w:t>
      </w:r>
      <w:r w:rsidRPr="00B80524">
        <w:rPr>
          <w:lang w:val="en-US"/>
        </w:rPr>
        <w:t xml:space="preserve"> that of </w:t>
      </w:r>
      <w:r w:rsidRPr="00B80524">
        <w:rPr>
          <w:i/>
          <w:lang w:val="en-US"/>
        </w:rPr>
        <w:t>belief</w:t>
      </w:r>
      <w:r w:rsidRPr="00B80524">
        <w:rPr>
          <w:lang w:val="en-US"/>
        </w:rPr>
        <w:t xml:space="preserve"> </w:t>
      </w:r>
      <w:r w:rsidR="006511E7" w:rsidRPr="00B80524">
        <w:rPr>
          <w:lang w:val="en-US"/>
        </w:rPr>
        <w:t xml:space="preserve">stands out, to </w:t>
      </w:r>
      <w:r w:rsidRPr="00B80524">
        <w:rPr>
          <w:lang w:val="en-US"/>
        </w:rPr>
        <w:t>continue to play an important role also in his ensuing development.</w:t>
      </w:r>
    </w:p>
    <w:p w14:paraId="3F29B1B5" w14:textId="77777777" w:rsidR="00BF371A" w:rsidRDefault="00E50BAA" w:rsidP="00677815">
      <w:pPr>
        <w:autoSpaceDE w:val="0"/>
        <w:autoSpaceDN w:val="0"/>
        <w:adjustRightInd w:val="0"/>
        <w:spacing w:line="276" w:lineRule="auto"/>
        <w:rPr>
          <w:rFonts w:ascii="Calibri" w:eastAsia="Times New Roman" w:hAnsi="Calibri" w:cs="Arial"/>
          <w:color w:val="000000"/>
          <w:lang w:val="en-US" w:eastAsia="da-DK"/>
        </w:rPr>
      </w:pPr>
      <w:r w:rsidRPr="00B80524">
        <w:rPr>
          <w:lang w:val="en-US"/>
        </w:rPr>
        <w:tab/>
        <w:t xml:space="preserve">Famously, the definition of “belief” is crucial to the classic formulations of pragmatism in Peirce’s 1878 </w:t>
      </w:r>
      <w:r w:rsidR="00677815">
        <w:rPr>
          <w:i/>
          <w:lang w:val="en-US"/>
        </w:rPr>
        <w:t xml:space="preserve">Popular Science Monthly </w:t>
      </w:r>
      <w:r w:rsidRPr="00B80524">
        <w:rPr>
          <w:lang w:val="en-US"/>
        </w:rPr>
        <w:t>paper series, developing further Alexander Bain’s quip “Belief is that upon which man is prepared to act”</w:t>
      </w:r>
      <w:r w:rsidR="00677815">
        <w:rPr>
          <w:lang w:val="en-US"/>
        </w:rPr>
        <w:t xml:space="preserve">. That idea </w:t>
      </w:r>
      <w:r w:rsidRPr="00B80524">
        <w:rPr>
          <w:lang w:val="en-US"/>
        </w:rPr>
        <w:t xml:space="preserve">had been much discussed among Peirce, </w:t>
      </w:r>
      <w:r w:rsidR="00677815">
        <w:rPr>
          <w:lang w:val="en-US"/>
        </w:rPr>
        <w:t xml:space="preserve">William </w:t>
      </w:r>
      <w:r w:rsidRPr="00B80524">
        <w:rPr>
          <w:lang w:val="en-US"/>
        </w:rPr>
        <w:t xml:space="preserve">James, Chauncey Wright, and </w:t>
      </w:r>
      <w:r w:rsidRPr="00B80524">
        <w:rPr>
          <w:rFonts w:eastAsia="Times New Roman" w:cs="Times New Roman"/>
          <w:color w:val="000000"/>
          <w:shd w:val="clear" w:color="auto" w:fill="FFFFFF"/>
          <w:lang w:val="en-US" w:eastAsia="da-DK"/>
        </w:rPr>
        <w:t>Nicholas St. John Green in the</w:t>
      </w:r>
      <w:r w:rsidR="00677815">
        <w:rPr>
          <w:rFonts w:eastAsia="Times New Roman" w:cs="Times New Roman"/>
          <w:color w:val="000000"/>
          <w:shd w:val="clear" w:color="auto" w:fill="FFFFFF"/>
          <w:lang w:val="en-US" w:eastAsia="da-DK"/>
        </w:rPr>
        <w:t>ir</w:t>
      </w:r>
      <w:r w:rsidRPr="00B80524">
        <w:rPr>
          <w:rFonts w:eastAsia="Times New Roman" w:cs="Times New Roman"/>
          <w:color w:val="000000"/>
          <w:shd w:val="clear" w:color="auto" w:fill="FFFFFF"/>
          <w:lang w:val="en-US" w:eastAsia="da-DK"/>
        </w:rPr>
        <w:t xml:space="preserve"> “Metaphysical Club” around 1870. </w:t>
      </w:r>
      <w:r w:rsidR="00B80524" w:rsidRPr="00B80524">
        <w:rPr>
          <w:rFonts w:eastAsia="Times New Roman" w:cs="Times New Roman"/>
          <w:color w:val="000000"/>
          <w:shd w:val="clear" w:color="auto" w:fill="FFFFFF"/>
          <w:lang w:val="en-US" w:eastAsia="da-DK"/>
        </w:rPr>
        <w:t xml:space="preserve">In “How to Make our Ideas Clear”, Peirce </w:t>
      </w:r>
      <w:r w:rsidR="00464B39">
        <w:rPr>
          <w:rFonts w:eastAsia="Times New Roman" w:cs="Times New Roman"/>
          <w:color w:val="000000"/>
          <w:shd w:val="clear" w:color="auto" w:fill="FFFFFF"/>
          <w:lang w:val="en-US" w:eastAsia="da-DK"/>
        </w:rPr>
        <w:t>found</w:t>
      </w:r>
      <w:r w:rsidR="00B80524" w:rsidRPr="00B80524">
        <w:rPr>
          <w:rFonts w:eastAsia="Times New Roman" w:cs="Times New Roman"/>
          <w:color w:val="000000"/>
          <w:shd w:val="clear" w:color="auto" w:fill="FFFFFF"/>
          <w:lang w:val="en-US" w:eastAsia="da-DK"/>
        </w:rPr>
        <w:t xml:space="preserve"> that belief</w:t>
      </w:r>
      <w:r w:rsidR="00B80524" w:rsidRPr="00B80524">
        <w:rPr>
          <w:rFonts w:cs="Times New Roman"/>
          <w:lang w:val="en-US"/>
        </w:rPr>
        <w:t xml:space="preserve"> “… has just three</w:t>
      </w:r>
      <w:r w:rsidR="00B80524">
        <w:rPr>
          <w:rFonts w:cs="Times New Roman"/>
          <w:lang w:val="en-US"/>
        </w:rPr>
        <w:t xml:space="preserve"> </w:t>
      </w:r>
      <w:r w:rsidR="00B80524" w:rsidRPr="00B80524">
        <w:rPr>
          <w:rFonts w:cs="Times New Roman"/>
          <w:lang w:val="en-US"/>
        </w:rPr>
        <w:t>properties: First, it is something that we are aware of; second, it appeases the irritation</w:t>
      </w:r>
      <w:r w:rsidR="00BF371A">
        <w:rPr>
          <w:rFonts w:cs="Times New Roman"/>
          <w:lang w:val="en-US"/>
        </w:rPr>
        <w:t xml:space="preserve"> </w:t>
      </w:r>
      <w:r w:rsidR="00B80524" w:rsidRPr="00B80524">
        <w:rPr>
          <w:rFonts w:cs="Times New Roman"/>
          <w:lang w:val="en-US"/>
        </w:rPr>
        <w:t>of doubt; and, third, it involves the establishment in our nature of a rule of action, or,</w:t>
      </w:r>
      <w:r w:rsidR="00B80524">
        <w:rPr>
          <w:rFonts w:cs="Times New Roman"/>
          <w:lang w:val="en-US"/>
        </w:rPr>
        <w:t xml:space="preserve"> </w:t>
      </w:r>
      <w:r w:rsidR="00B80524" w:rsidRPr="00B80524">
        <w:rPr>
          <w:rFonts w:cs="Times New Roman"/>
          <w:lang w:val="en-US"/>
        </w:rPr>
        <w:t xml:space="preserve">say for short, a habit.” (5.397). The latter property, of course, constitutes pragmatism’s core idea that the meaning of a proposition lies in the conception of its effects having </w:t>
      </w:r>
      <w:r w:rsidR="00B80524" w:rsidRPr="00677815">
        <w:rPr>
          <w:rFonts w:cstheme="minorHAnsi"/>
          <w:lang w:val="en-US"/>
        </w:rPr>
        <w:t xml:space="preserve">practical bearings, as </w:t>
      </w:r>
      <w:r w:rsidR="00464B39">
        <w:rPr>
          <w:rFonts w:cstheme="minorHAnsi"/>
          <w:lang w:val="en-US"/>
        </w:rPr>
        <w:t xml:space="preserve">stated in </w:t>
      </w:r>
      <w:r w:rsidR="00B80524" w:rsidRPr="00677815">
        <w:rPr>
          <w:rFonts w:cstheme="minorHAnsi"/>
          <w:lang w:val="en-US"/>
        </w:rPr>
        <w:t>the “pragmatic maxim” (5.402). So, “the whole function of thought is to produce habits of action”, and “what a thing means is simply what habits it involves.” (5.400). Real belief involves a readiness to act as if the involved proposition were true; ideas which do not entail such readiness</w:t>
      </w:r>
      <w:r w:rsidR="00677815">
        <w:rPr>
          <w:rFonts w:cstheme="minorHAnsi"/>
          <w:lang w:val="en-US"/>
        </w:rPr>
        <w:t xml:space="preserve"> may appear to be a sort of belie</w:t>
      </w:r>
      <w:r w:rsidR="00464B39">
        <w:rPr>
          <w:rFonts w:cstheme="minorHAnsi"/>
          <w:lang w:val="en-US"/>
        </w:rPr>
        <w:t>f</w:t>
      </w:r>
      <w:r w:rsidR="00677815">
        <w:rPr>
          <w:rFonts w:cstheme="minorHAnsi"/>
          <w:lang w:val="en-US"/>
        </w:rPr>
        <w:t>s, they may even be believed to be beliefs, but they</w:t>
      </w:r>
      <w:r w:rsidR="00B80524" w:rsidRPr="00677815">
        <w:rPr>
          <w:rFonts w:cstheme="minorHAnsi"/>
          <w:lang w:val="en-US"/>
        </w:rPr>
        <w:t xml:space="preserve"> are not really beliefs. Thinking and </w:t>
      </w:r>
      <w:r w:rsidR="00464B39">
        <w:rPr>
          <w:rFonts w:cstheme="minorHAnsi"/>
          <w:lang w:val="en-US"/>
        </w:rPr>
        <w:t xml:space="preserve">mental </w:t>
      </w:r>
      <w:r w:rsidR="00B80524" w:rsidRPr="00677815">
        <w:rPr>
          <w:rFonts w:cstheme="minorHAnsi"/>
          <w:lang w:val="en-US"/>
        </w:rPr>
        <w:t>habit-taking are thus one and the same thing</w:t>
      </w:r>
      <w:r w:rsidR="00BF371A" w:rsidRPr="00677815">
        <w:rPr>
          <w:rFonts w:cstheme="minorHAnsi"/>
          <w:lang w:val="en-US"/>
        </w:rPr>
        <w:t xml:space="preserve">, and the process of acquiring propositional insight by habit-taking should </w:t>
      </w:r>
      <w:r w:rsidR="00677815">
        <w:rPr>
          <w:rFonts w:cstheme="minorHAnsi"/>
          <w:lang w:val="en-US"/>
        </w:rPr>
        <w:t xml:space="preserve">go on to </w:t>
      </w:r>
      <w:r w:rsidR="00BF371A" w:rsidRPr="00677815">
        <w:rPr>
          <w:rFonts w:cstheme="minorHAnsi"/>
          <w:lang w:val="en-US"/>
        </w:rPr>
        <w:t>form a relatively</w:t>
      </w:r>
      <w:r w:rsidR="00BF371A">
        <w:rPr>
          <w:rFonts w:cs="Times New Roman"/>
          <w:lang w:val="en-US"/>
        </w:rPr>
        <w:t xml:space="preserve"> stable cornerstone in Peirce’s ongoing charting of the propositional field. It is important to note that in another of the pragmatism papers, Peirce already connects this action </w:t>
      </w:r>
      <w:r w:rsidR="00BF371A" w:rsidRPr="00BF371A">
        <w:rPr>
          <w:rFonts w:cs="Times New Roman"/>
          <w:color w:val="000000" w:themeColor="text1"/>
          <w:lang w:val="en-US"/>
        </w:rPr>
        <w:t>interpretation of belief propositions to his idea that the real</w:t>
      </w:r>
      <w:r w:rsidR="00464B39">
        <w:rPr>
          <w:rFonts w:cs="Times New Roman"/>
          <w:color w:val="000000" w:themeColor="text1"/>
          <w:lang w:val="en-US"/>
        </w:rPr>
        <w:t>,</w:t>
      </w:r>
      <w:r w:rsidR="00BF371A" w:rsidRPr="00BF371A">
        <w:rPr>
          <w:rFonts w:cs="Times New Roman"/>
          <w:color w:val="000000" w:themeColor="text1"/>
          <w:lang w:val="en-US"/>
        </w:rPr>
        <w:t xml:space="preserve"> </w:t>
      </w:r>
      <w:r w:rsidR="00677815">
        <w:rPr>
          <w:rFonts w:cs="Times New Roman"/>
          <w:color w:val="000000" w:themeColor="text1"/>
          <w:lang w:val="en-US"/>
        </w:rPr>
        <w:t>active proponent</w:t>
      </w:r>
      <w:r w:rsidR="00BF371A" w:rsidRPr="00BF371A">
        <w:rPr>
          <w:rFonts w:cs="Times New Roman"/>
          <w:color w:val="000000" w:themeColor="text1"/>
          <w:lang w:val="en-US"/>
        </w:rPr>
        <w:t xml:space="preserve"> of science is the scientific community rather than the individual</w:t>
      </w:r>
      <w:r w:rsidR="00677815">
        <w:rPr>
          <w:rFonts w:cs="Times New Roman"/>
          <w:color w:val="000000" w:themeColor="text1"/>
          <w:lang w:val="en-US"/>
        </w:rPr>
        <w:t xml:space="preserve"> scholar</w:t>
      </w:r>
      <w:r w:rsidR="00BF371A" w:rsidRPr="00BF371A">
        <w:rPr>
          <w:rFonts w:cs="Times New Roman"/>
          <w:color w:val="000000" w:themeColor="text1"/>
          <w:lang w:val="en-US"/>
        </w:rPr>
        <w:t>: “</w:t>
      </w:r>
      <w:r w:rsidR="00BF371A" w:rsidRPr="00BF371A">
        <w:rPr>
          <w:rFonts w:ascii="Calibri" w:eastAsia="Times New Roman" w:hAnsi="Calibri" w:cs="Arial"/>
          <w:color w:val="000000" w:themeColor="text1"/>
          <w:lang w:val="en-US" w:eastAsia="da-DK"/>
        </w:rPr>
        <w:t xml:space="preserve">… death makes the number of our risks, of our inferences, finite, and so makes their mean result uncertain. The very idea of probability and of reasoning rests on the assumption that this number is indefinitely great.” (“The Doctrine of Chances, 1878, 2.654). </w:t>
      </w:r>
      <w:r w:rsidR="00BF371A">
        <w:rPr>
          <w:rFonts w:ascii="Calibri" w:eastAsia="Times New Roman" w:hAnsi="Calibri" w:cs="Arial"/>
          <w:color w:val="000000"/>
          <w:lang w:val="en-US" w:eastAsia="da-DK"/>
        </w:rPr>
        <w:t xml:space="preserve">This tension is resolved by merging the individual researcher into the continuum of existing and </w:t>
      </w:r>
      <w:r w:rsidR="00BF371A" w:rsidRPr="00BF371A">
        <w:rPr>
          <w:rFonts w:ascii="Calibri" w:eastAsia="Times New Roman" w:hAnsi="Calibri" w:cs="Arial"/>
          <w:color w:val="000000" w:themeColor="text1"/>
          <w:lang w:val="en-US" w:eastAsia="da-DK"/>
        </w:rPr>
        <w:t xml:space="preserve">possible </w:t>
      </w:r>
      <w:r w:rsidR="00677815">
        <w:rPr>
          <w:rFonts w:ascii="Calibri" w:eastAsia="Times New Roman" w:hAnsi="Calibri" w:cs="Arial"/>
          <w:color w:val="000000" w:themeColor="text1"/>
          <w:lang w:val="en-US" w:eastAsia="da-DK"/>
        </w:rPr>
        <w:t xml:space="preserve">future </w:t>
      </w:r>
      <w:r w:rsidR="00BF371A" w:rsidRPr="00BF371A">
        <w:rPr>
          <w:rFonts w:ascii="Calibri" w:eastAsia="Times New Roman" w:hAnsi="Calibri" w:cs="Arial"/>
          <w:color w:val="000000" w:themeColor="text1"/>
          <w:lang w:val="en-US" w:eastAsia="da-DK"/>
        </w:rPr>
        <w:t xml:space="preserve">scientists, and </w:t>
      </w:r>
      <w:r w:rsidR="00677815">
        <w:rPr>
          <w:rFonts w:ascii="Calibri" w:eastAsia="Times New Roman" w:hAnsi="Calibri" w:cs="Arial"/>
          <w:color w:val="000000" w:themeColor="text1"/>
          <w:lang w:val="en-US" w:eastAsia="da-DK"/>
        </w:rPr>
        <w:t xml:space="preserve">coupling </w:t>
      </w:r>
      <w:r w:rsidR="00BF371A" w:rsidRPr="00BF371A">
        <w:rPr>
          <w:rFonts w:ascii="Calibri" w:eastAsia="Times New Roman" w:hAnsi="Calibri" w:cs="Arial"/>
          <w:color w:val="000000" w:themeColor="text1"/>
          <w:lang w:val="en-US" w:eastAsia="da-DK"/>
        </w:rPr>
        <w:t>our limited number of individual</w:t>
      </w:r>
      <w:r w:rsidR="00464B39">
        <w:rPr>
          <w:rFonts w:ascii="Calibri" w:eastAsia="Times New Roman" w:hAnsi="Calibri" w:cs="Arial"/>
          <w:color w:val="000000" w:themeColor="text1"/>
          <w:lang w:val="en-US" w:eastAsia="da-DK"/>
        </w:rPr>
        <w:t xml:space="preserve"> lifetime</w:t>
      </w:r>
      <w:r w:rsidR="00BF371A" w:rsidRPr="00BF371A">
        <w:rPr>
          <w:rFonts w:ascii="Calibri" w:eastAsia="Times New Roman" w:hAnsi="Calibri" w:cs="Arial"/>
          <w:color w:val="000000" w:themeColor="text1"/>
          <w:lang w:val="en-US" w:eastAsia="da-DK"/>
        </w:rPr>
        <w:t xml:space="preserve"> inferences into the indefinite series of future research. In that sense, “… our interests shall </w:t>
      </w:r>
      <w:r w:rsidR="00BF371A" w:rsidRPr="00BF371A">
        <w:rPr>
          <w:rFonts w:ascii="Calibri" w:eastAsia="Times New Roman" w:hAnsi="Calibri" w:cs="Arial"/>
          <w:i/>
          <w:iCs/>
          <w:color w:val="000000" w:themeColor="text1"/>
          <w:lang w:val="en-US" w:eastAsia="da-DK"/>
        </w:rPr>
        <w:t>not</w:t>
      </w:r>
      <w:r w:rsidR="00BF371A" w:rsidRPr="00BF371A">
        <w:rPr>
          <w:rFonts w:ascii="Calibri" w:eastAsia="Times New Roman" w:hAnsi="Calibri" w:cs="Arial"/>
          <w:color w:val="000000" w:themeColor="text1"/>
          <w:lang w:val="en-US" w:eastAsia="da-DK"/>
        </w:rPr>
        <w:t> be limited. They must not stop at our own fate, but must embrace the whole community. This community, again, must not be limited, but must extend to all races of beings with whom we can come into immediate or mediate intellectual relation. It must reach, however vaguely, beyond this geological epoch, beyond all bounds.” This beautiful Enlightenment idea</w:t>
      </w:r>
      <w:r w:rsidR="00677815">
        <w:rPr>
          <w:rFonts w:ascii="Calibri" w:eastAsia="Times New Roman" w:hAnsi="Calibri" w:cs="Arial"/>
          <w:color w:val="000000" w:themeColor="text1"/>
          <w:lang w:val="en-US" w:eastAsia="da-DK"/>
        </w:rPr>
        <w:t xml:space="preserve"> about individual beliefs as </w:t>
      </w:r>
      <w:r w:rsidR="008142CA">
        <w:rPr>
          <w:rFonts w:ascii="Calibri" w:eastAsia="Times New Roman" w:hAnsi="Calibri" w:cs="Arial"/>
          <w:color w:val="000000" w:themeColor="text1"/>
          <w:lang w:val="en-US" w:eastAsia="da-DK"/>
        </w:rPr>
        <w:t>finite building blocks of an infinite quest</w:t>
      </w:r>
      <w:r w:rsidR="00BF371A" w:rsidRPr="00BF371A">
        <w:rPr>
          <w:rFonts w:ascii="Calibri" w:eastAsia="Times New Roman" w:hAnsi="Calibri" w:cs="Arial"/>
          <w:color w:val="000000" w:themeColor="text1"/>
          <w:lang w:val="en-US" w:eastAsia="da-DK"/>
        </w:rPr>
        <w:t xml:space="preserve"> shall continue to inform the development of Peirce’s charting of the propositional </w:t>
      </w:r>
      <w:r w:rsidR="00BF371A">
        <w:rPr>
          <w:rFonts w:ascii="Calibri" w:eastAsia="Times New Roman" w:hAnsi="Calibri" w:cs="Arial"/>
          <w:color w:val="000000"/>
          <w:lang w:val="en-US" w:eastAsia="da-DK"/>
        </w:rPr>
        <w:t xml:space="preserve">field. </w:t>
      </w:r>
    </w:p>
    <w:p w14:paraId="3D93494A" w14:textId="77777777" w:rsidR="00BF371A" w:rsidRPr="00E61629" w:rsidRDefault="00BF371A" w:rsidP="00677815">
      <w:pPr>
        <w:spacing w:line="276" w:lineRule="auto"/>
        <w:jc w:val="both"/>
        <w:rPr>
          <w:rFonts w:eastAsia="Times New Roman" w:cs="Arial"/>
          <w:color w:val="000000" w:themeColor="text1"/>
          <w:lang w:val="en-US" w:eastAsia="da-DK"/>
        </w:rPr>
      </w:pPr>
      <w:r>
        <w:rPr>
          <w:rFonts w:cs="Times New Roman"/>
          <w:lang w:val="en-US"/>
        </w:rPr>
        <w:lastRenderedPageBreak/>
        <w:tab/>
      </w:r>
      <w:r w:rsidR="008142CA">
        <w:rPr>
          <w:rFonts w:cs="Times New Roman"/>
          <w:lang w:val="en-US"/>
        </w:rPr>
        <w:t>Not much</w:t>
      </w:r>
      <w:r>
        <w:rPr>
          <w:rFonts w:cs="Times New Roman"/>
          <w:lang w:val="en-US"/>
        </w:rPr>
        <w:t xml:space="preserve"> later, in </w:t>
      </w:r>
      <w:r w:rsidR="008142CA">
        <w:rPr>
          <w:rFonts w:cs="Times New Roman"/>
          <w:lang w:val="en-US"/>
        </w:rPr>
        <w:t>his</w:t>
      </w:r>
      <w:r>
        <w:rPr>
          <w:rFonts w:cs="Times New Roman"/>
          <w:lang w:val="en-US"/>
        </w:rPr>
        <w:t xml:space="preserve"> paper formalizing propositional logic, “On the Algebra of Logic” (1880), Peirce makes the following distinction: “</w:t>
      </w:r>
      <w:r w:rsidRPr="0052382C">
        <w:rPr>
          <w:rFonts w:eastAsia="Times New Roman" w:cs="Arial"/>
          <w:color w:val="000000"/>
          <w:lang w:val="en-US" w:eastAsia="da-DK"/>
        </w:rPr>
        <w:t>A cerebral habit of the highest kind, which will determine what we do in fancy as well as what we do in action, is called a </w:t>
      </w:r>
      <w:r w:rsidRPr="0052382C">
        <w:rPr>
          <w:rFonts w:eastAsia="Times New Roman" w:cs="Arial"/>
          <w:i/>
          <w:iCs/>
          <w:color w:val="000000"/>
          <w:lang w:val="en-US" w:eastAsia="da-DK"/>
        </w:rPr>
        <w:t>belief</w:t>
      </w:r>
      <w:r w:rsidRPr="0052382C">
        <w:rPr>
          <w:rFonts w:eastAsia="Times New Roman" w:cs="Arial"/>
          <w:color w:val="000000"/>
          <w:lang w:val="en-US" w:eastAsia="da-DK"/>
        </w:rPr>
        <w:t>. The representation to ourselves that we have a specified habit of this kind is called a</w:t>
      </w:r>
      <w:r w:rsidRPr="00B735F5">
        <w:rPr>
          <w:rFonts w:eastAsia="Times New Roman" w:cs="Arial"/>
          <w:color w:val="000000"/>
          <w:lang w:val="en-US" w:eastAsia="da-DK"/>
        </w:rPr>
        <w:t> </w:t>
      </w:r>
      <w:r w:rsidRPr="00B735F5">
        <w:rPr>
          <w:rFonts w:eastAsia="Times New Roman" w:cs="Arial"/>
          <w:i/>
          <w:iCs/>
          <w:color w:val="000000"/>
          <w:lang w:val="en-US" w:eastAsia="da-DK"/>
        </w:rPr>
        <w:t>judgment</w:t>
      </w:r>
      <w:r w:rsidRPr="0052382C">
        <w:rPr>
          <w:rFonts w:eastAsia="Times New Roman" w:cs="Arial"/>
          <w:color w:val="000000"/>
          <w:lang w:val="en-US" w:eastAsia="da-DK"/>
        </w:rPr>
        <w:t>.</w:t>
      </w:r>
      <w:r w:rsidRPr="00B735F5">
        <w:rPr>
          <w:rFonts w:eastAsia="Times New Roman" w:cs="Arial"/>
          <w:color w:val="000000"/>
          <w:lang w:val="en-US" w:eastAsia="da-DK"/>
        </w:rPr>
        <w:t> </w:t>
      </w:r>
      <w:r w:rsidRPr="00B735F5">
        <w:rPr>
          <w:rFonts w:eastAsia="Times New Roman" w:cs="Arial"/>
          <w:color w:val="000000"/>
          <w:shd w:val="clear" w:color="auto" w:fill="FFFFFF"/>
          <w:lang w:val="en-US" w:eastAsia="da-DK"/>
        </w:rPr>
        <w:t>A belief-habit in its development begins by being vague, special, and meagre; it becomes more precise, general, and full, without limit.</w:t>
      </w:r>
      <w:r w:rsidRPr="00220F55">
        <w:rPr>
          <w:rFonts w:eastAsia="Times New Roman" w:cs="Arial"/>
          <w:color w:val="000000" w:themeColor="text1"/>
          <w:shd w:val="clear" w:color="auto" w:fill="FFFFFF"/>
          <w:lang w:val="en-US" w:eastAsia="da-DK"/>
        </w:rPr>
        <w:t xml:space="preserve"> The process of this development, so far as it takes place in the imagination, is called </w:t>
      </w:r>
      <w:r w:rsidRPr="00220F55">
        <w:rPr>
          <w:rFonts w:eastAsia="Times New Roman" w:cs="Arial"/>
          <w:i/>
          <w:iCs/>
          <w:color w:val="000000" w:themeColor="text1"/>
          <w:shd w:val="clear" w:color="auto" w:fill="FFFFFF"/>
          <w:lang w:val="en-US" w:eastAsia="da-DK"/>
        </w:rPr>
        <w:t>thought</w:t>
      </w:r>
      <w:r w:rsidRPr="00220F55">
        <w:rPr>
          <w:rFonts w:eastAsia="Times New Roman" w:cs="Arial"/>
          <w:color w:val="000000" w:themeColor="text1"/>
          <w:lang w:val="en-US" w:eastAsia="da-DK"/>
        </w:rPr>
        <w:t xml:space="preserve">.” </w:t>
      </w:r>
      <w:r w:rsidR="00AC4DCF" w:rsidRPr="00220F55">
        <w:rPr>
          <w:rFonts w:eastAsia="Times New Roman" w:cs="Arial"/>
          <w:color w:val="000000" w:themeColor="text1"/>
          <w:lang w:val="en-US" w:eastAsia="da-DK"/>
        </w:rPr>
        <w:t xml:space="preserve">(W 4:164; CP 3.160). Here, an important vacillation is introduced, as to the </w:t>
      </w:r>
      <w:r w:rsidR="00AC4DCF" w:rsidRPr="008142CA">
        <w:rPr>
          <w:rFonts w:eastAsia="Times New Roman" w:cs="Arial"/>
          <w:i/>
          <w:color w:val="000000" w:themeColor="text1"/>
          <w:lang w:val="en-US" w:eastAsia="da-DK"/>
        </w:rPr>
        <w:t xml:space="preserve">degree of awareness </w:t>
      </w:r>
      <w:r w:rsidR="00AC4DCF" w:rsidRPr="00220F55">
        <w:rPr>
          <w:rFonts w:eastAsia="Times New Roman" w:cs="Arial"/>
          <w:color w:val="000000" w:themeColor="text1"/>
          <w:lang w:val="en-US" w:eastAsia="da-DK"/>
        </w:rPr>
        <w:t xml:space="preserve">which is required to entertain a belief. </w:t>
      </w:r>
      <w:r w:rsidR="008142CA">
        <w:rPr>
          <w:rFonts w:eastAsia="Times New Roman" w:cs="Arial"/>
          <w:color w:val="000000" w:themeColor="text1"/>
          <w:lang w:val="en-US" w:eastAsia="da-DK"/>
        </w:rPr>
        <w:t xml:space="preserve">Habits are not necessarily conscious, rather most of them are not, but the special habit subtype of </w:t>
      </w:r>
      <w:r w:rsidR="008142CA" w:rsidRPr="00124221">
        <w:rPr>
          <w:rFonts w:eastAsia="Times New Roman" w:cs="Arial"/>
          <w:i/>
          <w:iCs/>
          <w:color w:val="000000" w:themeColor="text1"/>
          <w:lang w:val="en-US" w:eastAsia="da-DK"/>
        </w:rPr>
        <w:t>belief</w:t>
      </w:r>
      <w:r w:rsidR="008142CA">
        <w:rPr>
          <w:rFonts w:eastAsia="Times New Roman" w:cs="Arial"/>
          <w:color w:val="000000" w:themeColor="text1"/>
          <w:lang w:val="en-US" w:eastAsia="da-DK"/>
        </w:rPr>
        <w:t xml:space="preserve"> seems different. </w:t>
      </w:r>
      <w:r w:rsidR="00AC4DCF" w:rsidRPr="00220F55">
        <w:rPr>
          <w:rFonts w:eastAsia="Times New Roman" w:cs="Arial"/>
          <w:color w:val="000000" w:themeColor="text1"/>
          <w:lang w:val="en-US" w:eastAsia="da-DK"/>
        </w:rPr>
        <w:t xml:space="preserve">In 1878, a requirement for belief was that the believer was </w:t>
      </w:r>
      <w:r w:rsidR="00AC4DCF" w:rsidRPr="00220F55">
        <w:rPr>
          <w:rFonts w:eastAsia="Times New Roman" w:cs="Arial"/>
          <w:i/>
          <w:color w:val="000000" w:themeColor="text1"/>
          <w:lang w:val="en-US" w:eastAsia="da-DK"/>
        </w:rPr>
        <w:t>aware</w:t>
      </w:r>
      <w:r w:rsidR="00AC4DCF" w:rsidRPr="00220F55">
        <w:rPr>
          <w:rFonts w:eastAsia="Times New Roman" w:cs="Arial"/>
          <w:color w:val="000000" w:themeColor="text1"/>
          <w:lang w:val="en-US" w:eastAsia="da-DK"/>
        </w:rPr>
        <w:t xml:space="preserve"> of it; now, more cautiously, </w:t>
      </w:r>
      <w:r w:rsidR="00AC4DCF" w:rsidRPr="008142CA">
        <w:rPr>
          <w:rFonts w:eastAsia="Times New Roman" w:cs="Arial"/>
          <w:i/>
          <w:color w:val="000000" w:themeColor="text1"/>
          <w:lang w:val="en-US" w:eastAsia="da-DK"/>
        </w:rPr>
        <w:t>judgment</w:t>
      </w:r>
      <w:r w:rsidR="00AC4DCF" w:rsidRPr="00220F55">
        <w:rPr>
          <w:rFonts w:eastAsia="Times New Roman" w:cs="Arial"/>
          <w:color w:val="000000" w:themeColor="text1"/>
          <w:lang w:val="en-US" w:eastAsia="da-DK"/>
        </w:rPr>
        <w:t xml:space="preserve"> is defined as one’s representation to oneself that one has this or that belief – the implication being that the latter needs not, </w:t>
      </w:r>
      <w:r w:rsidR="00AC4DCF" w:rsidRPr="00E61629">
        <w:rPr>
          <w:rFonts w:eastAsia="Times New Roman" w:cs="Arial"/>
          <w:color w:val="000000" w:themeColor="text1"/>
          <w:lang w:val="en-US" w:eastAsia="da-DK"/>
        </w:rPr>
        <w:t xml:space="preserve">in itself, be </w:t>
      </w:r>
      <w:r w:rsidR="008142CA" w:rsidRPr="00E61629">
        <w:rPr>
          <w:rFonts w:eastAsia="Times New Roman" w:cs="Arial"/>
          <w:color w:val="000000" w:themeColor="text1"/>
          <w:lang w:val="en-US" w:eastAsia="da-DK"/>
        </w:rPr>
        <w:t xml:space="preserve">the </w:t>
      </w:r>
      <w:r w:rsidR="00AC4DCF" w:rsidRPr="00E61629">
        <w:rPr>
          <w:rFonts w:eastAsia="Times New Roman" w:cs="Arial"/>
          <w:color w:val="000000" w:themeColor="text1"/>
          <w:lang w:val="en-US" w:eastAsia="da-DK"/>
        </w:rPr>
        <w:t xml:space="preserve">object of awareness or consciousness. This tension should occupy Peirce many times in the years to come. </w:t>
      </w:r>
    </w:p>
    <w:p w14:paraId="566F823C" w14:textId="3B81D61B" w:rsidR="004D45B3" w:rsidRPr="00E61629" w:rsidRDefault="00AC4DCF" w:rsidP="004D45B3">
      <w:pPr>
        <w:autoSpaceDE w:val="0"/>
        <w:autoSpaceDN w:val="0"/>
        <w:adjustRightInd w:val="0"/>
        <w:spacing w:line="276" w:lineRule="auto"/>
        <w:rPr>
          <w:rFonts w:cstheme="minorHAnsi"/>
          <w:color w:val="000000" w:themeColor="text1"/>
          <w:lang w:val="en-US"/>
        </w:rPr>
      </w:pPr>
      <w:r w:rsidRPr="00E61629">
        <w:rPr>
          <w:rFonts w:eastAsia="Times New Roman" w:cs="Arial"/>
          <w:color w:val="000000" w:themeColor="text1"/>
          <w:lang w:val="en-US" w:eastAsia="da-DK"/>
        </w:rPr>
        <w:tab/>
        <w:t xml:space="preserve">In the </w:t>
      </w:r>
      <w:r w:rsidR="00220F55" w:rsidRPr="00E61629">
        <w:rPr>
          <w:rFonts w:eastAsia="Times New Roman" w:cs="Arial"/>
          <w:color w:val="000000" w:themeColor="text1"/>
          <w:lang w:val="en-US" w:eastAsia="da-DK"/>
        </w:rPr>
        <w:t>early and mid-</w:t>
      </w:r>
      <w:r w:rsidRPr="00E61629">
        <w:rPr>
          <w:rFonts w:eastAsia="Times New Roman" w:cs="Arial"/>
          <w:color w:val="000000" w:themeColor="text1"/>
          <w:lang w:val="en-US" w:eastAsia="da-DK"/>
        </w:rPr>
        <w:t>1890’s</w:t>
      </w:r>
      <w:r w:rsidR="00220F55" w:rsidRPr="00E61629">
        <w:rPr>
          <w:rFonts w:eastAsia="Times New Roman" w:cs="Arial"/>
          <w:color w:val="000000" w:themeColor="text1"/>
          <w:lang w:val="en-US" w:eastAsia="da-DK"/>
        </w:rPr>
        <w:t>,</w:t>
      </w:r>
      <w:r w:rsidRPr="00E61629">
        <w:rPr>
          <w:rFonts w:eastAsia="Times New Roman" w:cs="Arial"/>
          <w:color w:val="000000" w:themeColor="text1"/>
          <w:lang w:val="en-US" w:eastAsia="da-DK"/>
        </w:rPr>
        <w:t xml:space="preserve"> working on the unfinished “Grand Logic”</w:t>
      </w:r>
      <w:r w:rsidR="00220F55" w:rsidRPr="00E61629">
        <w:rPr>
          <w:rFonts w:eastAsia="Times New Roman" w:cs="Arial"/>
          <w:color w:val="000000" w:themeColor="text1"/>
          <w:lang w:val="en-US" w:eastAsia="da-DK"/>
        </w:rPr>
        <w:t xml:space="preserve"> and “Short Logic”</w:t>
      </w:r>
      <w:r w:rsidRPr="00E61629">
        <w:rPr>
          <w:rFonts w:eastAsia="Times New Roman" w:cs="Arial"/>
          <w:color w:val="000000" w:themeColor="text1"/>
          <w:lang w:val="en-US" w:eastAsia="da-DK"/>
        </w:rPr>
        <w:t xml:space="preserve">, Peirce returns to the propositional field and the idea, originally introduced in the </w:t>
      </w:r>
      <w:r w:rsidR="008142CA" w:rsidRPr="00E61629">
        <w:rPr>
          <w:rFonts w:eastAsia="Times New Roman" w:cs="Arial"/>
          <w:color w:val="000000" w:themeColor="text1"/>
          <w:lang w:val="en-US" w:eastAsia="da-DK"/>
        </w:rPr>
        <w:t>“</w:t>
      </w:r>
      <w:r w:rsidRPr="00E61629">
        <w:rPr>
          <w:rFonts w:eastAsia="Times New Roman" w:cs="Arial"/>
          <w:color w:val="000000" w:themeColor="text1"/>
          <w:lang w:val="en-US" w:eastAsia="da-DK"/>
        </w:rPr>
        <w:t>Algebra of Logic</w:t>
      </w:r>
      <w:r w:rsidR="008142CA" w:rsidRPr="00E61629">
        <w:rPr>
          <w:rFonts w:eastAsia="Times New Roman" w:cs="Arial"/>
          <w:color w:val="000000" w:themeColor="text1"/>
          <w:lang w:val="en-US" w:eastAsia="da-DK"/>
        </w:rPr>
        <w:t>”</w:t>
      </w:r>
      <w:r w:rsidRPr="00E61629">
        <w:rPr>
          <w:rFonts w:eastAsia="Times New Roman" w:cs="Arial"/>
          <w:color w:val="000000" w:themeColor="text1"/>
          <w:lang w:val="en-US" w:eastAsia="da-DK"/>
        </w:rPr>
        <w:t xml:space="preserve"> papers, that the erasure of </w:t>
      </w:r>
      <w:r w:rsidR="008142CA" w:rsidRPr="00E61629">
        <w:rPr>
          <w:rFonts w:eastAsia="Times New Roman" w:cs="Arial"/>
          <w:color w:val="000000" w:themeColor="text1"/>
          <w:lang w:val="en-US" w:eastAsia="da-DK"/>
        </w:rPr>
        <w:t xml:space="preserve">the </w:t>
      </w:r>
      <w:r w:rsidRPr="00E61629">
        <w:rPr>
          <w:rFonts w:eastAsia="Times New Roman" w:cs="Arial"/>
          <w:color w:val="000000" w:themeColor="text1"/>
          <w:lang w:val="en-US" w:eastAsia="da-DK"/>
        </w:rPr>
        <w:t xml:space="preserve">subject indices of a proposition, be it expressed in a diagram or </w:t>
      </w:r>
      <w:r w:rsidR="008142CA" w:rsidRPr="00E61629">
        <w:rPr>
          <w:rFonts w:eastAsia="Times New Roman" w:cs="Arial"/>
          <w:color w:val="000000" w:themeColor="text1"/>
          <w:lang w:val="en-US" w:eastAsia="da-DK"/>
        </w:rPr>
        <w:t xml:space="preserve">in </w:t>
      </w:r>
      <w:r w:rsidRPr="00E61629">
        <w:rPr>
          <w:rFonts w:eastAsia="Times New Roman" w:cs="Arial"/>
          <w:color w:val="000000" w:themeColor="text1"/>
          <w:lang w:val="en-US" w:eastAsia="da-DK"/>
        </w:rPr>
        <w:t xml:space="preserve">a sentence, </w:t>
      </w:r>
      <w:r w:rsidR="008142CA" w:rsidRPr="00E61629">
        <w:rPr>
          <w:rFonts w:eastAsia="Times New Roman" w:cs="Arial"/>
          <w:color w:val="000000" w:themeColor="text1"/>
          <w:lang w:val="en-US" w:eastAsia="da-DK"/>
        </w:rPr>
        <w:t>yields the</w:t>
      </w:r>
      <w:r w:rsidRPr="00E61629">
        <w:rPr>
          <w:rFonts w:eastAsia="Times New Roman" w:cs="Arial"/>
          <w:color w:val="000000" w:themeColor="text1"/>
          <w:lang w:val="en-US" w:eastAsia="da-DK"/>
        </w:rPr>
        <w:t xml:space="preserve"> result </w:t>
      </w:r>
      <w:r w:rsidR="008142CA" w:rsidRPr="00E61629">
        <w:rPr>
          <w:rFonts w:eastAsia="Times New Roman" w:cs="Arial"/>
          <w:color w:val="000000" w:themeColor="text1"/>
          <w:lang w:val="en-US" w:eastAsia="da-DK"/>
        </w:rPr>
        <w:t>of</w:t>
      </w:r>
      <w:r w:rsidRPr="00E61629">
        <w:rPr>
          <w:rFonts w:eastAsia="Times New Roman" w:cs="Arial"/>
          <w:color w:val="000000" w:themeColor="text1"/>
          <w:lang w:val="en-US" w:eastAsia="da-DK"/>
        </w:rPr>
        <w:t xml:space="preserve"> a </w:t>
      </w:r>
      <w:r w:rsidR="008142CA" w:rsidRPr="00E61629">
        <w:rPr>
          <w:rFonts w:eastAsia="Times New Roman" w:cs="Arial"/>
          <w:color w:val="000000" w:themeColor="text1"/>
          <w:lang w:val="en-US" w:eastAsia="da-DK"/>
        </w:rPr>
        <w:t xml:space="preserve">naked </w:t>
      </w:r>
      <w:r w:rsidRPr="00E61629">
        <w:rPr>
          <w:rFonts w:eastAsia="Times New Roman" w:cs="Arial"/>
          <w:color w:val="000000" w:themeColor="text1"/>
          <w:lang w:val="en-US" w:eastAsia="da-DK"/>
        </w:rPr>
        <w:t xml:space="preserve">predicate </w:t>
      </w:r>
      <w:r w:rsidR="008142CA" w:rsidRPr="00E61629">
        <w:rPr>
          <w:rFonts w:eastAsia="Times New Roman" w:cs="Arial"/>
          <w:color w:val="000000" w:themeColor="text1"/>
          <w:lang w:val="en-US" w:eastAsia="da-DK"/>
        </w:rPr>
        <w:t>structure</w:t>
      </w:r>
      <w:r w:rsidRPr="00E61629">
        <w:rPr>
          <w:rFonts w:eastAsia="Times New Roman" w:cs="Arial"/>
          <w:color w:val="000000" w:themeColor="text1"/>
          <w:lang w:val="en-US" w:eastAsia="da-DK"/>
        </w:rPr>
        <w:t xml:space="preserve"> with the small difference that “</w:t>
      </w:r>
      <w:r w:rsidRPr="00E61629">
        <w:rPr>
          <w:rFonts w:cstheme="minorHAnsi"/>
          <w:color w:val="000000" w:themeColor="text1"/>
          <w:lang w:val="en-US"/>
        </w:rPr>
        <w:t>It differs from a relative term only in</w:t>
      </w:r>
      <w:r w:rsidR="00220F55" w:rsidRPr="00E61629">
        <w:rPr>
          <w:rFonts w:cstheme="minorHAnsi"/>
          <w:color w:val="000000" w:themeColor="text1"/>
          <w:lang w:val="en-US"/>
        </w:rPr>
        <w:t xml:space="preserve"> </w:t>
      </w:r>
      <w:r w:rsidRPr="00E61629">
        <w:rPr>
          <w:rFonts w:cstheme="minorHAnsi"/>
          <w:color w:val="000000" w:themeColor="text1"/>
          <w:lang w:val="en-US"/>
        </w:rPr>
        <w:t>retaining the "copula," or signal of assertion.” (</w:t>
      </w:r>
      <w:r w:rsidR="008142CA" w:rsidRPr="00E61629">
        <w:rPr>
          <w:rFonts w:cstheme="minorHAnsi"/>
          <w:color w:val="000000" w:themeColor="text1"/>
          <w:lang w:val="en-US"/>
        </w:rPr>
        <w:t>“</w:t>
      </w:r>
      <w:r w:rsidRPr="00E61629">
        <w:rPr>
          <w:rFonts w:cstheme="minorHAnsi"/>
          <w:color w:val="000000" w:themeColor="text1"/>
          <w:lang w:val="en-US"/>
        </w:rPr>
        <w:t>The Critic of Arguments</w:t>
      </w:r>
      <w:r w:rsidR="008142CA" w:rsidRPr="00E61629">
        <w:rPr>
          <w:rFonts w:cstheme="minorHAnsi"/>
          <w:color w:val="000000" w:themeColor="text1"/>
          <w:lang w:val="en-US"/>
        </w:rPr>
        <w:t>”,</w:t>
      </w:r>
      <w:r w:rsidRPr="00E61629">
        <w:rPr>
          <w:rFonts w:cstheme="minorHAnsi"/>
          <w:color w:val="000000" w:themeColor="text1"/>
          <w:lang w:val="en-US"/>
        </w:rPr>
        <w:t xml:space="preserve"> CP 3.420</w:t>
      </w:r>
      <w:r w:rsidR="00220F55" w:rsidRPr="00E61629">
        <w:rPr>
          <w:rFonts w:cstheme="minorHAnsi"/>
          <w:color w:val="000000" w:themeColor="text1"/>
          <w:lang w:val="en-US"/>
        </w:rPr>
        <w:t>, 1892</w:t>
      </w:r>
      <w:r w:rsidRPr="00E61629">
        <w:rPr>
          <w:rFonts w:cstheme="minorHAnsi"/>
          <w:color w:val="000000" w:themeColor="text1"/>
          <w:lang w:val="en-US"/>
        </w:rPr>
        <w:t xml:space="preserve">). Here Peirce, in the passing, identifies the copula of a proposition as </w:t>
      </w:r>
      <w:r w:rsidR="008142CA" w:rsidRPr="00E61629">
        <w:rPr>
          <w:rFonts w:cstheme="minorHAnsi"/>
          <w:color w:val="000000" w:themeColor="text1"/>
          <w:lang w:val="en-US"/>
        </w:rPr>
        <w:t>the</w:t>
      </w:r>
      <w:r w:rsidRPr="00E61629">
        <w:rPr>
          <w:rFonts w:cstheme="minorHAnsi"/>
          <w:color w:val="000000" w:themeColor="text1"/>
          <w:lang w:val="en-US"/>
        </w:rPr>
        <w:t xml:space="preserve"> sign of assertion</w:t>
      </w:r>
      <w:r w:rsidR="008142CA" w:rsidRPr="00E61629">
        <w:rPr>
          <w:rFonts w:cstheme="minorHAnsi"/>
          <w:color w:val="000000" w:themeColor="text1"/>
          <w:lang w:val="en-US"/>
        </w:rPr>
        <w:t>, a widespread idea</w:t>
      </w:r>
      <w:r w:rsidR="004D45B3" w:rsidRPr="00E61629">
        <w:rPr>
          <w:rFonts w:cstheme="minorHAnsi"/>
          <w:color w:val="000000" w:themeColor="text1"/>
          <w:lang w:val="en-US"/>
        </w:rPr>
        <w:t xml:space="preserve"> in the philosophy of logic</w:t>
      </w:r>
      <w:r w:rsidR="00464B39" w:rsidRPr="00E61629">
        <w:rPr>
          <w:rFonts w:cstheme="minorHAnsi"/>
          <w:color w:val="000000" w:themeColor="text1"/>
          <w:lang w:val="en-US"/>
        </w:rPr>
        <w:t xml:space="preserve"> at the time</w:t>
      </w:r>
      <w:r w:rsidR="004D45B3" w:rsidRPr="00E61629">
        <w:rPr>
          <w:rFonts w:cstheme="minorHAnsi"/>
          <w:color w:val="000000" w:themeColor="text1"/>
          <w:lang w:val="en-US"/>
        </w:rPr>
        <w:t xml:space="preserve">. At the same time, he expands on the idea: the copula in an assertion represents the experience which forces the specific combination of subject and predicate in a proposition: “The deliverer thus requires a kind of sign which shall signify a </w:t>
      </w:r>
      <w:r w:rsidR="004D45B3" w:rsidRPr="00E61629">
        <w:rPr>
          <w:rFonts w:cstheme="minorHAnsi"/>
          <w:i/>
          <w:color w:val="000000" w:themeColor="text1"/>
          <w:lang w:val="en-US"/>
        </w:rPr>
        <w:t>law</w:t>
      </w:r>
      <w:r w:rsidR="004D45B3" w:rsidRPr="00E61629">
        <w:rPr>
          <w:rFonts w:cstheme="minorHAnsi"/>
          <w:color w:val="000000" w:themeColor="text1"/>
          <w:lang w:val="en-US"/>
        </w:rPr>
        <w:t xml:space="preserve"> that to objects</w:t>
      </w:r>
      <w:r w:rsidR="00124221">
        <w:rPr>
          <w:rFonts w:cstheme="minorHAnsi"/>
          <w:color w:val="000000" w:themeColor="text1"/>
          <w:lang w:val="en-US"/>
        </w:rPr>
        <w:t xml:space="preserve"> </w:t>
      </w:r>
      <w:r w:rsidR="004D45B3" w:rsidRPr="00E61629">
        <w:rPr>
          <w:rFonts w:cstheme="minorHAnsi"/>
          <w:color w:val="000000" w:themeColor="text1"/>
          <w:lang w:val="en-US"/>
        </w:rPr>
        <w:t xml:space="preserve">of indices an icon appertains as sign of them in a given way. Such a sign has been called a </w:t>
      </w:r>
      <w:r w:rsidR="004D45B3" w:rsidRPr="00E61629">
        <w:rPr>
          <w:rFonts w:cstheme="minorHAnsi"/>
          <w:i/>
          <w:color w:val="000000" w:themeColor="text1"/>
          <w:lang w:val="en-US"/>
        </w:rPr>
        <w:t>symbol</w:t>
      </w:r>
      <w:r w:rsidR="004D45B3" w:rsidRPr="00E61629">
        <w:rPr>
          <w:rFonts w:cstheme="minorHAnsi"/>
          <w:color w:val="000000" w:themeColor="text1"/>
          <w:lang w:val="en-US"/>
        </w:rPr>
        <w:t xml:space="preserve">. It is the </w:t>
      </w:r>
      <w:r w:rsidR="004D45B3" w:rsidRPr="00E61629">
        <w:rPr>
          <w:rFonts w:cstheme="minorHAnsi"/>
          <w:i/>
          <w:color w:val="000000" w:themeColor="text1"/>
          <w:lang w:val="en-US"/>
        </w:rPr>
        <w:t>copula</w:t>
      </w:r>
      <w:r w:rsidR="004D45B3" w:rsidRPr="00E61629">
        <w:rPr>
          <w:rFonts w:cstheme="minorHAnsi"/>
          <w:color w:val="000000" w:themeColor="text1"/>
          <w:lang w:val="en-US"/>
        </w:rPr>
        <w:t xml:space="preserve"> of the assertion.” (1896, CP 3.435).</w:t>
      </w:r>
      <w:r w:rsidR="00325FB1">
        <w:rPr>
          <w:rStyle w:val="Slutnotehenvisning"/>
          <w:rFonts w:cstheme="minorHAnsi"/>
          <w:color w:val="000000" w:themeColor="text1"/>
          <w:lang w:val="en-US"/>
        </w:rPr>
        <w:endnoteReference w:id="4"/>
      </w:r>
    </w:p>
    <w:p w14:paraId="0EE41649" w14:textId="77777777" w:rsidR="00006B7E" w:rsidRPr="00E61629" w:rsidRDefault="00AC4DCF" w:rsidP="004D45B3">
      <w:pPr>
        <w:spacing w:line="276" w:lineRule="auto"/>
        <w:ind w:firstLine="1304"/>
        <w:rPr>
          <w:rFonts w:cstheme="minorHAnsi"/>
          <w:color w:val="000000" w:themeColor="text1"/>
          <w:lang w:val="en-US"/>
        </w:rPr>
      </w:pPr>
      <w:r w:rsidRPr="00E61629">
        <w:rPr>
          <w:rFonts w:cstheme="minorHAnsi"/>
          <w:color w:val="000000" w:themeColor="text1"/>
          <w:lang w:val="en-US"/>
        </w:rPr>
        <w:t>Peirce would later toy with other possibilities for identifying what it is in a proposition that makes</w:t>
      </w:r>
      <w:r w:rsidR="008142CA" w:rsidRPr="00E61629">
        <w:rPr>
          <w:rFonts w:cstheme="minorHAnsi"/>
          <w:color w:val="000000" w:themeColor="text1"/>
          <w:lang w:val="en-US"/>
        </w:rPr>
        <w:t xml:space="preserve"> it not only taking a truth value, but makes </w:t>
      </w:r>
      <w:r w:rsidRPr="00E61629">
        <w:rPr>
          <w:rFonts w:cstheme="minorHAnsi"/>
          <w:color w:val="000000" w:themeColor="text1"/>
          <w:lang w:val="en-US"/>
        </w:rPr>
        <w:t xml:space="preserve">it </w:t>
      </w:r>
      <w:r w:rsidRPr="00E61629">
        <w:rPr>
          <w:rFonts w:cstheme="minorHAnsi"/>
          <w:i/>
          <w:color w:val="000000" w:themeColor="text1"/>
          <w:lang w:val="en-US"/>
        </w:rPr>
        <w:t>assert</w:t>
      </w:r>
      <w:r w:rsidRPr="00E61629">
        <w:rPr>
          <w:rFonts w:cstheme="minorHAnsi"/>
          <w:color w:val="000000" w:themeColor="text1"/>
          <w:lang w:val="en-US"/>
        </w:rPr>
        <w:t xml:space="preserve"> its truth</w:t>
      </w:r>
      <w:r w:rsidR="00220F55" w:rsidRPr="00E61629">
        <w:rPr>
          <w:rFonts w:cstheme="minorHAnsi"/>
          <w:color w:val="000000" w:themeColor="text1"/>
          <w:lang w:val="en-US"/>
        </w:rPr>
        <w:t>. A couple of years later, however, things are already more complicated: “</w:t>
      </w:r>
      <w:r w:rsidR="00220F55" w:rsidRPr="00E61629">
        <w:rPr>
          <w:rFonts w:eastAsia="Times New Roman" w:cstheme="minorHAnsi"/>
          <w:color w:val="000000" w:themeColor="text1"/>
          <w:lang w:val="en-US" w:eastAsia="da-DK"/>
        </w:rPr>
        <w:t>A proposition </w:t>
      </w:r>
      <w:r w:rsidR="00220F55" w:rsidRPr="00E61629">
        <w:rPr>
          <w:rFonts w:eastAsia="Times New Roman" w:cstheme="minorHAnsi"/>
          <w:i/>
          <w:iCs/>
          <w:color w:val="000000" w:themeColor="text1"/>
          <w:lang w:val="en-US" w:eastAsia="da-DK"/>
        </w:rPr>
        <w:t>asserts</w:t>
      </w:r>
      <w:r w:rsidR="00220F55" w:rsidRPr="00E61629">
        <w:rPr>
          <w:rFonts w:eastAsia="Times New Roman" w:cstheme="minorHAnsi"/>
          <w:color w:val="000000" w:themeColor="text1"/>
          <w:lang w:val="en-US" w:eastAsia="da-DK"/>
        </w:rPr>
        <w:t xml:space="preserve"> something. That assertion is performed by the symbol which stands for the act of consciousness. </w:t>
      </w:r>
      <w:r w:rsidR="00220F55" w:rsidRPr="00E61629">
        <w:rPr>
          <w:rFonts w:eastAsia="Times New Roman" w:cstheme="minorHAnsi"/>
          <w:color w:val="000000" w:themeColor="text1"/>
          <w:shd w:val="clear" w:color="auto" w:fill="FFFFFF"/>
          <w:lang w:val="en-US" w:eastAsia="da-DK"/>
        </w:rPr>
        <w:t>That which accounts for </w:t>
      </w:r>
      <w:r w:rsidR="00220F55" w:rsidRPr="00E61629">
        <w:rPr>
          <w:rFonts w:eastAsia="Times New Roman" w:cstheme="minorHAnsi"/>
          <w:i/>
          <w:iCs/>
          <w:color w:val="000000" w:themeColor="text1"/>
          <w:shd w:val="clear" w:color="auto" w:fill="FFFFFF"/>
          <w:lang w:val="en-US" w:eastAsia="da-DK"/>
        </w:rPr>
        <w:t>assertion</w:t>
      </w:r>
      <w:r w:rsidR="00220F55" w:rsidRPr="00E61629">
        <w:rPr>
          <w:rFonts w:eastAsia="Times New Roman" w:cstheme="minorHAnsi"/>
          <w:color w:val="000000" w:themeColor="text1"/>
          <w:shd w:val="clear" w:color="auto" w:fill="FFFFFF"/>
          <w:lang w:val="en-US" w:eastAsia="da-DK"/>
        </w:rPr>
        <w:t> seeming so different from other sorts of signification is its </w:t>
      </w:r>
      <w:r w:rsidR="00220F55" w:rsidRPr="00E61629">
        <w:rPr>
          <w:rFonts w:eastAsia="Times New Roman" w:cstheme="minorHAnsi"/>
          <w:i/>
          <w:iCs/>
          <w:color w:val="000000" w:themeColor="text1"/>
          <w:shd w:val="clear" w:color="auto" w:fill="FFFFFF"/>
          <w:lang w:val="en-US" w:eastAsia="da-DK"/>
        </w:rPr>
        <w:t>volitional</w:t>
      </w:r>
      <w:r w:rsidR="00220F55" w:rsidRPr="00E61629">
        <w:rPr>
          <w:rFonts w:eastAsia="Times New Roman" w:cstheme="minorHAnsi"/>
          <w:color w:val="000000" w:themeColor="text1"/>
          <w:shd w:val="clear" w:color="auto" w:fill="FFFFFF"/>
          <w:lang w:val="en-US" w:eastAsia="da-DK"/>
        </w:rPr>
        <w:t> character</w:t>
      </w:r>
      <w:r w:rsidR="00220F55" w:rsidRPr="00E61629">
        <w:rPr>
          <w:rFonts w:eastAsia="Times New Roman" w:cstheme="minorHAnsi"/>
          <w:color w:val="000000" w:themeColor="text1"/>
          <w:lang w:val="en-US" w:eastAsia="da-DK"/>
        </w:rPr>
        <w:t xml:space="preserve">. Every assertion is an assertion that two different signs have the same object. </w:t>
      </w:r>
      <w:r w:rsidR="00220F55" w:rsidRPr="00E61629">
        <w:rPr>
          <w:rFonts w:cstheme="minorHAnsi"/>
          <w:color w:val="000000" w:themeColor="text1"/>
          <w:lang w:val="en-US"/>
        </w:rPr>
        <w:t>If we ask why it should have that dual character, the answer is that volition</w:t>
      </w:r>
      <w:r w:rsidR="00220F55" w:rsidRPr="00E61629">
        <w:rPr>
          <w:rFonts w:eastAsia="Times New Roman" w:cstheme="minorHAnsi"/>
          <w:color w:val="000000" w:themeColor="text1"/>
          <w:lang w:val="en-US" w:eastAsia="da-DK"/>
        </w:rPr>
        <w:t xml:space="preserve"> </w:t>
      </w:r>
      <w:r w:rsidR="00220F55" w:rsidRPr="00E61629">
        <w:rPr>
          <w:rFonts w:cstheme="minorHAnsi"/>
          <w:color w:val="000000" w:themeColor="text1"/>
          <w:lang w:val="en-US"/>
        </w:rPr>
        <w:t>involves an action and reaction.” (</w:t>
      </w:r>
      <w:r w:rsidR="00373251" w:rsidRPr="00E61629">
        <w:rPr>
          <w:rFonts w:cstheme="minorHAnsi"/>
          <w:color w:val="000000" w:themeColor="text1"/>
          <w:lang w:val="en-US"/>
        </w:rPr>
        <w:t>“</w:t>
      </w:r>
      <w:r w:rsidR="00220F55" w:rsidRPr="00E61629">
        <w:rPr>
          <w:rFonts w:eastAsia="Times New Roman" w:cstheme="minorHAnsi"/>
          <w:color w:val="000000" w:themeColor="text1"/>
          <w:lang w:val="en-US" w:eastAsia="da-DK"/>
        </w:rPr>
        <w:t>Short Logic</w:t>
      </w:r>
      <w:r w:rsidR="00373251" w:rsidRPr="00E61629">
        <w:rPr>
          <w:rFonts w:eastAsia="Times New Roman" w:cstheme="minorHAnsi"/>
          <w:color w:val="000000" w:themeColor="text1"/>
          <w:lang w:val="en-US" w:eastAsia="da-DK"/>
        </w:rPr>
        <w:t>”,</w:t>
      </w:r>
      <w:r w:rsidR="00220F55" w:rsidRPr="00E61629">
        <w:rPr>
          <w:rFonts w:eastAsia="Times New Roman" w:cstheme="minorHAnsi"/>
          <w:color w:val="000000" w:themeColor="text1"/>
          <w:lang w:val="en-US" w:eastAsia="da-DK"/>
        </w:rPr>
        <w:t> EP 2:20</w:t>
      </w:r>
      <w:r w:rsidR="00373251" w:rsidRPr="00E61629">
        <w:rPr>
          <w:rFonts w:eastAsia="Times New Roman" w:cstheme="minorHAnsi"/>
          <w:color w:val="000000" w:themeColor="text1"/>
          <w:lang w:val="en-US" w:eastAsia="da-DK"/>
        </w:rPr>
        <w:t xml:space="preserve">; </w:t>
      </w:r>
      <w:r w:rsidR="00220F55" w:rsidRPr="00E61629">
        <w:rPr>
          <w:rFonts w:eastAsia="Times New Roman" w:cstheme="minorHAnsi"/>
          <w:color w:val="000000" w:themeColor="text1"/>
          <w:lang w:val="en-US" w:eastAsia="da-DK"/>
        </w:rPr>
        <w:t>CP 2.436-438)</w:t>
      </w:r>
      <w:r w:rsidR="00220F55" w:rsidRPr="00E61629">
        <w:rPr>
          <w:rFonts w:cstheme="minorHAnsi"/>
          <w:color w:val="000000" w:themeColor="text1"/>
          <w:lang w:val="en-US"/>
        </w:rPr>
        <w:t xml:space="preserve">. </w:t>
      </w:r>
    </w:p>
    <w:p w14:paraId="5F37A3DE" w14:textId="77777777" w:rsidR="00006B7E" w:rsidRPr="00E61629" w:rsidRDefault="00220F55" w:rsidP="00677815">
      <w:pPr>
        <w:spacing w:line="276" w:lineRule="auto"/>
        <w:ind w:firstLine="1304"/>
        <w:rPr>
          <w:rFonts w:cstheme="minorHAnsi"/>
          <w:color w:val="000000" w:themeColor="text1"/>
          <w:lang w:val="en-US"/>
        </w:rPr>
      </w:pPr>
      <w:r w:rsidRPr="00E61629">
        <w:rPr>
          <w:rFonts w:cstheme="minorHAnsi"/>
          <w:color w:val="000000" w:themeColor="text1"/>
          <w:lang w:val="en-US"/>
        </w:rPr>
        <w:t xml:space="preserve">Here, two important new ideas appear. One is the idea that the assertion functions by addressing </w:t>
      </w:r>
      <w:r w:rsidRPr="00E61629">
        <w:rPr>
          <w:rFonts w:cstheme="minorHAnsi"/>
          <w:i/>
          <w:color w:val="000000" w:themeColor="text1"/>
          <w:lang w:val="en-US"/>
        </w:rPr>
        <w:t>aspects</w:t>
      </w:r>
      <w:r w:rsidR="008142CA" w:rsidRPr="00E61629">
        <w:rPr>
          <w:rFonts w:cstheme="minorHAnsi"/>
          <w:i/>
          <w:color w:val="000000" w:themeColor="text1"/>
          <w:lang w:val="en-US"/>
        </w:rPr>
        <w:t xml:space="preserve"> or parts</w:t>
      </w:r>
      <w:r w:rsidRPr="00E61629">
        <w:rPr>
          <w:rFonts w:cstheme="minorHAnsi"/>
          <w:i/>
          <w:color w:val="000000" w:themeColor="text1"/>
          <w:lang w:val="en-US"/>
        </w:rPr>
        <w:t xml:space="preserve"> of the propositional sign itself</w:t>
      </w:r>
      <w:r w:rsidRPr="00E61629">
        <w:rPr>
          <w:rFonts w:cstheme="minorHAnsi"/>
          <w:color w:val="000000" w:themeColor="text1"/>
          <w:lang w:val="en-US"/>
        </w:rPr>
        <w:t xml:space="preserve">: it claims that two partial signs of the proposition (the subject and the predicate) have one and the same object. </w:t>
      </w:r>
      <w:r w:rsidR="00373251" w:rsidRPr="00E61629">
        <w:rPr>
          <w:rFonts w:cstheme="minorHAnsi"/>
          <w:color w:val="000000" w:themeColor="text1"/>
          <w:lang w:val="en-US"/>
        </w:rPr>
        <w:t>A bit later, this idea is taken to make other mechanisms of assertion superfluous: “</w:t>
      </w:r>
      <w:r w:rsidR="00373251" w:rsidRPr="00E61629">
        <w:rPr>
          <w:rFonts w:eastAsia="Times New Roman" w:cs="Arial"/>
          <w:color w:val="000000" w:themeColor="text1"/>
          <w:lang w:val="en-US" w:eastAsia="da-DK"/>
        </w:rPr>
        <w:t>A proposition should be defined as that which </w:t>
      </w:r>
      <w:r w:rsidR="00373251" w:rsidRPr="00E61629">
        <w:rPr>
          <w:rFonts w:eastAsia="Times New Roman" w:cs="Arial"/>
          <w:i/>
          <w:iCs/>
          <w:color w:val="000000" w:themeColor="text1"/>
          <w:lang w:val="en-US" w:eastAsia="da-DK"/>
        </w:rPr>
        <w:t>professes</w:t>
      </w:r>
      <w:r w:rsidR="00373251" w:rsidRPr="00E61629">
        <w:rPr>
          <w:rFonts w:eastAsia="Times New Roman" w:cs="Arial"/>
          <w:color w:val="000000" w:themeColor="text1"/>
          <w:lang w:val="en-US" w:eastAsia="da-DK"/>
        </w:rPr>
        <w:t> to be true, or assigns a logical value to itself. </w:t>
      </w:r>
      <w:r w:rsidR="00373251" w:rsidRPr="00E61629">
        <w:rPr>
          <w:rFonts w:eastAsia="Times New Roman" w:cs="Arial"/>
          <w:color w:val="000000" w:themeColor="text1"/>
          <w:shd w:val="clear" w:color="auto" w:fill="FFFFFF"/>
          <w:lang w:val="en-US" w:eastAsia="da-DK"/>
        </w:rPr>
        <w:t>The </w:t>
      </w:r>
      <w:r w:rsidR="00373251" w:rsidRPr="00E61629">
        <w:rPr>
          <w:rFonts w:eastAsia="Times New Roman" w:cs="Arial"/>
          <w:i/>
          <w:iCs/>
          <w:color w:val="000000" w:themeColor="text1"/>
          <w:shd w:val="clear" w:color="auto" w:fill="FFFFFF"/>
          <w:lang w:val="en-US" w:eastAsia="da-DK"/>
        </w:rPr>
        <w:t>Truth</w:t>
      </w:r>
      <w:r w:rsidR="00373251" w:rsidRPr="00E61629">
        <w:rPr>
          <w:rFonts w:eastAsia="Times New Roman" w:cs="Arial"/>
          <w:color w:val="000000" w:themeColor="text1"/>
          <w:shd w:val="clear" w:color="auto" w:fill="FFFFFF"/>
          <w:lang w:val="en-US" w:eastAsia="da-DK"/>
        </w:rPr>
        <w:t> is defined as that logical value which a proposition assigns to itself</w:t>
      </w:r>
      <w:r w:rsidR="00373251" w:rsidRPr="00E61629">
        <w:rPr>
          <w:rFonts w:eastAsia="Times New Roman" w:cs="Arial"/>
          <w:color w:val="000000" w:themeColor="text1"/>
          <w:lang w:val="en-US" w:eastAsia="da-DK"/>
        </w:rPr>
        <w:t>. Whether or not there really is such value, whether there </w:t>
      </w:r>
      <w:r w:rsidR="00373251" w:rsidRPr="00E61629">
        <w:rPr>
          <w:rFonts w:eastAsia="Times New Roman" w:cs="Arial"/>
          <w:i/>
          <w:iCs/>
          <w:color w:val="000000" w:themeColor="text1"/>
          <w:lang w:val="en-US" w:eastAsia="da-DK"/>
        </w:rPr>
        <w:t>is</w:t>
      </w:r>
      <w:r w:rsidR="00373251" w:rsidRPr="00E61629">
        <w:rPr>
          <w:rFonts w:eastAsia="Times New Roman" w:cs="Arial"/>
          <w:color w:val="000000" w:themeColor="text1"/>
          <w:lang w:val="en-US" w:eastAsia="da-DK"/>
        </w:rPr>
        <w:t xml:space="preserve"> any truth is a question, not of definitions, but of fact.” </w:t>
      </w:r>
      <w:r w:rsidR="00006B7E" w:rsidRPr="00E61629">
        <w:rPr>
          <w:rFonts w:eastAsia="Times New Roman" w:cs="Arial"/>
          <w:color w:val="000000" w:themeColor="text1"/>
          <w:lang w:val="en-US" w:eastAsia="da-DK"/>
        </w:rPr>
        <w:t>(</w:t>
      </w:r>
      <w:r w:rsidR="00167D4F" w:rsidRPr="00E61629">
        <w:rPr>
          <w:rFonts w:eastAsia="Times New Roman" w:cs="Arial"/>
          <w:color w:val="000000" w:themeColor="text1"/>
          <w:lang w:val="en-US" w:eastAsia="da-DK"/>
        </w:rPr>
        <w:t>“</w:t>
      </w:r>
      <w:r w:rsidR="00006B7E" w:rsidRPr="00E61629">
        <w:rPr>
          <w:rFonts w:eastAsia="Times New Roman" w:cs="Arial"/>
          <w:color w:val="000000" w:themeColor="text1"/>
          <w:lang w:val="en-US" w:eastAsia="da-DK"/>
        </w:rPr>
        <w:t xml:space="preserve">On the Logic of </w:t>
      </w:r>
      <w:r w:rsidR="00006B7E" w:rsidRPr="00E61629">
        <w:rPr>
          <w:rFonts w:eastAsia="Times New Roman" w:cs="Arial"/>
          <w:color w:val="000000" w:themeColor="text1"/>
          <w:lang w:val="en-US" w:eastAsia="da-DK"/>
        </w:rPr>
        <w:lastRenderedPageBreak/>
        <w:t>Quantity</w:t>
      </w:r>
      <w:r w:rsidR="00167D4F" w:rsidRPr="00E61629">
        <w:rPr>
          <w:rFonts w:eastAsia="Times New Roman" w:cs="Arial"/>
          <w:color w:val="000000" w:themeColor="text1"/>
          <w:lang w:val="en-US" w:eastAsia="da-DK"/>
        </w:rPr>
        <w:t xml:space="preserve">”, </w:t>
      </w:r>
      <w:r w:rsidR="00006B7E" w:rsidRPr="00E61629">
        <w:rPr>
          <w:rFonts w:eastAsia="Times New Roman" w:cs="Arial"/>
          <w:color w:val="000000" w:themeColor="text1"/>
          <w:lang w:val="en-US" w:eastAsia="da-DK"/>
        </w:rPr>
        <w:t>MS [R] 13</w:t>
      </w:r>
      <w:r w:rsidR="00167D4F" w:rsidRPr="00E61629">
        <w:rPr>
          <w:rFonts w:eastAsia="Times New Roman" w:cs="Arial"/>
          <w:color w:val="000000" w:themeColor="text1"/>
          <w:lang w:val="en-US" w:eastAsia="da-DK"/>
        </w:rPr>
        <w:t>,</w:t>
      </w:r>
      <w:r w:rsidR="00006B7E" w:rsidRPr="00E61629">
        <w:rPr>
          <w:rFonts w:eastAsia="Times New Roman" w:cs="Arial"/>
          <w:color w:val="000000" w:themeColor="text1"/>
          <w:lang w:val="en-US" w:eastAsia="da-DK"/>
        </w:rPr>
        <w:t>7</w:t>
      </w:r>
      <w:r w:rsidR="00167D4F" w:rsidRPr="00E61629">
        <w:rPr>
          <w:rFonts w:eastAsia="Times New Roman" w:cs="Arial"/>
          <w:color w:val="000000" w:themeColor="text1"/>
          <w:lang w:val="en-US" w:eastAsia="da-DK"/>
        </w:rPr>
        <w:t xml:space="preserve"> 1896</w:t>
      </w:r>
      <w:r w:rsidR="00006B7E" w:rsidRPr="00E61629">
        <w:rPr>
          <w:rFonts w:eastAsia="Times New Roman" w:cs="Arial"/>
          <w:color w:val="000000" w:themeColor="text1"/>
          <w:lang w:val="en-US" w:eastAsia="da-DK"/>
        </w:rPr>
        <w:t>)</w:t>
      </w:r>
      <w:r w:rsidR="00167D4F" w:rsidRPr="00E61629">
        <w:rPr>
          <w:rFonts w:eastAsia="Times New Roman" w:cs="Arial"/>
          <w:color w:val="000000" w:themeColor="text1"/>
          <w:lang w:val="en-US" w:eastAsia="da-DK"/>
        </w:rPr>
        <w:t>.</w:t>
      </w:r>
      <w:r w:rsidR="00006B7E" w:rsidRPr="00E61629">
        <w:rPr>
          <w:rFonts w:eastAsia="Times New Roman" w:cs="Arial"/>
          <w:color w:val="000000" w:themeColor="text1"/>
          <w:lang w:val="en-US" w:eastAsia="da-DK"/>
        </w:rPr>
        <w:t xml:space="preserve"> Here, th</w:t>
      </w:r>
      <w:r w:rsidR="008142CA" w:rsidRPr="00E61629">
        <w:rPr>
          <w:rFonts w:eastAsia="Times New Roman" w:cs="Arial"/>
          <w:color w:val="000000" w:themeColor="text1"/>
          <w:lang w:val="en-US" w:eastAsia="da-DK"/>
        </w:rPr>
        <w:t>is</w:t>
      </w:r>
      <w:r w:rsidR="00006B7E" w:rsidRPr="00E61629">
        <w:rPr>
          <w:rFonts w:eastAsia="Times New Roman" w:cs="Arial"/>
          <w:color w:val="000000" w:themeColor="text1"/>
          <w:lang w:val="en-US" w:eastAsia="da-DK"/>
        </w:rPr>
        <w:t xml:space="preserve"> self-reference of the proposition is sufficient to make it assert its truth. </w:t>
      </w:r>
      <w:r w:rsidRPr="00E61629">
        <w:rPr>
          <w:rFonts w:cstheme="minorHAnsi"/>
          <w:color w:val="000000" w:themeColor="text1"/>
          <w:lang w:val="en-US"/>
        </w:rPr>
        <w:t xml:space="preserve">The other </w:t>
      </w:r>
      <w:r w:rsidR="00006B7E" w:rsidRPr="00E61629">
        <w:rPr>
          <w:rFonts w:cstheme="minorHAnsi"/>
          <w:color w:val="000000" w:themeColor="text1"/>
          <w:lang w:val="en-US"/>
        </w:rPr>
        <w:t xml:space="preserve">new idea </w:t>
      </w:r>
      <w:r w:rsidRPr="00E61629">
        <w:rPr>
          <w:rFonts w:cstheme="minorHAnsi"/>
          <w:color w:val="000000" w:themeColor="text1"/>
          <w:lang w:val="en-US"/>
        </w:rPr>
        <w:t>is that this claim is not really made by the proposition sign</w:t>
      </w:r>
      <w:r w:rsidR="008142CA" w:rsidRPr="00E61629">
        <w:rPr>
          <w:rFonts w:cstheme="minorHAnsi"/>
          <w:color w:val="000000" w:themeColor="text1"/>
          <w:lang w:val="en-US"/>
        </w:rPr>
        <w:t xml:space="preserve"> itself</w:t>
      </w:r>
      <w:r w:rsidRPr="00E61629">
        <w:rPr>
          <w:rFonts w:cstheme="minorHAnsi"/>
          <w:color w:val="000000" w:themeColor="text1"/>
          <w:lang w:val="en-US"/>
        </w:rPr>
        <w:t xml:space="preserve">, but in an </w:t>
      </w:r>
      <w:r w:rsidR="00373251" w:rsidRPr="00E61629">
        <w:rPr>
          <w:rFonts w:cstheme="minorHAnsi"/>
          <w:color w:val="000000" w:themeColor="text1"/>
          <w:lang w:val="en-US"/>
        </w:rPr>
        <w:t>underlying</w:t>
      </w:r>
      <w:r w:rsidRPr="00E61629">
        <w:rPr>
          <w:rFonts w:cstheme="minorHAnsi"/>
          <w:color w:val="000000" w:themeColor="text1"/>
          <w:lang w:val="en-US"/>
        </w:rPr>
        <w:t xml:space="preserve"> </w:t>
      </w:r>
      <w:r w:rsidRPr="00E61629">
        <w:rPr>
          <w:rFonts w:cstheme="minorHAnsi"/>
          <w:i/>
          <w:color w:val="000000" w:themeColor="text1"/>
          <w:lang w:val="en-US"/>
        </w:rPr>
        <w:t>act of will</w:t>
      </w:r>
      <w:r w:rsidRPr="00E61629">
        <w:rPr>
          <w:rFonts w:cstheme="minorHAnsi"/>
          <w:color w:val="000000" w:themeColor="text1"/>
          <w:lang w:val="en-US"/>
        </w:rPr>
        <w:t xml:space="preserve"> </w:t>
      </w:r>
      <w:r w:rsidR="00373251" w:rsidRPr="00E61629">
        <w:rPr>
          <w:rFonts w:cstheme="minorHAnsi"/>
          <w:color w:val="000000" w:themeColor="text1"/>
          <w:lang w:val="en-US"/>
        </w:rPr>
        <w:t xml:space="preserve">performed </w:t>
      </w:r>
      <w:r w:rsidRPr="00E61629">
        <w:rPr>
          <w:rFonts w:cstheme="minorHAnsi"/>
          <w:color w:val="000000" w:themeColor="text1"/>
          <w:lang w:val="en-US"/>
        </w:rPr>
        <w:t>by a consciousness</w:t>
      </w:r>
      <w:r w:rsidR="00373251" w:rsidRPr="00E61629">
        <w:rPr>
          <w:rFonts w:cstheme="minorHAnsi"/>
          <w:color w:val="000000" w:themeColor="text1"/>
          <w:lang w:val="en-US"/>
        </w:rPr>
        <w:t xml:space="preserve"> which is really here the source of assertion</w:t>
      </w:r>
      <w:r w:rsidR="008142CA" w:rsidRPr="00E61629">
        <w:rPr>
          <w:rFonts w:cstheme="minorHAnsi"/>
          <w:color w:val="000000" w:themeColor="text1"/>
          <w:lang w:val="en-US"/>
        </w:rPr>
        <w:t xml:space="preserve">, while the expression of it in a symbol is a secondary representation of that volitional act. </w:t>
      </w:r>
      <w:r w:rsidRPr="00E61629">
        <w:rPr>
          <w:rFonts w:cstheme="minorHAnsi"/>
          <w:color w:val="000000" w:themeColor="text1"/>
          <w:lang w:val="en-US"/>
        </w:rPr>
        <w:t xml:space="preserve">Oftentimes, it is surprising how psychologistic Peirce’s logic anno mid-1890’s </w:t>
      </w:r>
      <w:r w:rsidR="00F3630E">
        <w:rPr>
          <w:rFonts w:cstheme="minorHAnsi"/>
          <w:color w:val="000000" w:themeColor="text1"/>
          <w:lang w:val="en-US"/>
        </w:rPr>
        <w:t>– Bellucci’s fourth phase – </w:t>
      </w:r>
      <w:r w:rsidR="008142CA" w:rsidRPr="00E61629">
        <w:rPr>
          <w:rFonts w:cstheme="minorHAnsi"/>
          <w:color w:val="000000" w:themeColor="text1"/>
          <w:lang w:val="en-US"/>
        </w:rPr>
        <w:t>may appear</w:t>
      </w:r>
      <w:r w:rsidR="00F3630E">
        <w:rPr>
          <w:rFonts w:cstheme="minorHAnsi"/>
          <w:color w:val="000000" w:themeColor="text1"/>
          <w:lang w:val="en-US"/>
        </w:rPr>
        <w:t xml:space="preserve">, </w:t>
      </w:r>
      <w:r w:rsidRPr="00E61629">
        <w:rPr>
          <w:rFonts w:cstheme="minorHAnsi"/>
          <w:color w:val="000000" w:themeColor="text1"/>
          <w:lang w:val="en-US"/>
        </w:rPr>
        <w:t xml:space="preserve">complete with </w:t>
      </w:r>
      <w:r w:rsidR="00373251" w:rsidRPr="00E61629">
        <w:rPr>
          <w:rFonts w:cstheme="minorHAnsi"/>
          <w:color w:val="000000" w:themeColor="text1"/>
          <w:lang w:val="en-US"/>
        </w:rPr>
        <w:t>an</w:t>
      </w:r>
      <w:r w:rsidRPr="00E61629">
        <w:rPr>
          <w:rFonts w:cstheme="minorHAnsi"/>
          <w:color w:val="000000" w:themeColor="text1"/>
          <w:lang w:val="en-US"/>
        </w:rPr>
        <w:t xml:space="preserve"> accompanying </w:t>
      </w:r>
      <w:r w:rsidR="008142CA" w:rsidRPr="00E61629">
        <w:rPr>
          <w:rFonts w:cstheme="minorHAnsi"/>
          <w:color w:val="000000" w:themeColor="text1"/>
          <w:lang w:val="en-US"/>
        </w:rPr>
        <w:t>hesitation</w:t>
      </w:r>
      <w:r w:rsidRPr="00E61629">
        <w:rPr>
          <w:rFonts w:cstheme="minorHAnsi"/>
          <w:color w:val="000000" w:themeColor="text1"/>
          <w:lang w:val="en-US"/>
        </w:rPr>
        <w:t xml:space="preserve"> about</w:t>
      </w:r>
      <w:r w:rsidR="00464B39" w:rsidRPr="00E61629">
        <w:rPr>
          <w:rFonts w:cstheme="minorHAnsi"/>
          <w:color w:val="000000" w:themeColor="text1"/>
          <w:lang w:val="en-US"/>
        </w:rPr>
        <w:t xml:space="preserve"> the existence of</w:t>
      </w:r>
      <w:r w:rsidRPr="00E61629">
        <w:rPr>
          <w:rFonts w:cstheme="minorHAnsi"/>
          <w:color w:val="000000" w:themeColor="text1"/>
          <w:lang w:val="en-US"/>
        </w:rPr>
        <w:t xml:space="preserve"> truth and reality. </w:t>
      </w:r>
    </w:p>
    <w:p w14:paraId="74966213" w14:textId="77777777" w:rsidR="00167D4F" w:rsidRPr="00E61629" w:rsidRDefault="00220F55" w:rsidP="00677815">
      <w:pPr>
        <w:spacing w:line="276" w:lineRule="auto"/>
        <w:ind w:firstLine="1304"/>
        <w:rPr>
          <w:rFonts w:cstheme="minorHAnsi"/>
          <w:color w:val="000000" w:themeColor="text1"/>
          <w:lang w:val="en-US"/>
        </w:rPr>
      </w:pPr>
      <w:r w:rsidRPr="00E61629">
        <w:rPr>
          <w:rFonts w:cstheme="minorHAnsi"/>
          <w:color w:val="000000" w:themeColor="text1"/>
          <w:lang w:val="en-US"/>
        </w:rPr>
        <w:t>But the two mentioned ideas are sufficiently important to play important roles also in the much more anti-psychologistic period beginning with the</w:t>
      </w:r>
      <w:r w:rsidR="00464B39" w:rsidRPr="00E61629">
        <w:rPr>
          <w:rFonts w:cstheme="minorHAnsi"/>
          <w:color w:val="000000" w:themeColor="text1"/>
          <w:lang w:val="en-US"/>
        </w:rPr>
        <w:t xml:space="preserve"> invention of the</w:t>
      </w:r>
      <w:r w:rsidR="008142CA" w:rsidRPr="00E61629">
        <w:rPr>
          <w:rFonts w:cstheme="minorHAnsi"/>
          <w:color w:val="000000" w:themeColor="text1"/>
          <w:lang w:val="en-US"/>
        </w:rPr>
        <w:t xml:space="preserve"> Existential Graphs in 1896 and the </w:t>
      </w:r>
      <w:r w:rsidRPr="00E61629">
        <w:rPr>
          <w:rFonts w:cstheme="minorHAnsi"/>
          <w:color w:val="000000" w:themeColor="text1"/>
          <w:lang w:val="en-US"/>
        </w:rPr>
        <w:t xml:space="preserve"> metaphysical introduction of “real possibilities” in 1897: the basis of </w:t>
      </w:r>
      <w:r w:rsidR="008142CA" w:rsidRPr="00E61629">
        <w:rPr>
          <w:rFonts w:cstheme="minorHAnsi"/>
          <w:color w:val="000000" w:themeColor="text1"/>
          <w:lang w:val="en-US"/>
        </w:rPr>
        <w:t xml:space="preserve">the </w:t>
      </w:r>
      <w:r w:rsidRPr="00E61629">
        <w:rPr>
          <w:rFonts w:cstheme="minorHAnsi"/>
          <w:color w:val="000000" w:themeColor="text1"/>
          <w:lang w:val="en-US"/>
        </w:rPr>
        <w:t>claim aspect of assertions lying in a specific</w:t>
      </w:r>
      <w:r w:rsidR="008142CA" w:rsidRPr="00E61629">
        <w:rPr>
          <w:rFonts w:cstheme="minorHAnsi"/>
          <w:color w:val="000000" w:themeColor="text1"/>
          <w:lang w:val="en-US"/>
        </w:rPr>
        <w:t xml:space="preserve"> type of</w:t>
      </w:r>
      <w:r w:rsidRPr="00E61629">
        <w:rPr>
          <w:rFonts w:cstheme="minorHAnsi"/>
          <w:color w:val="000000" w:themeColor="text1"/>
          <w:lang w:val="en-US"/>
        </w:rPr>
        <w:t xml:space="preserve"> self-reference of the proposition sign, and the </w:t>
      </w:r>
      <w:r w:rsidR="008142CA" w:rsidRPr="00E61629">
        <w:rPr>
          <w:rFonts w:cstheme="minorHAnsi"/>
          <w:color w:val="000000" w:themeColor="text1"/>
          <w:lang w:val="en-US"/>
        </w:rPr>
        <w:t xml:space="preserve">actual </w:t>
      </w:r>
      <w:r w:rsidRPr="00E61629">
        <w:rPr>
          <w:rFonts w:cstheme="minorHAnsi"/>
          <w:color w:val="000000" w:themeColor="text1"/>
          <w:lang w:val="en-US"/>
        </w:rPr>
        <w:t>realization of that claim by means of a further act, independent of that of shaping and understanding the proposition</w:t>
      </w:r>
      <w:r w:rsidR="00373251" w:rsidRPr="00E61629">
        <w:rPr>
          <w:rFonts w:cstheme="minorHAnsi"/>
          <w:color w:val="000000" w:themeColor="text1"/>
          <w:lang w:val="en-US"/>
        </w:rPr>
        <w:t xml:space="preserve">. The self-reference idea matures in the labyrinthic “Deduction of the </w:t>
      </w:r>
      <w:proofErr w:type="spellStart"/>
      <w:r w:rsidR="00373251" w:rsidRPr="00E61629">
        <w:rPr>
          <w:rFonts w:cstheme="minorHAnsi"/>
          <w:color w:val="000000" w:themeColor="text1"/>
          <w:lang w:val="en-US"/>
        </w:rPr>
        <w:t>Dicisign</w:t>
      </w:r>
      <w:proofErr w:type="spellEnd"/>
      <w:r w:rsidR="00373251" w:rsidRPr="00E61629">
        <w:rPr>
          <w:rFonts w:cstheme="minorHAnsi"/>
          <w:color w:val="000000" w:themeColor="text1"/>
          <w:lang w:val="en-US"/>
        </w:rPr>
        <w:t xml:space="preserve">” of the </w:t>
      </w:r>
      <w:r w:rsidR="00373251" w:rsidRPr="00E61629">
        <w:rPr>
          <w:rFonts w:cstheme="minorHAnsi"/>
          <w:i/>
          <w:color w:val="000000" w:themeColor="text1"/>
          <w:lang w:val="en-US"/>
        </w:rPr>
        <w:t>Syllabus</w:t>
      </w:r>
      <w:r w:rsidR="00373251" w:rsidRPr="00E61629">
        <w:rPr>
          <w:rFonts w:cstheme="minorHAnsi"/>
          <w:color w:val="000000" w:themeColor="text1"/>
          <w:lang w:val="en-US"/>
        </w:rPr>
        <w:t xml:space="preserve"> in 1903; the idea of a further </w:t>
      </w:r>
      <w:r w:rsidR="008142CA" w:rsidRPr="00E61629">
        <w:rPr>
          <w:rFonts w:cstheme="minorHAnsi"/>
          <w:color w:val="000000" w:themeColor="text1"/>
          <w:lang w:val="en-US"/>
        </w:rPr>
        <w:t xml:space="preserve">assertion </w:t>
      </w:r>
      <w:r w:rsidR="00373251" w:rsidRPr="00E61629">
        <w:rPr>
          <w:rFonts w:cstheme="minorHAnsi"/>
          <w:color w:val="000000" w:themeColor="text1"/>
          <w:lang w:val="en-US"/>
        </w:rPr>
        <w:t>act</w:t>
      </w:r>
      <w:r w:rsidR="00006B7E" w:rsidRPr="00E61629">
        <w:rPr>
          <w:rFonts w:cstheme="minorHAnsi"/>
          <w:color w:val="000000" w:themeColor="text1"/>
          <w:lang w:val="en-US"/>
        </w:rPr>
        <w:t xml:space="preserve"> on top of the proposition sign</w:t>
      </w:r>
      <w:r w:rsidR="00373251" w:rsidRPr="00E61629">
        <w:rPr>
          <w:rFonts w:cstheme="minorHAnsi"/>
          <w:color w:val="000000" w:themeColor="text1"/>
          <w:lang w:val="en-US"/>
        </w:rPr>
        <w:t xml:space="preserve"> is fleshed out in further detail in the same period, beginning around the </w:t>
      </w:r>
      <w:r w:rsidR="00373251" w:rsidRPr="00E61629">
        <w:rPr>
          <w:rFonts w:cstheme="minorHAnsi"/>
          <w:i/>
          <w:color w:val="000000" w:themeColor="text1"/>
          <w:lang w:val="en-US"/>
        </w:rPr>
        <w:t>Minute Logic</w:t>
      </w:r>
      <w:r w:rsidR="00373251" w:rsidRPr="00E61629">
        <w:rPr>
          <w:rFonts w:cstheme="minorHAnsi"/>
          <w:color w:val="000000" w:themeColor="text1"/>
          <w:lang w:val="en-US"/>
        </w:rPr>
        <w:t xml:space="preserve"> of 1902. </w:t>
      </w:r>
    </w:p>
    <w:p w14:paraId="483D585B" w14:textId="77777777" w:rsidR="00583D22" w:rsidRPr="00E61629" w:rsidRDefault="00167D4F" w:rsidP="00E61629">
      <w:pPr>
        <w:spacing w:line="276" w:lineRule="auto"/>
        <w:ind w:firstLine="1304"/>
        <w:rPr>
          <w:rFonts w:eastAsia="Times New Roman" w:cstheme="minorHAnsi"/>
          <w:color w:val="000000" w:themeColor="text1"/>
          <w:lang w:val="en-US" w:eastAsia="da-DK"/>
        </w:rPr>
      </w:pPr>
      <w:r w:rsidRPr="00E61629">
        <w:rPr>
          <w:rFonts w:cstheme="minorHAnsi"/>
          <w:color w:val="000000" w:themeColor="text1"/>
          <w:lang w:val="en-US"/>
        </w:rPr>
        <w:t xml:space="preserve">Simultaneously, a competing idea shows up: </w:t>
      </w:r>
      <w:r w:rsidR="00B1711E" w:rsidRPr="00E61629">
        <w:rPr>
          <w:rFonts w:cstheme="minorHAnsi"/>
          <w:color w:val="000000" w:themeColor="text1"/>
          <w:lang w:val="en-US"/>
        </w:rPr>
        <w:t>in “</w:t>
      </w:r>
      <w:r w:rsidRPr="00E61629">
        <w:rPr>
          <w:rFonts w:eastAsia="Times New Roman" w:cstheme="minorHAnsi"/>
          <w:color w:val="000000" w:themeColor="text1"/>
          <w:lang w:val="en-US" w:eastAsia="da-DK"/>
        </w:rPr>
        <w:t>That Categorical and Hypothetical Propositions are one in essence, with some connected matters</w:t>
      </w:r>
      <w:r w:rsidR="00B1711E" w:rsidRPr="00E61629">
        <w:rPr>
          <w:rFonts w:eastAsia="Times New Roman" w:cstheme="minorHAnsi"/>
          <w:color w:val="000000" w:themeColor="text1"/>
          <w:lang w:val="en-US" w:eastAsia="da-DK"/>
        </w:rPr>
        <w:t xml:space="preserve">” (1895-6 [c.], </w:t>
      </w:r>
      <w:r w:rsidRPr="00E61629">
        <w:rPr>
          <w:rFonts w:eastAsia="Times New Roman" w:cstheme="minorHAnsi"/>
          <w:color w:val="000000" w:themeColor="text1"/>
          <w:lang w:val="en-US" w:eastAsia="da-DK"/>
        </w:rPr>
        <w:t>CP 2.334-35</w:t>
      </w:r>
      <w:r w:rsidR="00B1711E" w:rsidRPr="00E61629">
        <w:rPr>
          <w:rFonts w:eastAsia="Times New Roman" w:cstheme="minorHAnsi"/>
          <w:color w:val="000000" w:themeColor="text1"/>
          <w:lang w:val="en-US" w:eastAsia="da-DK"/>
        </w:rPr>
        <w:t>)</w:t>
      </w:r>
      <w:r w:rsidR="00631233" w:rsidRPr="00E61629">
        <w:rPr>
          <w:rFonts w:eastAsia="Times New Roman" w:cstheme="minorHAnsi"/>
          <w:color w:val="000000" w:themeColor="text1"/>
          <w:lang w:val="en-US" w:eastAsia="da-DK"/>
        </w:rPr>
        <w:t>, Peirce introduces the interpreter’s point of view as integral to assertion: “</w:t>
      </w:r>
      <w:r w:rsidRPr="00E61629">
        <w:rPr>
          <w:rFonts w:eastAsia="Times New Roman" w:cstheme="minorHAnsi"/>
          <w:color w:val="000000" w:themeColor="text1"/>
          <w:lang w:val="en-US" w:eastAsia="da-DK"/>
        </w:rPr>
        <w:t xml:space="preserve">In every assertion we may distinguish a speaker and a listener. The latter, it is true, need have only a problematical existence, as when during a shipwreck an account of the accident is sealed in a bottle and thrown upon the water. The problematical “listener” may be within the same person as the “speaker”; as when we mentally register a judgment, to be remembered later. If there be any act of judgment independent of any registry, and if it </w:t>
      </w:r>
      <w:proofErr w:type="gramStart"/>
      <w:r w:rsidRPr="00E61629">
        <w:rPr>
          <w:rFonts w:eastAsia="Times New Roman" w:cstheme="minorHAnsi"/>
          <w:color w:val="000000" w:themeColor="text1"/>
          <w:lang w:val="en-US" w:eastAsia="da-DK"/>
        </w:rPr>
        <w:t>have</w:t>
      </w:r>
      <w:proofErr w:type="gramEnd"/>
      <w:r w:rsidRPr="00E61629">
        <w:rPr>
          <w:rFonts w:eastAsia="Times New Roman" w:cstheme="minorHAnsi"/>
          <w:color w:val="000000" w:themeColor="text1"/>
          <w:lang w:val="en-US" w:eastAsia="da-DK"/>
        </w:rPr>
        <w:t xml:space="preserve"> any logical significance (which is disputable), we may say that in that case the listener becomes identical with the speaker.</w:t>
      </w:r>
      <w:r w:rsidR="00631233" w:rsidRPr="00E61629">
        <w:rPr>
          <w:rFonts w:eastAsia="Times New Roman" w:cstheme="minorHAnsi"/>
          <w:color w:val="000000" w:themeColor="text1"/>
          <w:lang w:val="en-US" w:eastAsia="da-DK"/>
        </w:rPr>
        <w:t>”</w:t>
      </w:r>
      <w:r w:rsidRPr="00E61629">
        <w:rPr>
          <w:rFonts w:eastAsia="Times New Roman" w:cstheme="minorHAnsi"/>
          <w:color w:val="000000" w:themeColor="text1"/>
          <w:lang w:val="en-US" w:eastAsia="da-DK"/>
        </w:rPr>
        <w:t xml:space="preserve"> </w:t>
      </w:r>
      <w:r w:rsidR="00631233" w:rsidRPr="00E61629">
        <w:rPr>
          <w:rFonts w:eastAsia="Times New Roman" w:cstheme="minorHAnsi"/>
          <w:color w:val="000000" w:themeColor="text1"/>
          <w:lang w:val="en-US" w:eastAsia="da-DK"/>
        </w:rPr>
        <w:t>This gives rise to the idea of argumentation as essentially dialogic</w:t>
      </w:r>
      <w:r w:rsidR="00464B39" w:rsidRPr="00E61629">
        <w:rPr>
          <w:rFonts w:eastAsia="Times New Roman" w:cstheme="minorHAnsi"/>
          <w:color w:val="000000" w:themeColor="text1"/>
          <w:lang w:val="en-US" w:eastAsia="da-DK"/>
        </w:rPr>
        <w:t>al</w:t>
      </w:r>
      <w:r w:rsidR="00631233" w:rsidRPr="00E61629">
        <w:rPr>
          <w:rFonts w:eastAsia="Times New Roman" w:cstheme="minorHAnsi"/>
          <w:color w:val="000000" w:themeColor="text1"/>
          <w:lang w:val="en-US" w:eastAsia="da-DK"/>
        </w:rPr>
        <w:t>, even when it takes place in the mind of one individual. Peirce continues: “</w:t>
      </w:r>
      <w:r w:rsidRPr="00E61629">
        <w:rPr>
          <w:rFonts w:eastAsia="Times New Roman" w:cstheme="minorHAnsi"/>
          <w:color w:val="000000" w:themeColor="text1"/>
          <w:shd w:val="clear" w:color="auto" w:fill="FFFFFF"/>
          <w:lang w:val="en-US" w:eastAsia="da-DK"/>
        </w:rPr>
        <w:t>The assertion consists in the furnishing of evidence by the speaker to the listener that the speaker believes something, that is, finds a certain idea to be definitively compulsory on a certain occasion</w:t>
      </w:r>
      <w:r w:rsidRPr="00E61629">
        <w:rPr>
          <w:rFonts w:eastAsia="Times New Roman" w:cstheme="minorHAnsi"/>
          <w:color w:val="000000" w:themeColor="text1"/>
          <w:lang w:val="en-US" w:eastAsia="da-DK"/>
        </w:rPr>
        <w:t>. There ought, therefore, to be three parts in every assertion, a sign of the occasion of the compulsion, a sign of the enforced idea, and a sign evidential of the compulsion affecting the speaker in so far as he identifies himself with the scientific intelligence.</w:t>
      </w:r>
      <w:r w:rsidR="00631233" w:rsidRPr="00E61629">
        <w:rPr>
          <w:rFonts w:eastAsia="Times New Roman" w:cstheme="minorHAnsi"/>
          <w:color w:val="000000" w:themeColor="text1"/>
          <w:lang w:val="en-US" w:eastAsia="da-DK"/>
        </w:rPr>
        <w:t>”</w:t>
      </w:r>
      <w:r w:rsidR="00E61629" w:rsidRPr="00E61629">
        <w:rPr>
          <w:rStyle w:val="Slutnotehenvisning"/>
          <w:rFonts w:eastAsia="Times New Roman" w:cstheme="minorHAnsi"/>
          <w:color w:val="000000" w:themeColor="text1"/>
          <w:lang w:val="en-US" w:eastAsia="da-DK"/>
        </w:rPr>
        <w:t xml:space="preserve"> </w:t>
      </w:r>
      <w:r w:rsidR="00E61629" w:rsidRPr="00E61629">
        <w:rPr>
          <w:rStyle w:val="Slutnotehenvisning"/>
          <w:rFonts w:eastAsia="Times New Roman" w:cstheme="minorHAnsi"/>
          <w:color w:val="000000" w:themeColor="text1"/>
          <w:lang w:val="en-US" w:eastAsia="da-DK"/>
        </w:rPr>
        <w:endnoteReference w:id="5"/>
      </w:r>
      <w:r w:rsidR="00631233" w:rsidRPr="00E61629">
        <w:rPr>
          <w:rFonts w:eastAsia="Times New Roman" w:cstheme="minorHAnsi"/>
          <w:color w:val="000000" w:themeColor="text1"/>
          <w:lang w:val="en-US" w:eastAsia="da-DK"/>
        </w:rPr>
        <w:t xml:space="preserve"> Here, the aim of the act of assertion becomes intersubjective: it is to provide evidence to an interpreter that the utterer has a certain belief. Again, this is couched in rather psychologistic terms, but it shall continue to develop into the idea that the assertive claim aspect of a proposition is there to persuade an interpreter that 1) the utterer believes in the proposition; 2) it is true. </w:t>
      </w:r>
    </w:p>
    <w:p w14:paraId="747372CC" w14:textId="7324458F" w:rsidR="00AC4DCF" w:rsidRDefault="00E61629" w:rsidP="00677815">
      <w:pPr>
        <w:spacing w:line="276" w:lineRule="auto"/>
        <w:ind w:firstLine="1304"/>
        <w:rPr>
          <w:rFonts w:ascii="Calibri" w:hAnsi="Calibri" w:cs="Times New Roman"/>
          <w:color w:val="000000" w:themeColor="text1"/>
          <w:lang w:val="en-US"/>
        </w:rPr>
      </w:pPr>
      <w:r>
        <w:rPr>
          <w:rFonts w:cstheme="minorHAnsi"/>
          <w:color w:val="000000" w:themeColor="text1"/>
          <w:lang w:val="en-US"/>
        </w:rPr>
        <w:t>Some</w:t>
      </w:r>
      <w:r w:rsidR="00220F55" w:rsidRPr="00220F55">
        <w:rPr>
          <w:rFonts w:cstheme="minorHAnsi"/>
          <w:color w:val="000000" w:themeColor="text1"/>
          <w:lang w:val="en-US"/>
        </w:rPr>
        <w:t xml:space="preserve"> years later, the asserting role </w:t>
      </w:r>
      <w:r w:rsidR="0081101B">
        <w:rPr>
          <w:rFonts w:cstheme="minorHAnsi"/>
          <w:color w:val="000000" w:themeColor="text1"/>
          <w:lang w:val="en-US"/>
        </w:rPr>
        <w:t xml:space="preserve">even </w:t>
      </w:r>
      <w:r w:rsidR="00220F55" w:rsidRPr="00220F55">
        <w:rPr>
          <w:rFonts w:cstheme="minorHAnsi"/>
          <w:color w:val="000000" w:themeColor="text1"/>
          <w:lang w:val="en-US"/>
        </w:rPr>
        <w:t>passes to the subject term, the index, of the proposition: “</w:t>
      </w:r>
      <w:r w:rsidR="00220F55" w:rsidRPr="00220F55">
        <w:rPr>
          <w:rFonts w:ascii="Calibri" w:hAnsi="Calibri" w:cs="Times New Roman"/>
          <w:color w:val="000000" w:themeColor="text1"/>
          <w:lang w:val="en-US"/>
        </w:rPr>
        <w:t>It is remarkable that while neither a pure icon or a pure index can assert anything, an index which forces something to be an icon, as a weathercock does, or which forces us to regard it as an icon, as the legend under the portrait does, does make an assertion, and forms a proposition.” (“</w:t>
      </w:r>
      <w:proofErr w:type="spellStart"/>
      <w:r w:rsidR="00220F55" w:rsidRPr="00220F55">
        <w:rPr>
          <w:rFonts w:ascii="Calibri" w:hAnsi="Calibri" w:cs="Times New Roman"/>
          <w:color w:val="000000" w:themeColor="text1"/>
          <w:lang w:val="en-US"/>
        </w:rPr>
        <w:t>Kaina</w:t>
      </w:r>
      <w:proofErr w:type="spellEnd"/>
      <w:r w:rsidR="00220F55" w:rsidRPr="00220F55">
        <w:rPr>
          <w:rFonts w:ascii="Calibri" w:hAnsi="Calibri" w:cs="Times New Roman"/>
          <w:color w:val="000000" w:themeColor="text1"/>
          <w:lang w:val="en-US"/>
        </w:rPr>
        <w:t xml:space="preserve"> </w:t>
      </w:r>
      <w:proofErr w:type="spellStart"/>
      <w:r w:rsidR="00220F55" w:rsidRPr="00220F55">
        <w:rPr>
          <w:rFonts w:ascii="Calibri" w:hAnsi="Calibri" w:cs="Times New Roman"/>
          <w:color w:val="000000" w:themeColor="text1"/>
          <w:lang w:val="en-US"/>
        </w:rPr>
        <w:t>Stoicheia</w:t>
      </w:r>
      <w:proofErr w:type="spellEnd"/>
      <w:r w:rsidR="00220F55" w:rsidRPr="00220F55">
        <w:rPr>
          <w:rFonts w:ascii="Calibri" w:hAnsi="Calibri" w:cs="Times New Roman"/>
          <w:color w:val="000000" w:themeColor="text1"/>
          <w:lang w:val="en-US"/>
        </w:rPr>
        <w:t xml:space="preserve">”, </w:t>
      </w:r>
      <w:proofErr w:type="gramStart"/>
      <w:r w:rsidR="00631233">
        <w:rPr>
          <w:rFonts w:ascii="Calibri" w:hAnsi="Calibri" w:cs="Times New Roman"/>
          <w:color w:val="000000" w:themeColor="text1"/>
          <w:lang w:val="en-US"/>
        </w:rPr>
        <w:t>190</w:t>
      </w:r>
      <w:r>
        <w:rPr>
          <w:rFonts w:ascii="Calibri" w:hAnsi="Calibri" w:cs="Times New Roman"/>
          <w:color w:val="000000" w:themeColor="text1"/>
          <w:lang w:val="en-US"/>
        </w:rPr>
        <w:t>1?</w:t>
      </w:r>
      <w:r w:rsidR="00631233">
        <w:rPr>
          <w:rFonts w:ascii="Calibri" w:hAnsi="Calibri" w:cs="Times New Roman"/>
          <w:color w:val="000000" w:themeColor="text1"/>
          <w:lang w:val="en-US"/>
        </w:rPr>
        <w:t>,</w:t>
      </w:r>
      <w:proofErr w:type="gramEnd"/>
      <w:r w:rsidR="00631233">
        <w:rPr>
          <w:rFonts w:ascii="Calibri" w:hAnsi="Calibri" w:cs="Times New Roman"/>
          <w:color w:val="000000" w:themeColor="text1"/>
          <w:lang w:val="en-US"/>
        </w:rPr>
        <w:t xml:space="preserve"> </w:t>
      </w:r>
      <w:r w:rsidR="00220F55" w:rsidRPr="00220F55">
        <w:rPr>
          <w:rFonts w:ascii="Calibri" w:hAnsi="Calibri" w:cs="Times New Roman"/>
          <w:color w:val="000000" w:themeColor="text1"/>
          <w:lang w:val="en-US"/>
        </w:rPr>
        <w:t>EP II, 307)</w:t>
      </w:r>
      <w:r w:rsidR="00B312CD">
        <w:rPr>
          <w:rFonts w:ascii="Calibri" w:hAnsi="Calibri" w:cs="Times New Roman"/>
          <w:color w:val="000000" w:themeColor="text1"/>
          <w:lang w:val="en-US"/>
        </w:rPr>
        <w:t>.</w:t>
      </w:r>
      <w:r w:rsidR="00934568">
        <w:rPr>
          <w:rStyle w:val="Slutnotehenvisning"/>
          <w:rFonts w:ascii="Calibri" w:hAnsi="Calibri" w:cs="Times New Roman"/>
          <w:color w:val="000000" w:themeColor="text1"/>
          <w:lang w:val="en-US"/>
        </w:rPr>
        <w:endnoteReference w:id="6"/>
      </w:r>
      <w:r w:rsidR="00373251">
        <w:rPr>
          <w:rFonts w:ascii="Calibri" w:hAnsi="Calibri" w:cs="Times New Roman"/>
          <w:color w:val="000000" w:themeColor="text1"/>
          <w:lang w:val="en-US"/>
        </w:rPr>
        <w:t xml:space="preserve"> </w:t>
      </w:r>
      <w:r w:rsidR="00FB18D9">
        <w:rPr>
          <w:rFonts w:ascii="Calibri" w:hAnsi="Calibri" w:cs="Times New Roman"/>
          <w:color w:val="000000" w:themeColor="text1"/>
          <w:lang w:val="en-US"/>
        </w:rPr>
        <w:t xml:space="preserve">Assertion here is undertaken by the index; not </w:t>
      </w:r>
      <w:r w:rsidR="00FB18D9">
        <w:rPr>
          <w:rFonts w:ascii="Calibri" w:hAnsi="Calibri" w:cs="Times New Roman"/>
          <w:color w:val="000000" w:themeColor="text1"/>
          <w:lang w:val="en-US"/>
        </w:rPr>
        <w:lastRenderedPageBreak/>
        <w:t xml:space="preserve">by its pointing out an object, however, but by its connection to an icon predicate which it forces to be read as a picture of the object. </w:t>
      </w:r>
      <w:r w:rsidR="00373251">
        <w:rPr>
          <w:rFonts w:ascii="Calibri" w:hAnsi="Calibri" w:cs="Times New Roman"/>
          <w:color w:val="000000" w:themeColor="text1"/>
          <w:lang w:val="en-US"/>
        </w:rPr>
        <w:t>This, however, is seen from the point of view of the interpreter of the assertion, not of the utterer of the assertion.</w:t>
      </w:r>
      <w:r w:rsidR="00FB18D9">
        <w:rPr>
          <w:rFonts w:ascii="Calibri" w:hAnsi="Calibri" w:cs="Times New Roman"/>
          <w:color w:val="000000" w:themeColor="text1"/>
          <w:lang w:val="en-US"/>
        </w:rPr>
        <w:t xml:space="preserve"> This idea should soon be overtaken by passing the role to the predicate itself, albeit in a new and daring interpretation of what it means to be a predicate. </w:t>
      </w:r>
    </w:p>
    <w:p w14:paraId="0C07F0DA" w14:textId="77777777" w:rsidR="00006B7E" w:rsidRDefault="00006B7E" w:rsidP="00677815">
      <w:pPr>
        <w:spacing w:line="276" w:lineRule="auto"/>
        <w:ind w:firstLine="1304"/>
        <w:rPr>
          <w:rFonts w:ascii="Calibri" w:hAnsi="Calibri" w:cs="Times New Roman"/>
          <w:color w:val="000000" w:themeColor="text1"/>
          <w:lang w:val="en-US"/>
        </w:rPr>
      </w:pPr>
    </w:p>
    <w:p w14:paraId="27AF8EAC" w14:textId="77777777" w:rsidR="00006B7E" w:rsidRDefault="00006B7E" w:rsidP="00677815">
      <w:pPr>
        <w:spacing w:line="276" w:lineRule="auto"/>
        <w:rPr>
          <w:i/>
          <w:lang w:val="en-US"/>
        </w:rPr>
      </w:pPr>
      <w:r w:rsidRPr="00167D4F">
        <w:rPr>
          <w:i/>
          <w:lang w:val="en-US"/>
        </w:rPr>
        <w:t xml:space="preserve">Assertion as </w:t>
      </w:r>
      <w:r w:rsidR="002E1034">
        <w:rPr>
          <w:i/>
          <w:lang w:val="en-US"/>
        </w:rPr>
        <w:t xml:space="preserve">the proposition sign’s </w:t>
      </w:r>
      <w:r w:rsidRPr="00167D4F">
        <w:rPr>
          <w:i/>
          <w:lang w:val="en-US"/>
        </w:rPr>
        <w:t>self-reference</w:t>
      </w:r>
    </w:p>
    <w:p w14:paraId="15012E29" w14:textId="77777777" w:rsidR="00167D4F" w:rsidRPr="00167D4F" w:rsidRDefault="00167D4F" w:rsidP="00677815">
      <w:pPr>
        <w:spacing w:line="276" w:lineRule="auto"/>
        <w:rPr>
          <w:i/>
          <w:lang w:val="en-US"/>
        </w:rPr>
      </w:pPr>
    </w:p>
    <w:p w14:paraId="69548DEB" w14:textId="77777777" w:rsidR="00463DB9" w:rsidRDefault="00FF19B7" w:rsidP="00631233">
      <w:pPr>
        <w:autoSpaceDE w:val="0"/>
        <w:autoSpaceDN w:val="0"/>
        <w:adjustRightInd w:val="0"/>
        <w:spacing w:line="276" w:lineRule="auto"/>
        <w:rPr>
          <w:lang w:val="en-US"/>
        </w:rPr>
      </w:pPr>
      <w:r>
        <w:rPr>
          <w:lang w:val="en-US"/>
        </w:rPr>
        <w:t>The issue of the assertion of the proposition – how it is possible for a composite sign to make a claim – is analyzed by the mature Peirce in a number of dimensions. One is the idea that a proposition not only combines a denoting index and a signifying icon, but it makes it</w:t>
      </w:r>
      <w:r w:rsidR="00F3630E">
        <w:rPr>
          <w:lang w:val="en-US"/>
        </w:rPr>
        <w:t>s</w:t>
      </w:r>
      <w:r>
        <w:rPr>
          <w:lang w:val="en-US"/>
        </w:rPr>
        <w:t xml:space="preserve"> claim by means of a specific self-reference involving these two parts, their </w:t>
      </w:r>
      <w:r w:rsidR="00631233">
        <w:rPr>
          <w:lang w:val="en-US"/>
        </w:rPr>
        <w:t>inter</w:t>
      </w:r>
      <w:r>
        <w:rPr>
          <w:lang w:val="en-US"/>
        </w:rPr>
        <w:t xml:space="preserve">relation and the composite sign itself. We already met the idea that an assertion asserts that the two parts of the assertion – the subject and the predicate – address one and the same object. In the “Deduction of the </w:t>
      </w:r>
      <w:proofErr w:type="spellStart"/>
      <w:r>
        <w:rPr>
          <w:lang w:val="en-US"/>
        </w:rPr>
        <w:t>Dicisign</w:t>
      </w:r>
      <w:proofErr w:type="spellEnd"/>
      <w:r>
        <w:rPr>
          <w:lang w:val="en-US"/>
        </w:rPr>
        <w:t xml:space="preserve">” in the </w:t>
      </w:r>
      <w:r w:rsidRPr="00E62FD9">
        <w:rPr>
          <w:i/>
          <w:lang w:val="en-US"/>
        </w:rPr>
        <w:t>Syllabus</w:t>
      </w:r>
      <w:r>
        <w:rPr>
          <w:lang w:val="en-US"/>
        </w:rPr>
        <w:t xml:space="preserve">, this self-reference is detailed in the following way. </w:t>
      </w:r>
      <w:r w:rsidR="00E62FD9">
        <w:rPr>
          <w:lang w:val="en-US"/>
        </w:rPr>
        <w:t>In order for a proposition to be able to “convey information” (2.309) – one of the mature Peirce’s proposition definitions – it needs to refer to its own connectedness to its object in order to claim authority to report upon it.</w:t>
      </w:r>
      <w:r w:rsidR="00F3630E">
        <w:rPr>
          <w:rStyle w:val="Slutnotehenvisning"/>
          <w:lang w:val="en-US"/>
        </w:rPr>
        <w:endnoteReference w:id="7"/>
      </w:r>
      <w:r w:rsidR="00E62FD9">
        <w:rPr>
          <w:lang w:val="en-US"/>
        </w:rPr>
        <w:t xml:space="preserve"> Here, Peirce explicitly distinguishes this ability of the proposition from the issue of a person’s mental acceptance of it which he analyzes as a completely different, </w:t>
      </w:r>
      <w:r w:rsidR="00631233">
        <w:rPr>
          <w:lang w:val="en-US"/>
        </w:rPr>
        <w:t>independent</w:t>
      </w:r>
      <w:r w:rsidR="00E62FD9">
        <w:rPr>
          <w:lang w:val="en-US"/>
        </w:rPr>
        <w:t xml:space="preserve"> issue which cannot be used as an explanation of the assertion of the proposition nor of the proposition itself. In this analysis, the </w:t>
      </w:r>
      <w:r w:rsidR="00E62FD9" w:rsidRPr="00631233">
        <w:rPr>
          <w:i/>
          <w:lang w:val="en-US"/>
        </w:rPr>
        <w:t>predicate</w:t>
      </w:r>
      <w:r w:rsidR="00E62FD9">
        <w:rPr>
          <w:lang w:val="en-US"/>
        </w:rPr>
        <w:t xml:space="preserve"> of the proposition really </w:t>
      </w:r>
      <w:r w:rsidR="00631233">
        <w:rPr>
          <w:lang w:val="en-US"/>
        </w:rPr>
        <w:t xml:space="preserve">becomes </w:t>
      </w:r>
      <w:r w:rsidR="00E62FD9">
        <w:rPr>
          <w:lang w:val="en-US"/>
        </w:rPr>
        <w:t xml:space="preserve">the part </w:t>
      </w:r>
      <w:r w:rsidR="00E62FD9" w:rsidRPr="00E62FD9">
        <w:rPr>
          <w:lang w:val="en-US"/>
        </w:rPr>
        <w:t xml:space="preserve">responsible for the assertion, and the predicate </w:t>
      </w:r>
      <w:r w:rsidR="00631233">
        <w:rPr>
          <w:lang w:val="en-US"/>
        </w:rPr>
        <w:t xml:space="preserve">is analyzed as possessing </w:t>
      </w:r>
      <w:r w:rsidR="00E62FD9" w:rsidRPr="00E62FD9">
        <w:rPr>
          <w:lang w:val="en-US"/>
        </w:rPr>
        <w:t>a hidden structure of some complexity. To put it in a popular way,</w:t>
      </w:r>
      <w:r w:rsidRPr="00E62FD9">
        <w:rPr>
          <w:lang w:val="en-US"/>
        </w:rPr>
        <w:t xml:space="preserve"> the predicate is really a shorthand for the proposition’s self-reference</w:t>
      </w:r>
      <w:r w:rsidR="00631233">
        <w:rPr>
          <w:lang w:val="en-US"/>
        </w:rPr>
        <w:t>,</w:t>
      </w:r>
      <w:r w:rsidRPr="00E62FD9">
        <w:rPr>
          <w:lang w:val="en-US"/>
        </w:rPr>
        <w:t xml:space="preserve"> so that</w:t>
      </w:r>
      <w:r w:rsidR="00631233">
        <w:rPr>
          <w:lang w:val="en-US"/>
        </w:rPr>
        <w:t xml:space="preserve"> saying</w:t>
      </w:r>
      <w:r w:rsidRPr="00E62FD9">
        <w:rPr>
          <w:lang w:val="en-US"/>
        </w:rPr>
        <w:t xml:space="preserve"> “The sky is blue” really means</w:t>
      </w:r>
      <w:r w:rsidR="00167D4F" w:rsidRPr="00E62FD9">
        <w:rPr>
          <w:lang w:val="en-US"/>
        </w:rPr>
        <w:t xml:space="preserve"> what may be colloquially paraphrased as</w:t>
      </w:r>
      <w:r w:rsidRPr="00E62FD9">
        <w:rPr>
          <w:lang w:val="en-US"/>
        </w:rPr>
        <w:t xml:space="preserve"> “This sign is really connected to the sky as a true index of it</w:t>
      </w:r>
      <w:r w:rsidR="00631233">
        <w:rPr>
          <w:lang w:val="en-US"/>
        </w:rPr>
        <w:t>,</w:t>
      </w:r>
      <w:r w:rsidRPr="00E62FD9">
        <w:rPr>
          <w:lang w:val="en-US"/>
        </w:rPr>
        <w:t xml:space="preserve"> which is why </w:t>
      </w:r>
      <w:r w:rsidR="00631233">
        <w:rPr>
          <w:lang w:val="en-US"/>
        </w:rPr>
        <w:t>the sign is</w:t>
      </w:r>
      <w:r w:rsidRPr="00E62FD9">
        <w:rPr>
          <w:lang w:val="en-US"/>
        </w:rPr>
        <w:t xml:space="preserve"> </w:t>
      </w:r>
      <w:r w:rsidR="00167D4F" w:rsidRPr="00E62FD9">
        <w:rPr>
          <w:lang w:val="en-US"/>
        </w:rPr>
        <w:t>authorize</w:t>
      </w:r>
      <w:r w:rsidR="00631233">
        <w:rPr>
          <w:lang w:val="en-US"/>
        </w:rPr>
        <w:t xml:space="preserve">d </w:t>
      </w:r>
      <w:r w:rsidRPr="00E62FD9">
        <w:rPr>
          <w:lang w:val="en-US"/>
        </w:rPr>
        <w:t xml:space="preserve">to </w:t>
      </w:r>
      <w:r w:rsidR="00631233">
        <w:rPr>
          <w:lang w:val="en-US"/>
        </w:rPr>
        <w:t>state</w:t>
      </w:r>
      <w:r w:rsidRPr="00E62FD9">
        <w:rPr>
          <w:lang w:val="en-US"/>
        </w:rPr>
        <w:t xml:space="preserve"> that it is blue”. </w:t>
      </w:r>
      <w:r w:rsidR="00E62FD9" w:rsidRPr="00E62FD9">
        <w:rPr>
          <w:lang w:val="en-US"/>
        </w:rPr>
        <w:t>Peirce’s argument goes as follows: “</w:t>
      </w:r>
      <w:r w:rsidR="00E62FD9" w:rsidRPr="00E62FD9">
        <w:rPr>
          <w:rFonts w:cs="Times New Roman"/>
          <w:lang w:val="en-US"/>
        </w:rPr>
        <w:t xml:space="preserve">a </w:t>
      </w:r>
      <w:proofErr w:type="spellStart"/>
      <w:r w:rsidR="00E62FD9" w:rsidRPr="00E62FD9">
        <w:rPr>
          <w:rFonts w:cs="Times New Roman"/>
          <w:lang w:val="en-US"/>
        </w:rPr>
        <w:t>Dicisign</w:t>
      </w:r>
      <w:proofErr w:type="spellEnd"/>
      <w:r w:rsidR="00E62FD9" w:rsidRPr="00E62FD9">
        <w:rPr>
          <w:rFonts w:cs="Times New Roman"/>
          <w:lang w:val="en-US"/>
        </w:rPr>
        <w:t xml:space="preserve"> must profess to refer or relate to something as</w:t>
      </w:r>
      <w:r w:rsidR="00E62FD9">
        <w:rPr>
          <w:rFonts w:cs="Times New Roman"/>
          <w:lang w:val="en-US"/>
        </w:rPr>
        <w:t xml:space="preserve"> </w:t>
      </w:r>
      <w:r w:rsidR="00E62FD9" w:rsidRPr="00E62FD9">
        <w:rPr>
          <w:rFonts w:cs="Times New Roman"/>
          <w:lang w:val="en-US"/>
        </w:rPr>
        <w:t>having a real being independently of the representation of it as such, and further that</w:t>
      </w:r>
      <w:r w:rsidR="00E62FD9">
        <w:rPr>
          <w:rFonts w:cs="Times New Roman"/>
          <w:lang w:val="en-US"/>
        </w:rPr>
        <w:t xml:space="preserve"> </w:t>
      </w:r>
      <w:r w:rsidR="00E62FD9" w:rsidRPr="00E62FD9">
        <w:rPr>
          <w:rFonts w:cs="Times New Roman"/>
          <w:lang w:val="en-US"/>
        </w:rPr>
        <w:t>this reference or relation must not be shown as rational, but must appear as a blind</w:t>
      </w:r>
      <w:r w:rsidR="00E62FD9">
        <w:rPr>
          <w:rFonts w:cs="Times New Roman"/>
          <w:lang w:val="en-US"/>
        </w:rPr>
        <w:t xml:space="preserve"> </w:t>
      </w:r>
      <w:proofErr w:type="spellStart"/>
      <w:r w:rsidR="00E62FD9" w:rsidRPr="00E62FD9">
        <w:rPr>
          <w:rFonts w:cs="Times New Roman"/>
          <w:lang w:val="en-US"/>
        </w:rPr>
        <w:t>Secondness</w:t>
      </w:r>
      <w:proofErr w:type="spellEnd"/>
      <w:r w:rsidR="00E62FD9" w:rsidRPr="00E62FD9">
        <w:rPr>
          <w:rFonts w:cs="Times New Roman"/>
          <w:lang w:val="en-US"/>
        </w:rPr>
        <w:t>. But the only kind of sign whose object is necessarily existent is the</w:t>
      </w:r>
      <w:r w:rsidR="00E62FD9">
        <w:rPr>
          <w:rFonts w:cs="Times New Roman"/>
          <w:lang w:val="en-US"/>
        </w:rPr>
        <w:t xml:space="preserve"> </w:t>
      </w:r>
      <w:r w:rsidR="00E62FD9" w:rsidRPr="00E62FD9">
        <w:rPr>
          <w:rFonts w:cs="Times New Roman"/>
          <w:lang w:val="en-US"/>
        </w:rPr>
        <w:t>genuine Index. This Index might, indeed, be a part of a Symbol; but in that case the</w:t>
      </w:r>
      <w:r w:rsidR="00E62FD9">
        <w:rPr>
          <w:rFonts w:cs="Times New Roman"/>
          <w:lang w:val="en-US"/>
        </w:rPr>
        <w:t xml:space="preserve"> </w:t>
      </w:r>
      <w:r w:rsidR="00E62FD9" w:rsidRPr="00E62FD9">
        <w:rPr>
          <w:rFonts w:cs="Times New Roman"/>
          <w:lang w:val="en-US"/>
        </w:rPr>
        <w:t xml:space="preserve">relation would appear as rational. </w:t>
      </w:r>
      <w:proofErr w:type="gramStart"/>
      <w:r w:rsidR="00E62FD9" w:rsidRPr="00E62FD9">
        <w:rPr>
          <w:rFonts w:cs="Times New Roman"/>
          <w:lang w:val="en-US"/>
        </w:rPr>
        <w:t>Consequently</w:t>
      </w:r>
      <w:proofErr w:type="gramEnd"/>
      <w:r w:rsidR="00E62FD9" w:rsidRPr="00E62FD9">
        <w:rPr>
          <w:rFonts w:cs="Times New Roman"/>
          <w:lang w:val="en-US"/>
        </w:rPr>
        <w:t xml:space="preserve"> a </w:t>
      </w:r>
      <w:proofErr w:type="spellStart"/>
      <w:r w:rsidR="00E62FD9" w:rsidRPr="00E62FD9">
        <w:rPr>
          <w:rFonts w:cs="Times New Roman"/>
          <w:lang w:val="en-US"/>
        </w:rPr>
        <w:t>Dicisign</w:t>
      </w:r>
      <w:proofErr w:type="spellEnd"/>
      <w:r w:rsidR="00E62FD9" w:rsidRPr="00E62FD9">
        <w:rPr>
          <w:rFonts w:cs="Times New Roman"/>
          <w:lang w:val="en-US"/>
        </w:rPr>
        <w:t xml:space="preserve"> necessarily represents</w:t>
      </w:r>
      <w:r w:rsidR="00631233">
        <w:rPr>
          <w:rFonts w:cs="Times New Roman"/>
          <w:lang w:val="en-US"/>
        </w:rPr>
        <w:t xml:space="preserve"> </w:t>
      </w:r>
      <w:r w:rsidR="00E62FD9" w:rsidRPr="00E62FD9">
        <w:rPr>
          <w:rFonts w:cs="Times New Roman"/>
          <w:lang w:val="en-US"/>
        </w:rPr>
        <w:t xml:space="preserve">itself to be a genuine Index, and to be nothing more.” (2.310). </w:t>
      </w:r>
      <w:r w:rsidR="00F97644">
        <w:rPr>
          <w:rFonts w:cs="Times New Roman"/>
          <w:lang w:val="en-US"/>
        </w:rPr>
        <w:t xml:space="preserve">This </w:t>
      </w:r>
      <w:r w:rsidR="00463DB9">
        <w:rPr>
          <w:rFonts w:cs="Times New Roman"/>
          <w:lang w:val="en-US"/>
        </w:rPr>
        <w:t xml:space="preserve">complicated claim is what the predicate really states about the subject index of the composite proposition sign. </w:t>
      </w:r>
      <w:r w:rsidRPr="00E62FD9">
        <w:rPr>
          <w:lang w:val="en-US"/>
        </w:rPr>
        <w:t>T</w:t>
      </w:r>
      <w:r w:rsidR="00E62FD9" w:rsidRPr="00E62FD9">
        <w:rPr>
          <w:lang w:val="en-US"/>
        </w:rPr>
        <w:t>he</w:t>
      </w:r>
      <w:r w:rsidRPr="00E62FD9">
        <w:rPr>
          <w:lang w:val="en-US"/>
        </w:rPr>
        <w:t xml:space="preserve"> claim that the sign is </w:t>
      </w:r>
      <w:r w:rsidR="00463DB9">
        <w:rPr>
          <w:lang w:val="en-US"/>
        </w:rPr>
        <w:t xml:space="preserve">really </w:t>
      </w:r>
      <w:r w:rsidRPr="00E62FD9">
        <w:rPr>
          <w:lang w:val="en-US"/>
        </w:rPr>
        <w:t xml:space="preserve">connected to </w:t>
      </w:r>
      <w:r w:rsidR="00463DB9">
        <w:rPr>
          <w:lang w:val="en-US"/>
        </w:rPr>
        <w:t>its</w:t>
      </w:r>
      <w:r w:rsidRPr="00E62FD9">
        <w:rPr>
          <w:lang w:val="en-US"/>
        </w:rPr>
        <w:t xml:space="preserve"> object introduces, at the same time</w:t>
      </w:r>
      <w:r w:rsidR="00E62FD9" w:rsidRPr="00E62FD9">
        <w:rPr>
          <w:lang w:val="en-US"/>
        </w:rPr>
        <w:t>,</w:t>
      </w:r>
      <w:r w:rsidRPr="00E62FD9">
        <w:rPr>
          <w:lang w:val="en-US"/>
        </w:rPr>
        <w:t xml:space="preserve"> </w:t>
      </w:r>
      <w:r w:rsidR="00E62FD9" w:rsidRPr="00E62FD9">
        <w:rPr>
          <w:lang w:val="en-US"/>
        </w:rPr>
        <w:t>a first version of the</w:t>
      </w:r>
      <w:r w:rsidRPr="00E62FD9">
        <w:rPr>
          <w:lang w:val="en-US"/>
        </w:rPr>
        <w:t xml:space="preserve"> much-discussed “immediate object” which is not any sort of preliminary </w:t>
      </w:r>
      <w:r w:rsidRPr="00E62FD9">
        <w:rPr>
          <w:i/>
          <w:lang w:val="en-US"/>
        </w:rPr>
        <w:t>description</w:t>
      </w:r>
      <w:r w:rsidRPr="00E62FD9">
        <w:rPr>
          <w:lang w:val="en-US"/>
        </w:rPr>
        <w:t xml:space="preserve"> of the object and its qualities, but which has to do with the </w:t>
      </w:r>
      <w:r w:rsidR="00E62FD9">
        <w:rPr>
          <w:lang w:val="en-US"/>
        </w:rPr>
        <w:t>professed</w:t>
      </w:r>
      <w:r w:rsidRPr="00E62FD9">
        <w:rPr>
          <w:lang w:val="en-US"/>
        </w:rPr>
        <w:t xml:space="preserve"> connection between proposition and object</w:t>
      </w:r>
      <w:r>
        <w:rPr>
          <w:lang w:val="en-US"/>
        </w:rPr>
        <w:t xml:space="preserve">. </w:t>
      </w:r>
      <w:r w:rsidR="00FF40D2">
        <w:rPr>
          <w:lang w:val="en-US"/>
        </w:rPr>
        <w:t xml:space="preserve">It is a bit ambiguous whether this secondary object is simply </w:t>
      </w:r>
      <w:r w:rsidR="00FF40D2">
        <w:rPr>
          <w:i/>
          <w:lang w:val="en-US"/>
        </w:rPr>
        <w:t xml:space="preserve">part of </w:t>
      </w:r>
      <w:r w:rsidR="00FF40D2">
        <w:rPr>
          <w:lang w:val="en-US"/>
        </w:rPr>
        <w:t xml:space="preserve">the sign (as the claim must also be </w:t>
      </w:r>
      <w:r w:rsidR="00463DB9">
        <w:rPr>
          <w:lang w:val="en-US"/>
        </w:rPr>
        <w:t>present</w:t>
      </w:r>
      <w:r w:rsidR="00FF40D2">
        <w:rPr>
          <w:lang w:val="en-US"/>
        </w:rPr>
        <w:t xml:space="preserve"> in false propositions where the claimed connection does not exist, or in cases where the sign is made based on rumor in which case the connection may exist or not, no matter whether the sign is true)</w:t>
      </w:r>
      <w:r w:rsidR="00463DB9">
        <w:rPr>
          <w:lang w:val="en-US"/>
        </w:rPr>
        <w:t>,</w:t>
      </w:r>
      <w:r w:rsidR="00FF40D2">
        <w:rPr>
          <w:lang w:val="en-US"/>
        </w:rPr>
        <w:t xml:space="preserve"> or whether it </w:t>
      </w:r>
      <w:r w:rsidR="00463DB9">
        <w:rPr>
          <w:lang w:val="en-US"/>
        </w:rPr>
        <w:t xml:space="preserve">is </w:t>
      </w:r>
      <w:r w:rsidR="00FF40D2">
        <w:rPr>
          <w:lang w:val="en-US"/>
        </w:rPr>
        <w:t xml:space="preserve">an external connection between the sign and its primary object. But as we would not say the </w:t>
      </w:r>
      <w:r w:rsidR="00FF40D2" w:rsidRPr="00463DB9">
        <w:rPr>
          <w:i/>
          <w:lang w:val="en-US"/>
        </w:rPr>
        <w:t>primary</w:t>
      </w:r>
      <w:r w:rsidR="00FF40D2">
        <w:rPr>
          <w:lang w:val="en-US"/>
        </w:rPr>
        <w:t xml:space="preserve"> object is part of the </w:t>
      </w:r>
      <w:r w:rsidR="00FF40D2">
        <w:rPr>
          <w:lang w:val="en-US"/>
        </w:rPr>
        <w:lastRenderedPageBreak/>
        <w:t xml:space="preserve">sign in cases of propositions in which the object does not exist (“The present king of France”), we should probably also not say the </w:t>
      </w:r>
      <w:r w:rsidR="00FF40D2" w:rsidRPr="00463DB9">
        <w:rPr>
          <w:i/>
          <w:lang w:val="en-US"/>
        </w:rPr>
        <w:t>secondary</w:t>
      </w:r>
      <w:r w:rsidR="00FF40D2">
        <w:rPr>
          <w:lang w:val="en-US"/>
        </w:rPr>
        <w:t xml:space="preserve"> object is part of the sign in cases where it does not exist.</w:t>
      </w:r>
      <w:r w:rsidR="00463DB9">
        <w:rPr>
          <w:lang w:val="en-US"/>
        </w:rPr>
        <w:t xml:space="preserve"> The </w:t>
      </w:r>
      <w:r w:rsidR="00463DB9" w:rsidRPr="00463DB9">
        <w:rPr>
          <w:i/>
          <w:lang w:val="en-US"/>
        </w:rPr>
        <w:t>claim</w:t>
      </w:r>
      <w:r w:rsidR="00463DB9">
        <w:rPr>
          <w:lang w:val="en-US"/>
        </w:rPr>
        <w:t xml:space="preserve"> about the secondary object, of course, is a part of the proposition predicate; not the object itself. </w:t>
      </w:r>
    </w:p>
    <w:p w14:paraId="6BD564F5" w14:textId="77777777" w:rsidR="00FF19B7" w:rsidRDefault="00FF40D2" w:rsidP="00463DB9">
      <w:pPr>
        <w:autoSpaceDE w:val="0"/>
        <w:autoSpaceDN w:val="0"/>
        <w:adjustRightInd w:val="0"/>
        <w:spacing w:line="276" w:lineRule="auto"/>
        <w:ind w:firstLine="1304"/>
        <w:rPr>
          <w:lang w:val="en-US"/>
        </w:rPr>
      </w:pPr>
      <w:r>
        <w:rPr>
          <w:lang w:val="en-US"/>
        </w:rPr>
        <w:t>This complicated way of making the predicate responsible for the proposition’s ability to convey information leads to an important array of corollaries</w:t>
      </w:r>
      <w:r w:rsidR="00463DB9">
        <w:rPr>
          <w:lang w:val="en-US"/>
        </w:rPr>
        <w:t xml:space="preserve"> in the </w:t>
      </w:r>
      <w:r w:rsidR="00463DB9" w:rsidRPr="00463DB9">
        <w:rPr>
          <w:i/>
          <w:lang w:val="en-US"/>
        </w:rPr>
        <w:t>Syllabus</w:t>
      </w:r>
      <w:r>
        <w:rPr>
          <w:lang w:val="en-US"/>
        </w:rPr>
        <w:t xml:space="preserve">: the </w:t>
      </w:r>
      <w:r w:rsidR="00A80DB2">
        <w:rPr>
          <w:lang w:val="en-US"/>
        </w:rPr>
        <w:t xml:space="preserve">proposition </w:t>
      </w:r>
      <w:r>
        <w:rPr>
          <w:lang w:val="en-US"/>
        </w:rPr>
        <w:t xml:space="preserve">sign’s double composition, this composition’s depiction of the sign-object relation by means of the predicate-subject relation, this depiction’s necessity of co-localizing in some topological sense the subject token and the predicate token </w:t>
      </w:r>
      <w:r w:rsidR="00463DB9">
        <w:rPr>
          <w:lang w:val="en-US"/>
        </w:rPr>
        <w:t xml:space="preserve">of the proposition sign </w:t>
      </w:r>
      <w:r>
        <w:rPr>
          <w:lang w:val="en-US"/>
        </w:rPr>
        <w:t>as an</w:t>
      </w:r>
      <w:r w:rsidR="00463DB9">
        <w:rPr>
          <w:lang w:val="en-US"/>
        </w:rPr>
        <w:t xml:space="preserve"> iconic</w:t>
      </w:r>
      <w:r>
        <w:rPr>
          <w:lang w:val="en-US"/>
        </w:rPr>
        <w:t xml:space="preserve"> illustration of the professed connection.</w:t>
      </w:r>
      <w:r w:rsidR="00A80DB2">
        <w:rPr>
          <w:rStyle w:val="Slutnotehenvisning"/>
          <w:lang w:val="en-US"/>
        </w:rPr>
        <w:endnoteReference w:id="8"/>
      </w:r>
      <w:r>
        <w:rPr>
          <w:lang w:val="en-US"/>
        </w:rPr>
        <w:t xml:space="preserve"> At the same time, these acts (of conveying, of professing) are ascribed to the proposition </w:t>
      </w:r>
      <w:r w:rsidRPr="00463DB9">
        <w:rPr>
          <w:i/>
          <w:lang w:val="en-US"/>
        </w:rPr>
        <w:t>itself</w:t>
      </w:r>
      <w:r>
        <w:rPr>
          <w:lang w:val="en-US"/>
        </w:rPr>
        <w:t xml:space="preserve">. </w:t>
      </w:r>
      <w:r w:rsidR="00773BAE">
        <w:rPr>
          <w:lang w:val="en-US"/>
        </w:rPr>
        <w:t xml:space="preserve">But the mere ideal, repeatable structure of </w:t>
      </w:r>
      <w:r w:rsidR="00463DB9">
        <w:rPr>
          <w:lang w:val="en-US"/>
        </w:rPr>
        <w:t>a</w:t>
      </w:r>
      <w:r w:rsidR="00773BAE">
        <w:rPr>
          <w:lang w:val="en-US"/>
        </w:rPr>
        <w:t xml:space="preserve"> proposition</w:t>
      </w:r>
      <w:r w:rsidR="00FB18D9">
        <w:rPr>
          <w:lang w:val="en-US"/>
        </w:rPr>
        <w:t>, even if self-referential,</w:t>
      </w:r>
      <w:r w:rsidR="00773BAE">
        <w:rPr>
          <w:lang w:val="en-US"/>
        </w:rPr>
        <w:t xml:space="preserve"> cannot perform any actions. It is only the actual </w:t>
      </w:r>
      <w:r w:rsidR="00773BAE">
        <w:rPr>
          <w:i/>
          <w:lang w:val="en-US"/>
        </w:rPr>
        <w:t>utterance</w:t>
      </w:r>
      <w:r w:rsidR="00773BAE">
        <w:rPr>
          <w:lang w:val="en-US"/>
        </w:rPr>
        <w:t xml:space="preserve"> of the proposition, a fact </w:t>
      </w:r>
      <w:r w:rsidR="00463DB9">
        <w:rPr>
          <w:lang w:val="en-US"/>
        </w:rPr>
        <w:t>which</w:t>
      </w:r>
      <w:r w:rsidR="00773BAE">
        <w:rPr>
          <w:lang w:val="en-US"/>
        </w:rPr>
        <w:t xml:space="preserve"> in the Syllabus deduction is inherent in the argument that the self-reference turns on the </w:t>
      </w:r>
      <w:r w:rsidR="00463DB9">
        <w:rPr>
          <w:lang w:val="en-US"/>
        </w:rPr>
        <w:t xml:space="preserve">actual </w:t>
      </w:r>
      <w:r w:rsidR="00773BAE">
        <w:rPr>
          <w:lang w:val="en-US"/>
        </w:rPr>
        <w:t xml:space="preserve">sign </w:t>
      </w:r>
      <w:r w:rsidR="00773BAE">
        <w:rPr>
          <w:i/>
          <w:lang w:val="en-US"/>
        </w:rPr>
        <w:t xml:space="preserve">token, </w:t>
      </w:r>
      <w:r w:rsidR="00773BAE">
        <w:rPr>
          <w:lang w:val="en-US"/>
        </w:rPr>
        <w:t xml:space="preserve">not its general type, that is, on the concrete, physical sign vehicles uttered and existing at a certain time and </w:t>
      </w:r>
      <w:r w:rsidR="00FB18D9">
        <w:rPr>
          <w:lang w:val="en-US"/>
        </w:rPr>
        <w:t>location</w:t>
      </w:r>
      <w:r w:rsidR="00773BAE">
        <w:rPr>
          <w:lang w:val="en-US"/>
        </w:rPr>
        <w:t>. So, the intricate machinery of the self-referring predicate</w:t>
      </w:r>
      <w:r w:rsidR="00463DB9">
        <w:rPr>
          <w:lang w:val="en-US"/>
        </w:rPr>
        <w:t xml:space="preserve"> part of the proposition</w:t>
      </w:r>
      <w:r w:rsidR="00773BAE">
        <w:rPr>
          <w:lang w:val="en-US"/>
        </w:rPr>
        <w:t xml:space="preserve"> is only put into play in utterances, understood as any sort of “putting forward” a proposition</w:t>
      </w:r>
      <w:r w:rsidR="00B05EE3">
        <w:rPr>
          <w:lang w:val="en-US"/>
        </w:rPr>
        <w:t>.</w:t>
      </w:r>
      <w:r w:rsidR="00773BAE">
        <w:rPr>
          <w:lang w:val="en-US"/>
        </w:rPr>
        <w:t xml:space="preserve"> Th</w:t>
      </w:r>
      <w:r w:rsidR="00463DB9">
        <w:rPr>
          <w:lang w:val="en-US"/>
        </w:rPr>
        <w:t>is</w:t>
      </w:r>
      <w:r w:rsidR="00773BAE">
        <w:rPr>
          <w:lang w:val="en-US"/>
        </w:rPr>
        <w:t xml:space="preserve"> dependence of assertions on </w:t>
      </w:r>
      <w:r w:rsidR="00463DB9">
        <w:rPr>
          <w:lang w:val="en-US"/>
        </w:rPr>
        <w:t xml:space="preserve">actual </w:t>
      </w:r>
      <w:r w:rsidR="00B05EE3">
        <w:rPr>
          <w:lang w:val="en-US"/>
        </w:rPr>
        <w:t xml:space="preserve">acts of </w:t>
      </w:r>
      <w:r w:rsidR="00773BAE">
        <w:rPr>
          <w:lang w:val="en-US"/>
        </w:rPr>
        <w:t>utter</w:t>
      </w:r>
      <w:r w:rsidR="00B05EE3">
        <w:rPr>
          <w:lang w:val="en-US"/>
        </w:rPr>
        <w:t>ance</w:t>
      </w:r>
      <w:r w:rsidR="00773BAE">
        <w:rPr>
          <w:lang w:val="en-US"/>
        </w:rPr>
        <w:t xml:space="preserve"> comes to the fore in two other central analyses of assertions.</w:t>
      </w:r>
    </w:p>
    <w:p w14:paraId="748EFD1E" w14:textId="77777777" w:rsidR="004D45B3" w:rsidRDefault="004D45B3" w:rsidP="004D45B3">
      <w:pPr>
        <w:autoSpaceDE w:val="0"/>
        <w:autoSpaceDN w:val="0"/>
        <w:adjustRightInd w:val="0"/>
        <w:spacing w:line="276" w:lineRule="auto"/>
        <w:rPr>
          <w:rFonts w:cs="Times New Roman"/>
          <w:lang w:val="en-US"/>
        </w:rPr>
      </w:pPr>
    </w:p>
    <w:p w14:paraId="2C915A51" w14:textId="77777777" w:rsidR="004D45B3" w:rsidRDefault="004D45B3" w:rsidP="004D45B3">
      <w:pPr>
        <w:spacing w:line="276" w:lineRule="auto"/>
        <w:rPr>
          <w:i/>
          <w:lang w:val="en-US"/>
        </w:rPr>
      </w:pPr>
      <w:r w:rsidRPr="002E1034">
        <w:rPr>
          <w:i/>
          <w:lang w:val="en-US"/>
        </w:rPr>
        <w:t>Assertion as assumption of responsibility</w:t>
      </w:r>
    </w:p>
    <w:p w14:paraId="5F4296FD" w14:textId="77777777" w:rsidR="002E1034" w:rsidRPr="002E1034" w:rsidRDefault="002E1034" w:rsidP="004D45B3">
      <w:pPr>
        <w:spacing w:line="276" w:lineRule="auto"/>
        <w:rPr>
          <w:i/>
          <w:lang w:val="en-US"/>
        </w:rPr>
      </w:pPr>
    </w:p>
    <w:p w14:paraId="18A73F47" w14:textId="213FCAF4" w:rsidR="00E903B0" w:rsidRDefault="004D45B3" w:rsidP="00E903B0">
      <w:pPr>
        <w:autoSpaceDE w:val="0"/>
        <w:autoSpaceDN w:val="0"/>
        <w:adjustRightInd w:val="0"/>
        <w:spacing w:line="276" w:lineRule="auto"/>
        <w:rPr>
          <w:rFonts w:eastAsia="Times New Roman" w:cstheme="minorHAnsi"/>
          <w:color w:val="000000" w:themeColor="text1"/>
          <w:lang w:val="en-US" w:eastAsia="da-DK"/>
        </w:rPr>
      </w:pPr>
      <w:r>
        <w:rPr>
          <w:rFonts w:cs="Times New Roman"/>
          <w:lang w:val="en-US"/>
        </w:rPr>
        <w:t xml:space="preserve">In the </w:t>
      </w:r>
      <w:r w:rsidR="00FB18D9">
        <w:rPr>
          <w:rFonts w:cs="Times New Roman"/>
          <w:lang w:val="en-US"/>
        </w:rPr>
        <w:t xml:space="preserve">vast </w:t>
      </w:r>
      <w:r>
        <w:rPr>
          <w:rFonts w:cs="Times New Roman"/>
          <w:lang w:val="en-US"/>
        </w:rPr>
        <w:t xml:space="preserve">semiotic thrust of 1902-03, a new definition of assertion appears: to assume responsibility for the truth of the proposition asserted, so that if it is shown not to be true, a certain penalty may be </w:t>
      </w:r>
      <w:r w:rsidRPr="00FB18D9">
        <w:rPr>
          <w:rFonts w:cs="Times New Roman"/>
          <w:color w:val="000000" w:themeColor="text1"/>
          <w:lang w:val="en-US"/>
        </w:rPr>
        <w:t>visited on the asserter in the shape of moral, social, or legal punishment. One of the first occurrences of that idea is “Reason’s Rules” of 1902 (</w:t>
      </w:r>
      <w:r w:rsidRPr="00FB18D9">
        <w:rPr>
          <w:rFonts w:eastAsia="Times New Roman" w:cstheme="minorHAnsi"/>
          <w:color w:val="000000" w:themeColor="text1"/>
          <w:lang w:val="en-US" w:eastAsia="da-DK"/>
        </w:rPr>
        <w:t>MS [R] 599:5): “</w:t>
      </w:r>
      <w:r w:rsidRPr="00FB18D9">
        <w:rPr>
          <w:rFonts w:eastAsia="Times New Roman" w:cstheme="minorHAnsi"/>
          <w:color w:val="000000" w:themeColor="text1"/>
          <w:shd w:val="clear" w:color="auto" w:fill="FFFFFF"/>
          <w:lang w:val="en-US" w:eastAsia="da-DK"/>
        </w:rPr>
        <w:t>An </w:t>
      </w:r>
      <w:r w:rsidRPr="00FB18D9">
        <w:rPr>
          <w:rFonts w:eastAsia="Times New Roman" w:cstheme="minorHAnsi"/>
          <w:i/>
          <w:iCs/>
          <w:color w:val="000000" w:themeColor="text1"/>
          <w:shd w:val="clear" w:color="auto" w:fill="FFFFFF"/>
          <w:lang w:val="en-US" w:eastAsia="da-DK"/>
        </w:rPr>
        <w:t>assertion</w:t>
      </w:r>
      <w:r w:rsidRPr="00FB18D9">
        <w:rPr>
          <w:rFonts w:eastAsia="Times New Roman" w:cstheme="minorHAnsi"/>
          <w:color w:val="000000" w:themeColor="text1"/>
          <w:shd w:val="clear" w:color="auto" w:fill="FFFFFF"/>
          <w:lang w:val="en-US" w:eastAsia="da-DK"/>
        </w:rPr>
        <w:t> is an act by which a person makes himself responsible for the truth of a proposition</w:t>
      </w:r>
      <w:r w:rsidRPr="00FB18D9">
        <w:rPr>
          <w:rFonts w:eastAsia="Times New Roman" w:cstheme="minorHAnsi"/>
          <w:color w:val="000000" w:themeColor="text1"/>
          <w:lang w:val="en-US" w:eastAsia="da-DK"/>
        </w:rPr>
        <w:t>.” In another version of the same text, Peirce elaborates: “Let us distinguish between the </w:t>
      </w:r>
      <w:r w:rsidRPr="00FB18D9">
        <w:rPr>
          <w:rFonts w:eastAsia="Times New Roman" w:cstheme="minorHAnsi"/>
          <w:i/>
          <w:iCs/>
          <w:color w:val="000000" w:themeColor="text1"/>
          <w:lang w:val="en-US" w:eastAsia="da-DK"/>
        </w:rPr>
        <w:t>proposition</w:t>
      </w:r>
      <w:r w:rsidRPr="00FB18D9">
        <w:rPr>
          <w:rFonts w:eastAsia="Times New Roman" w:cstheme="minorHAnsi"/>
          <w:color w:val="000000" w:themeColor="text1"/>
          <w:lang w:val="en-US" w:eastAsia="da-DK"/>
        </w:rPr>
        <w:t> and the </w:t>
      </w:r>
      <w:r w:rsidRPr="00FB18D9">
        <w:rPr>
          <w:rFonts w:eastAsia="Times New Roman" w:cstheme="minorHAnsi"/>
          <w:i/>
          <w:iCs/>
          <w:color w:val="000000" w:themeColor="text1"/>
          <w:lang w:val="en-US" w:eastAsia="da-DK"/>
        </w:rPr>
        <w:t>assertion</w:t>
      </w:r>
      <w:r w:rsidRPr="00FB18D9">
        <w:rPr>
          <w:rFonts w:eastAsia="Times New Roman" w:cstheme="minorHAnsi"/>
          <w:color w:val="000000" w:themeColor="text1"/>
          <w:lang w:val="en-US" w:eastAsia="da-DK"/>
        </w:rPr>
        <w:t> of that proposition. We will grant, if you please, that the proposition itself merely represents an image with a label or pointer attached to it. But </w:t>
      </w:r>
      <w:r w:rsidRPr="00FB18D9">
        <w:rPr>
          <w:rFonts w:eastAsia="Times New Roman" w:cstheme="minorHAnsi"/>
          <w:color w:val="000000" w:themeColor="text1"/>
          <w:shd w:val="clear" w:color="auto" w:fill="FFFFFF"/>
          <w:lang w:val="en-US" w:eastAsia="da-DK"/>
        </w:rPr>
        <w:t>to assert that proposition is to make oneself responsible for it, without any definite forfeit, it is true, but with a forfeit no smaller for being unnamed</w:t>
      </w:r>
      <w:r w:rsidRPr="00FB18D9">
        <w:rPr>
          <w:rFonts w:eastAsia="Times New Roman" w:cstheme="minorHAnsi"/>
          <w:color w:val="000000" w:themeColor="text1"/>
          <w:lang w:val="en-US" w:eastAsia="da-DK"/>
        </w:rPr>
        <w:t xml:space="preserve">.” (“Reason's Rules” CP 5.543). The elegant and brief definition of a proposition </w:t>
      </w:r>
      <w:r>
        <w:rPr>
          <w:rFonts w:eastAsia="Times New Roman" w:cstheme="minorHAnsi"/>
          <w:color w:val="000000"/>
          <w:lang w:val="en-US" w:eastAsia="da-DK"/>
        </w:rPr>
        <w:t>(“an image with a label or pointer”</w:t>
      </w:r>
      <w:r w:rsidR="00B05EE3">
        <w:rPr>
          <w:rFonts w:eastAsia="Times New Roman" w:cstheme="minorHAnsi"/>
          <w:color w:val="000000"/>
          <w:lang w:val="en-US" w:eastAsia="da-DK"/>
        </w:rPr>
        <w:t>)</w:t>
      </w:r>
      <w:r>
        <w:rPr>
          <w:rFonts w:eastAsia="Times New Roman" w:cstheme="minorHAnsi"/>
          <w:color w:val="000000"/>
          <w:lang w:val="en-US" w:eastAsia="da-DK"/>
        </w:rPr>
        <w:t xml:space="preserve"> makes clear that the </w:t>
      </w:r>
      <w:r w:rsidR="00FB18D9">
        <w:rPr>
          <w:rFonts w:eastAsia="Times New Roman" w:cstheme="minorHAnsi"/>
          <w:color w:val="000000"/>
          <w:lang w:val="en-US" w:eastAsia="da-DK"/>
        </w:rPr>
        <w:t xml:space="preserve">naked </w:t>
      </w:r>
      <w:r>
        <w:rPr>
          <w:rFonts w:eastAsia="Times New Roman" w:cstheme="minorHAnsi"/>
          <w:color w:val="000000"/>
          <w:lang w:val="en-US" w:eastAsia="da-DK"/>
        </w:rPr>
        <w:t>proposition</w:t>
      </w:r>
      <w:r w:rsidR="00FB18D9">
        <w:rPr>
          <w:rFonts w:eastAsia="Times New Roman" w:cstheme="minorHAnsi"/>
          <w:color w:val="000000"/>
          <w:lang w:val="en-US" w:eastAsia="da-DK"/>
        </w:rPr>
        <w:t xml:space="preserve"> taken in</w:t>
      </w:r>
      <w:r>
        <w:rPr>
          <w:rFonts w:eastAsia="Times New Roman" w:cstheme="minorHAnsi"/>
          <w:color w:val="000000"/>
          <w:lang w:val="en-US" w:eastAsia="da-DK"/>
        </w:rPr>
        <w:t xml:space="preserve"> itself is not sufficient to make an assertion: somebody must </w:t>
      </w:r>
      <w:r w:rsidR="005D7247">
        <w:rPr>
          <w:rFonts w:eastAsia="Times New Roman" w:cstheme="minorHAnsi"/>
          <w:color w:val="000000"/>
          <w:lang w:val="en-US" w:eastAsia="da-DK"/>
        </w:rPr>
        <w:t xml:space="preserve">take responsibility for its truth. But what more lies in the responsibility definition of assertion? </w:t>
      </w:r>
      <w:r w:rsidR="00221065">
        <w:rPr>
          <w:rFonts w:eastAsia="Times New Roman" w:cstheme="minorHAnsi"/>
          <w:color w:val="000000"/>
          <w:lang w:val="en-US" w:eastAsia="da-DK"/>
        </w:rPr>
        <w:t xml:space="preserve">In order for the claimed responsibility </w:t>
      </w:r>
      <w:r w:rsidR="008A467A">
        <w:rPr>
          <w:rFonts w:eastAsia="Times New Roman" w:cstheme="minorHAnsi"/>
          <w:color w:val="000000"/>
          <w:lang w:val="en-US" w:eastAsia="da-DK"/>
        </w:rPr>
        <w:t>to be</w:t>
      </w:r>
      <w:r w:rsidR="00221065">
        <w:rPr>
          <w:rFonts w:eastAsia="Times New Roman" w:cstheme="minorHAnsi"/>
          <w:color w:val="000000"/>
          <w:lang w:val="en-US" w:eastAsia="da-DK"/>
        </w:rPr>
        <w:t xml:space="preserve"> effective, the assertion must be </w:t>
      </w:r>
      <w:r w:rsidR="00FB18D9">
        <w:rPr>
          <w:rFonts w:eastAsia="Times New Roman" w:cstheme="minorHAnsi"/>
          <w:color w:val="000000"/>
          <w:lang w:val="en-US" w:eastAsia="da-DK"/>
        </w:rPr>
        <w:t>presented</w:t>
      </w:r>
      <w:r w:rsidR="00221065">
        <w:rPr>
          <w:rFonts w:eastAsia="Times New Roman" w:cstheme="minorHAnsi"/>
          <w:color w:val="000000"/>
          <w:lang w:val="en-US" w:eastAsia="da-DK"/>
        </w:rPr>
        <w:t xml:space="preserve"> in some public forum – which is evident from the followin</w:t>
      </w:r>
      <w:r w:rsidR="00221065" w:rsidRPr="00221065">
        <w:rPr>
          <w:rFonts w:eastAsia="Times New Roman" w:cstheme="minorHAnsi"/>
          <w:color w:val="000000" w:themeColor="text1"/>
          <w:lang w:val="en-US" w:eastAsia="da-DK"/>
        </w:rPr>
        <w:t>g precision: “</w:t>
      </w:r>
      <w:r w:rsidR="00221065" w:rsidRPr="00221065">
        <w:rPr>
          <w:rFonts w:eastAsia="Times New Roman" w:cstheme="minorHAnsi"/>
          <w:color w:val="000000" w:themeColor="text1"/>
          <w:shd w:val="clear" w:color="auto" w:fill="FFFFFF"/>
          <w:lang w:val="en-US" w:eastAsia="da-DK"/>
        </w:rPr>
        <w:t>An act of assertion is a contract, the effect of which is that if what is asserted is not true, the assertor forfeits in a measure his reputation for veracity</w:t>
      </w:r>
      <w:r w:rsidR="00221065" w:rsidRPr="00221065">
        <w:rPr>
          <w:rFonts w:eastAsia="Times New Roman" w:cstheme="minorHAnsi"/>
          <w:color w:val="000000" w:themeColor="text1"/>
          <w:lang w:val="en-US" w:eastAsia="da-DK"/>
        </w:rPr>
        <w:t>.” (“Lectures on Logic, to be delivered at the Lowell Institute. Winter of 1903-1904. Lecture I”, MS [R] 454:</w:t>
      </w:r>
      <w:r w:rsidR="00221065" w:rsidRPr="008F4F7E">
        <w:rPr>
          <w:rFonts w:eastAsia="Times New Roman" w:cstheme="minorHAnsi"/>
          <w:color w:val="000000"/>
          <w:lang w:val="en-US" w:eastAsia="da-DK"/>
        </w:rPr>
        <w:t>5</w:t>
      </w:r>
      <w:r w:rsidR="00221065">
        <w:rPr>
          <w:rFonts w:eastAsia="Times New Roman" w:cstheme="minorHAnsi"/>
          <w:color w:val="000000"/>
          <w:lang w:val="en-US" w:eastAsia="da-DK"/>
        </w:rPr>
        <w:t>)</w:t>
      </w:r>
      <w:r w:rsidR="00FB18D9">
        <w:rPr>
          <w:rFonts w:eastAsia="Times New Roman" w:cstheme="minorHAnsi"/>
          <w:color w:val="000000"/>
          <w:lang w:val="en-US" w:eastAsia="da-DK"/>
        </w:rPr>
        <w:t>.</w:t>
      </w:r>
      <w:r w:rsidR="00221065">
        <w:rPr>
          <w:rFonts w:eastAsia="Times New Roman" w:cstheme="minorHAnsi"/>
          <w:color w:val="000000"/>
          <w:lang w:val="en-US" w:eastAsia="da-DK"/>
        </w:rPr>
        <w:t xml:space="preserve"> Contract</w:t>
      </w:r>
      <w:r w:rsidR="00FB18D9">
        <w:rPr>
          <w:rFonts w:eastAsia="Times New Roman" w:cstheme="minorHAnsi"/>
          <w:color w:val="000000"/>
          <w:lang w:val="en-US" w:eastAsia="da-DK"/>
        </w:rPr>
        <w:t>s</w:t>
      </w:r>
      <w:r w:rsidR="00221065">
        <w:rPr>
          <w:rFonts w:eastAsia="Times New Roman" w:cstheme="minorHAnsi"/>
          <w:color w:val="000000"/>
          <w:lang w:val="en-US" w:eastAsia="da-DK"/>
        </w:rPr>
        <w:t xml:space="preserve"> and reputation</w:t>
      </w:r>
      <w:r w:rsidR="00FB18D9">
        <w:rPr>
          <w:rFonts w:eastAsia="Times New Roman" w:cstheme="minorHAnsi"/>
          <w:color w:val="000000"/>
          <w:lang w:val="en-US" w:eastAsia="da-DK"/>
        </w:rPr>
        <w:t>s</w:t>
      </w:r>
      <w:r w:rsidR="00221065">
        <w:rPr>
          <w:rFonts w:eastAsia="Times New Roman" w:cstheme="minorHAnsi"/>
          <w:color w:val="000000"/>
          <w:lang w:val="en-US" w:eastAsia="da-DK"/>
        </w:rPr>
        <w:t xml:space="preserve"> are social phenomena; the former characterizing explicit interpersonal deals involving mutual obligations, the second characterizing a person’s </w:t>
      </w:r>
      <w:r w:rsidR="00221065">
        <w:rPr>
          <w:rFonts w:eastAsia="Times New Roman" w:cstheme="minorHAnsi"/>
          <w:color w:val="000000"/>
          <w:lang w:val="en-US" w:eastAsia="da-DK"/>
        </w:rPr>
        <w:lastRenderedPageBreak/>
        <w:t xml:space="preserve">relation to </w:t>
      </w:r>
      <w:r w:rsidR="008A467A">
        <w:rPr>
          <w:rFonts w:eastAsia="Times New Roman" w:cstheme="minorHAnsi"/>
          <w:color w:val="000000"/>
          <w:lang w:val="en-US" w:eastAsia="da-DK"/>
        </w:rPr>
        <w:t>some</w:t>
      </w:r>
      <w:r w:rsidR="00221065">
        <w:rPr>
          <w:rFonts w:eastAsia="Times New Roman" w:cstheme="minorHAnsi"/>
          <w:color w:val="000000"/>
          <w:lang w:val="en-US" w:eastAsia="da-DK"/>
        </w:rPr>
        <w:t xml:space="preserve"> social group as a whole. So, the assertion is a contract proposal </w:t>
      </w:r>
      <w:r w:rsidR="00FB18D9">
        <w:rPr>
          <w:rFonts w:eastAsia="Times New Roman" w:cstheme="minorHAnsi"/>
          <w:color w:val="000000"/>
          <w:lang w:val="en-US" w:eastAsia="da-DK"/>
        </w:rPr>
        <w:t xml:space="preserve">in </w:t>
      </w:r>
      <w:r w:rsidR="00221065">
        <w:rPr>
          <w:rFonts w:eastAsia="Times New Roman" w:cstheme="minorHAnsi"/>
          <w:color w:val="000000"/>
          <w:lang w:val="en-US" w:eastAsia="da-DK"/>
        </w:rPr>
        <w:t xml:space="preserve">which whoever reads it may assume the role of the </w:t>
      </w:r>
      <w:proofErr w:type="spellStart"/>
      <w:r w:rsidR="00221065">
        <w:rPr>
          <w:rFonts w:eastAsia="Times New Roman" w:cstheme="minorHAnsi"/>
          <w:color w:val="000000"/>
          <w:lang w:val="en-US" w:eastAsia="da-DK"/>
        </w:rPr>
        <w:t>contractee</w:t>
      </w:r>
      <w:proofErr w:type="spellEnd"/>
      <w:r w:rsidR="00221065">
        <w:rPr>
          <w:rFonts w:eastAsia="Times New Roman" w:cstheme="minorHAnsi"/>
          <w:color w:val="000000"/>
          <w:lang w:val="en-US" w:eastAsia="da-DK"/>
        </w:rPr>
        <w:t xml:space="preserve">, and in case </w:t>
      </w:r>
      <w:r w:rsidR="00221065" w:rsidRPr="00FB18D9">
        <w:rPr>
          <w:rFonts w:eastAsia="Times New Roman" w:cstheme="minorHAnsi"/>
          <w:color w:val="000000" w:themeColor="text1"/>
          <w:lang w:val="en-US" w:eastAsia="da-DK"/>
        </w:rPr>
        <w:t xml:space="preserve">the contract is not kept, the contractor risks his or her reputation in a larger social group. Over the period of 1902-04, this aspect is described in increasingly acute terms and growing detail: </w:t>
      </w:r>
    </w:p>
    <w:p w14:paraId="633358B0" w14:textId="77777777" w:rsidR="00E903B0" w:rsidRDefault="00E903B0" w:rsidP="00E903B0">
      <w:pPr>
        <w:autoSpaceDE w:val="0"/>
        <w:autoSpaceDN w:val="0"/>
        <w:adjustRightInd w:val="0"/>
        <w:spacing w:line="276" w:lineRule="auto"/>
        <w:rPr>
          <w:rFonts w:eastAsia="Times New Roman" w:cstheme="minorHAnsi"/>
          <w:color w:val="000000" w:themeColor="text1"/>
          <w:lang w:val="en-US" w:eastAsia="da-DK"/>
        </w:rPr>
      </w:pPr>
    </w:p>
    <w:p w14:paraId="43DE463B" w14:textId="358BA891" w:rsidR="00E903B0" w:rsidRDefault="00221065" w:rsidP="00E903B0">
      <w:pPr>
        <w:autoSpaceDE w:val="0"/>
        <w:autoSpaceDN w:val="0"/>
        <w:adjustRightInd w:val="0"/>
        <w:spacing w:line="276" w:lineRule="auto"/>
        <w:rPr>
          <w:rFonts w:eastAsia="Times New Roman" w:cstheme="minorHAnsi"/>
          <w:color w:val="000000" w:themeColor="text1"/>
          <w:lang w:val="en-US" w:eastAsia="da-DK"/>
        </w:rPr>
      </w:pPr>
      <w:r w:rsidRPr="00FB18D9">
        <w:rPr>
          <w:rFonts w:eastAsia="Times New Roman" w:cstheme="minorHAnsi"/>
          <w:color w:val="000000" w:themeColor="text1"/>
          <w:lang w:val="en-US" w:eastAsia="da-DK"/>
        </w:rPr>
        <w:t>“</w:t>
      </w:r>
      <w:r w:rsidRPr="00FB18D9">
        <w:rPr>
          <w:rFonts w:cstheme="minorHAnsi"/>
          <w:color w:val="000000" w:themeColor="text1"/>
          <w:lang w:val="en-US"/>
        </w:rPr>
        <w:t xml:space="preserve">Now </w:t>
      </w:r>
      <w:r w:rsidRPr="00FB18D9">
        <w:rPr>
          <w:rFonts w:eastAsia="Times New Roman" w:cstheme="minorHAnsi"/>
          <w:color w:val="000000" w:themeColor="text1"/>
          <w:lang w:val="en-US" w:eastAsia="da-DK"/>
        </w:rPr>
        <w:t>it is a fairly easy problem to analyze the nature of </w:t>
      </w:r>
      <w:r w:rsidRPr="00FB18D9">
        <w:rPr>
          <w:rFonts w:eastAsia="Times New Roman" w:cstheme="minorHAnsi"/>
          <w:i/>
          <w:iCs/>
          <w:color w:val="000000" w:themeColor="text1"/>
          <w:lang w:val="en-US" w:eastAsia="da-DK"/>
        </w:rPr>
        <w:t>assertion</w:t>
      </w:r>
      <w:r w:rsidRPr="00FB18D9">
        <w:rPr>
          <w:rFonts w:eastAsia="Times New Roman" w:cstheme="minorHAnsi"/>
          <w:color w:val="000000" w:themeColor="text1"/>
          <w:lang w:val="en-US" w:eastAsia="da-DK"/>
        </w:rPr>
        <w:t>. To find an easily dissected example, we shall naturally take a case where the assertive element is magnified, – a very formal assertion, such as an affidavit. Here a man goes before a notary or magistrate and takes such action that if what he says is not true, evil consequences will be visited upon him, and this he does with a view to thus causing other men to be affected just as they would be if the proposition sworn to had presented itself to them as a perceptual fact.</w:t>
      </w:r>
      <w:r w:rsidR="00E903B0">
        <w:rPr>
          <w:rFonts w:cstheme="minorHAnsi"/>
          <w:color w:val="000000" w:themeColor="text1"/>
          <w:lang w:val="en-US"/>
        </w:rPr>
        <w:t xml:space="preserve"> </w:t>
      </w:r>
      <w:r w:rsidRPr="00FB18D9">
        <w:rPr>
          <w:rFonts w:eastAsia="Times New Roman" w:cstheme="minorHAnsi"/>
          <w:color w:val="000000" w:themeColor="text1"/>
          <w:lang w:val="en-US" w:eastAsia="da-DK"/>
        </w:rPr>
        <w:t xml:space="preserve">We thus see that the act of assertion is an act of a totally different nature from </w:t>
      </w:r>
      <w:r w:rsidRPr="00E903B0">
        <w:rPr>
          <w:lang w:val="en-US"/>
        </w:rPr>
        <w:t xml:space="preserve">the act of apprehending the meaning of the proposition and we cannot expect that any analysis of what assertion is (or any </w:t>
      </w:r>
      <w:r w:rsidRPr="000410F9">
        <w:rPr>
          <w:lang w:val="en-US"/>
        </w:rPr>
        <w:t>analysis of</w:t>
      </w:r>
      <w:r w:rsidR="000410F9" w:rsidRPr="000410F9">
        <w:rPr>
          <w:lang w:val="en-US"/>
        </w:rPr>
        <w:t xml:space="preserve"> </w:t>
      </w:r>
      <w:r w:rsidRPr="000410F9">
        <w:rPr>
          <w:lang w:val="en-US"/>
        </w:rPr>
        <w:t>what</w:t>
      </w:r>
      <w:r w:rsidRPr="00E903B0">
        <w:rPr>
          <w:lang w:val="en-US"/>
        </w:rPr>
        <w:t xml:space="preserve"> judgment or belief is, if that act is at </w:t>
      </w:r>
      <w:r w:rsidRPr="00FB18D9">
        <w:rPr>
          <w:rFonts w:eastAsia="Times New Roman" w:cstheme="minorHAnsi"/>
          <w:color w:val="000000" w:themeColor="text1"/>
          <w:lang w:val="en-US" w:eastAsia="da-DK"/>
        </w:rPr>
        <w:t>all allied to assertion), should throw any light at all on the widely different question of what the apprehension of the meaning of a proposition is.</w:t>
      </w:r>
      <w:r w:rsidR="007B33F0" w:rsidRPr="00FB18D9">
        <w:rPr>
          <w:rFonts w:eastAsia="Times New Roman" w:cstheme="minorHAnsi"/>
          <w:color w:val="000000" w:themeColor="text1"/>
          <w:shd w:val="clear" w:color="auto" w:fill="FFFFFF"/>
          <w:lang w:val="en-US" w:eastAsia="da-DK"/>
        </w:rPr>
        <w:t xml:space="preserve">” </w:t>
      </w:r>
      <w:r w:rsidRPr="00FB18D9">
        <w:rPr>
          <w:rFonts w:eastAsia="Times New Roman" w:cstheme="minorHAnsi"/>
          <w:color w:val="000000" w:themeColor="text1"/>
          <w:lang w:val="en-US" w:eastAsia="da-DK"/>
        </w:rPr>
        <w:t xml:space="preserve">(“Harvard Lectures on Pragmatism: Lecture I”, </w:t>
      </w:r>
      <w:r w:rsidR="008A467A">
        <w:rPr>
          <w:rFonts w:eastAsia="Times New Roman" w:cstheme="minorHAnsi"/>
          <w:color w:val="000000" w:themeColor="text1"/>
          <w:lang w:val="en-US" w:eastAsia="da-DK"/>
        </w:rPr>
        <w:t xml:space="preserve">1903, </w:t>
      </w:r>
      <w:r w:rsidRPr="00FB18D9">
        <w:rPr>
          <w:rFonts w:eastAsia="Times New Roman" w:cstheme="minorHAnsi"/>
          <w:color w:val="000000" w:themeColor="text1"/>
          <w:lang w:val="en-US" w:eastAsia="da-DK"/>
        </w:rPr>
        <w:t>CP 5.29-31).</w:t>
      </w:r>
      <w:r w:rsidR="00E903B0">
        <w:rPr>
          <w:rFonts w:eastAsia="Times New Roman" w:cstheme="minorHAnsi"/>
          <w:color w:val="000000" w:themeColor="text1"/>
          <w:lang w:val="en-US" w:eastAsia="da-DK"/>
        </w:rPr>
        <w:t xml:space="preserve"> </w:t>
      </w:r>
    </w:p>
    <w:p w14:paraId="41392DA9" w14:textId="77777777" w:rsidR="00E903B0" w:rsidRDefault="00E903B0" w:rsidP="00E903B0">
      <w:pPr>
        <w:autoSpaceDE w:val="0"/>
        <w:autoSpaceDN w:val="0"/>
        <w:adjustRightInd w:val="0"/>
        <w:spacing w:line="276" w:lineRule="auto"/>
        <w:rPr>
          <w:rFonts w:eastAsia="Times New Roman" w:cstheme="minorHAnsi"/>
          <w:color w:val="000000" w:themeColor="text1"/>
          <w:lang w:val="en-US" w:eastAsia="da-DK"/>
        </w:rPr>
      </w:pPr>
    </w:p>
    <w:p w14:paraId="49997945" w14:textId="77777777" w:rsidR="00887772" w:rsidRPr="00E903B0" w:rsidRDefault="007B33F0" w:rsidP="00E903B0">
      <w:pPr>
        <w:autoSpaceDE w:val="0"/>
        <w:autoSpaceDN w:val="0"/>
        <w:adjustRightInd w:val="0"/>
        <w:spacing w:line="276" w:lineRule="auto"/>
        <w:rPr>
          <w:rFonts w:cstheme="minorHAnsi"/>
          <w:color w:val="000000" w:themeColor="text1"/>
          <w:lang w:val="en-US"/>
        </w:rPr>
      </w:pPr>
      <w:r w:rsidRPr="00FB18D9">
        <w:rPr>
          <w:rFonts w:eastAsia="Times New Roman" w:cstheme="minorHAnsi"/>
          <w:color w:val="000000" w:themeColor="text1"/>
          <w:lang w:val="en-US" w:eastAsia="da-DK"/>
        </w:rPr>
        <w:t xml:space="preserve">Here, Peirce completely distinguishes the act of understanding </w:t>
      </w:r>
      <w:r>
        <w:rPr>
          <w:rFonts w:eastAsia="Times New Roman" w:cstheme="minorHAnsi"/>
          <w:color w:val="000000"/>
          <w:lang w:val="en-US" w:eastAsia="da-DK"/>
        </w:rPr>
        <w:t xml:space="preserve">a proposition </w:t>
      </w:r>
      <w:r w:rsidR="00E903B0">
        <w:rPr>
          <w:rFonts w:eastAsia="Times New Roman" w:cstheme="minorHAnsi"/>
          <w:color w:val="000000"/>
          <w:lang w:val="en-US" w:eastAsia="da-DK"/>
        </w:rPr>
        <w:t>from the act of</w:t>
      </w:r>
      <w:r>
        <w:rPr>
          <w:rFonts w:eastAsia="Times New Roman" w:cstheme="minorHAnsi"/>
          <w:color w:val="000000"/>
          <w:lang w:val="en-US" w:eastAsia="da-DK"/>
        </w:rPr>
        <w:t xml:space="preserve"> asserting it. Of course, in order to publicly reject a proposition, one must be equally capable of understanding it as in order to assert it. In the same period, assertion is repeatedly contrasted with another act type, with which it shares certain qualities, namely </w:t>
      </w:r>
      <w:r>
        <w:rPr>
          <w:rFonts w:eastAsia="Times New Roman" w:cstheme="minorHAnsi"/>
          <w:i/>
          <w:color w:val="000000"/>
          <w:lang w:val="en-US" w:eastAsia="da-DK"/>
        </w:rPr>
        <w:t>assent,</w:t>
      </w:r>
      <w:r>
        <w:rPr>
          <w:rFonts w:eastAsia="Times New Roman" w:cstheme="minorHAnsi"/>
          <w:color w:val="000000"/>
          <w:lang w:val="en-US" w:eastAsia="da-DK"/>
        </w:rPr>
        <w:t xml:space="preserve"> the act of accepting the truth of a proposition. The two share the aspect that both of them aim at impressing the truth of the proposition upon </w:t>
      </w:r>
      <w:r w:rsidRPr="00E903B0">
        <w:rPr>
          <w:rFonts w:eastAsia="Times New Roman" w:cstheme="minorHAnsi"/>
          <w:color w:val="000000" w:themeColor="text1"/>
          <w:lang w:val="en-US" w:eastAsia="da-DK"/>
        </w:rPr>
        <w:t>somebody, in the former case another person or larger social group, in the latter case oneself: “</w:t>
      </w:r>
      <w:r w:rsidR="004E0DCF" w:rsidRPr="00E903B0">
        <w:rPr>
          <w:rFonts w:cs="Times New Roman"/>
          <w:color w:val="000000" w:themeColor="text1"/>
          <w:lang w:val="en-US"/>
        </w:rPr>
        <w:t>What is the essence of a Judgment? A judgment is the mental act by which the judger seeks to impress upon himself the truth of a proposition. It is much the same as an act of asserting the proposition, or going before a notary and assuming formal responsibility for its truth, except that those acts are intended to affect others, while the judgment is only intended to affect oneself.</w:t>
      </w:r>
      <w:r w:rsidRPr="00E903B0">
        <w:rPr>
          <w:rFonts w:cs="Times New Roman"/>
          <w:color w:val="000000" w:themeColor="text1"/>
          <w:lang w:val="en-US"/>
        </w:rPr>
        <w:t>” (</w:t>
      </w:r>
      <w:r w:rsidRPr="00E903B0">
        <w:rPr>
          <w:rFonts w:eastAsia="Times New Roman" w:cstheme="minorHAnsi"/>
          <w:color w:val="000000" w:themeColor="text1"/>
          <w:lang w:val="en-US" w:eastAsia="da-DK"/>
        </w:rPr>
        <w:t>“A Classification of the Sciences”, 1902, CP 2.252). In a certain sense, assertion and assent are subtypes of judgments</w:t>
      </w:r>
      <w:r>
        <w:rPr>
          <w:rFonts w:eastAsia="Times New Roman" w:cstheme="minorHAnsi"/>
          <w:color w:val="000000"/>
          <w:lang w:val="en-US" w:eastAsia="da-DK"/>
        </w:rPr>
        <w:t xml:space="preserve">, that is, acts of convincing somebody about the truth of a proposition – with the </w:t>
      </w:r>
      <w:r w:rsidRPr="00E903B0">
        <w:rPr>
          <w:rFonts w:eastAsia="Times New Roman" w:cstheme="minorHAnsi"/>
          <w:i/>
          <w:color w:val="000000"/>
          <w:lang w:val="en-US" w:eastAsia="da-DK"/>
        </w:rPr>
        <w:t xml:space="preserve">differentia </w:t>
      </w:r>
      <w:proofErr w:type="spellStart"/>
      <w:r w:rsidRPr="00E903B0">
        <w:rPr>
          <w:rFonts w:eastAsia="Times New Roman" w:cstheme="minorHAnsi"/>
          <w:i/>
          <w:color w:val="000000"/>
          <w:lang w:val="en-US" w:eastAsia="da-DK"/>
        </w:rPr>
        <w:t>specifica</w:t>
      </w:r>
      <w:proofErr w:type="spellEnd"/>
      <w:r>
        <w:rPr>
          <w:rFonts w:eastAsia="Times New Roman" w:cstheme="minorHAnsi"/>
          <w:color w:val="000000"/>
          <w:lang w:val="en-US" w:eastAsia="da-DK"/>
        </w:rPr>
        <w:t xml:space="preserve"> of the former being directed towards other persons or social entities, the latter towards oneself. While the former assumes responsibility towards others, the latter assumes responsibility for one’s own </w:t>
      </w:r>
      <w:r w:rsidRPr="0008323B">
        <w:rPr>
          <w:rFonts w:eastAsia="Times New Roman" w:cstheme="minorHAnsi"/>
          <w:color w:val="000000" w:themeColor="text1"/>
          <w:lang w:val="en-US" w:eastAsia="da-DK"/>
        </w:rPr>
        <w:t xml:space="preserve">future action habits: “ </w:t>
      </w:r>
      <w:r w:rsidR="00221065" w:rsidRPr="0008323B">
        <w:rPr>
          <w:rFonts w:eastAsia="Times New Roman" w:cstheme="minorHAnsi"/>
          <w:color w:val="000000" w:themeColor="text1"/>
          <w:lang w:val="en-US" w:eastAsia="da-DK"/>
        </w:rPr>
        <w:t>…</w:t>
      </w:r>
      <w:r w:rsidR="00E903B0">
        <w:rPr>
          <w:rFonts w:eastAsia="Times New Roman" w:cstheme="minorHAnsi"/>
          <w:color w:val="000000" w:themeColor="text1"/>
          <w:lang w:val="en-US" w:eastAsia="da-DK"/>
        </w:rPr>
        <w:t xml:space="preserve"> </w:t>
      </w:r>
      <w:r w:rsidR="00221065" w:rsidRPr="0008323B">
        <w:rPr>
          <w:rFonts w:eastAsia="Times New Roman" w:cstheme="minorHAnsi"/>
          <w:color w:val="000000" w:themeColor="text1"/>
          <w:shd w:val="clear" w:color="auto" w:fill="FFFFFF"/>
          <w:lang w:val="en-US" w:eastAsia="da-DK"/>
        </w:rPr>
        <w:t xml:space="preserve">an act of assertion supposes that, a proposition being formulated, a person performs an act which renders him liable to the penalties of the social law (or, at any rate, those of the moral law) in case it should not be true, unless he has a definite and sufficient excuse, </w:t>
      </w:r>
      <w:r w:rsidR="00221065" w:rsidRPr="0008323B">
        <w:rPr>
          <w:rFonts w:cstheme="minorHAnsi"/>
          <w:color w:val="000000" w:themeColor="text1"/>
          <w:lang w:val="en-US"/>
        </w:rPr>
        <w:t>and an act of assent is an act of the mind by which one endeavors to impress the meanings of the proposition upon his disposition, so that it shall govern his conduct, including thought under conduct, this habit being ready to be broken in case reasons should appear for breaking it. Now in performing either of these acts, the proposition is recognized as being</w:t>
      </w:r>
      <w:r w:rsidR="00221065" w:rsidRPr="005520E9">
        <w:rPr>
          <w:rFonts w:cstheme="minorHAnsi"/>
          <w:lang w:val="en-US"/>
        </w:rPr>
        <w:t xml:space="preserve"> a proposition whether the act be performed or not.</w:t>
      </w:r>
      <w:r>
        <w:rPr>
          <w:rFonts w:cstheme="minorHAnsi"/>
          <w:lang w:val="en-US"/>
        </w:rPr>
        <w:t>” (</w:t>
      </w:r>
      <w:r>
        <w:rPr>
          <w:rFonts w:eastAsia="Times New Roman" w:cstheme="minorHAnsi"/>
          <w:color w:val="000000"/>
          <w:lang w:val="en-US" w:eastAsia="da-DK"/>
        </w:rPr>
        <w:t>“</w:t>
      </w:r>
      <w:r w:rsidRPr="00B735F5">
        <w:rPr>
          <w:rFonts w:eastAsia="Times New Roman" w:cstheme="minorHAnsi"/>
          <w:color w:val="000000"/>
          <w:lang w:val="en-US" w:eastAsia="da-DK"/>
        </w:rPr>
        <w:t>Syllabus: Syllabus of a course of Lectures at the Lowell Institute beginning 1903, Nov. 23. On Some Topics of Logic</w:t>
      </w:r>
      <w:r>
        <w:rPr>
          <w:rFonts w:eastAsia="Times New Roman" w:cstheme="minorHAnsi"/>
          <w:color w:val="000000"/>
          <w:lang w:val="en-US" w:eastAsia="da-DK"/>
        </w:rPr>
        <w:t xml:space="preserve">”, </w:t>
      </w:r>
      <w:r>
        <w:rPr>
          <w:rFonts w:eastAsia="Times New Roman" w:cstheme="minorHAnsi"/>
          <w:color w:val="000000"/>
          <w:lang w:val="en-US" w:eastAsia="da-DK"/>
        </w:rPr>
        <w:lastRenderedPageBreak/>
        <w:t xml:space="preserve">1903; </w:t>
      </w:r>
      <w:r w:rsidRPr="00B735F5">
        <w:rPr>
          <w:rFonts w:eastAsia="Times New Roman" w:cstheme="minorHAnsi"/>
          <w:color w:val="000000"/>
          <w:lang w:val="en-US" w:eastAsia="da-DK"/>
        </w:rPr>
        <w:t>EP 2:278; CP 2.315</w:t>
      </w:r>
      <w:r>
        <w:rPr>
          <w:rFonts w:eastAsia="Times New Roman" w:cstheme="minorHAnsi"/>
          <w:color w:val="000000"/>
          <w:lang w:val="en-US" w:eastAsia="da-DK"/>
        </w:rPr>
        <w:t>)</w:t>
      </w:r>
      <w:r w:rsidR="0008323B">
        <w:rPr>
          <w:rFonts w:eastAsia="Times New Roman" w:cstheme="minorHAnsi"/>
          <w:color w:val="000000"/>
          <w:lang w:val="en-US" w:eastAsia="da-DK"/>
        </w:rPr>
        <w:t>.</w:t>
      </w:r>
      <w:r w:rsidR="00887772">
        <w:rPr>
          <w:rFonts w:eastAsia="Times New Roman" w:cstheme="minorHAnsi"/>
          <w:color w:val="000000"/>
          <w:lang w:val="en-US" w:eastAsia="da-DK"/>
        </w:rPr>
        <w:t xml:space="preserve"> </w:t>
      </w:r>
      <w:r w:rsidR="006D539B">
        <w:rPr>
          <w:rFonts w:eastAsia="Times New Roman" w:cstheme="minorHAnsi"/>
          <w:color w:val="000000"/>
          <w:lang w:val="en-US" w:eastAsia="da-DK"/>
        </w:rPr>
        <w:t xml:space="preserve">Assertion and assent differ as to future consequences: the former act risks moral, social or even legal punishment, the latter only personal habit action problems. </w:t>
      </w:r>
      <w:r w:rsidR="00887772">
        <w:rPr>
          <w:rFonts w:eastAsia="Times New Roman" w:cstheme="minorHAnsi"/>
          <w:color w:val="000000"/>
          <w:lang w:val="en-US" w:eastAsia="da-DK"/>
        </w:rPr>
        <w:t xml:space="preserve">Assertion and assent, </w:t>
      </w:r>
      <w:r w:rsidR="006D539B">
        <w:rPr>
          <w:rFonts w:eastAsia="Times New Roman" w:cstheme="minorHAnsi"/>
          <w:color w:val="000000"/>
          <w:lang w:val="en-US" w:eastAsia="da-DK"/>
        </w:rPr>
        <w:t>on the other hand</w:t>
      </w:r>
      <w:r w:rsidR="00887772">
        <w:rPr>
          <w:rFonts w:eastAsia="Times New Roman" w:cstheme="minorHAnsi"/>
          <w:color w:val="000000"/>
          <w:lang w:val="en-US" w:eastAsia="da-DK"/>
        </w:rPr>
        <w:t xml:space="preserve">, agree in assuming future responsibility; the former in public, the latter in private. The emphasis on the public sphere </w:t>
      </w:r>
      <w:r w:rsidR="00887772" w:rsidRPr="00E903B0">
        <w:rPr>
          <w:rFonts w:eastAsia="Times New Roman" w:cstheme="minorHAnsi"/>
          <w:color w:val="000000" w:themeColor="text1"/>
          <w:lang w:val="en-US" w:eastAsia="da-DK"/>
        </w:rPr>
        <w:t xml:space="preserve">becomes explicit in 1908: </w:t>
      </w:r>
    </w:p>
    <w:p w14:paraId="1FCE33D8" w14:textId="77777777" w:rsidR="007B33F0" w:rsidRPr="00E903B0" w:rsidRDefault="00887772" w:rsidP="00E903B0">
      <w:pPr>
        <w:spacing w:line="276" w:lineRule="auto"/>
        <w:jc w:val="both"/>
        <w:rPr>
          <w:rFonts w:eastAsia="Times New Roman" w:cs="Arial"/>
          <w:color w:val="000000" w:themeColor="text1"/>
          <w:lang w:val="en-US" w:eastAsia="da-DK"/>
        </w:rPr>
      </w:pPr>
      <w:r w:rsidRPr="00E903B0">
        <w:rPr>
          <w:rFonts w:eastAsia="Times New Roman" w:cs="Arial"/>
          <w:color w:val="000000" w:themeColor="text1"/>
          <w:lang w:val="en-US" w:eastAsia="da-DK"/>
        </w:rPr>
        <w:t>“Unless truth be recognized as </w:t>
      </w:r>
      <w:r w:rsidRPr="00E903B0">
        <w:rPr>
          <w:rFonts w:eastAsia="Times New Roman" w:cs="Arial"/>
          <w:i/>
          <w:iCs/>
          <w:color w:val="000000" w:themeColor="text1"/>
          <w:lang w:val="en-US" w:eastAsia="da-DK"/>
        </w:rPr>
        <w:t>public</w:t>
      </w:r>
      <w:r w:rsidRPr="00E903B0">
        <w:rPr>
          <w:rFonts w:eastAsia="Times New Roman" w:cs="Arial"/>
          <w:color w:val="000000" w:themeColor="text1"/>
          <w:lang w:val="en-US" w:eastAsia="da-DK"/>
        </w:rPr>
        <w:t xml:space="preserve">, </w:t>
      </w:r>
      <w:r w:rsidR="006D539B">
        <w:rPr>
          <w:rFonts w:eastAsia="Times New Roman" w:cs="Arial"/>
          <w:color w:val="000000" w:themeColor="text1"/>
          <w:lang w:val="en-US" w:eastAsia="da-DK"/>
        </w:rPr>
        <w:t>–</w:t>
      </w:r>
      <w:r w:rsidRPr="00E903B0">
        <w:rPr>
          <w:rFonts w:eastAsia="Times New Roman" w:cs="Arial"/>
          <w:color w:val="000000" w:themeColor="text1"/>
          <w:lang w:val="en-US" w:eastAsia="da-DK"/>
        </w:rPr>
        <w:t xml:space="preserve"> as that of which any person would come to be convinced if he carried his inquiry, his sincere search for immovable belief, far enough, </w:t>
      </w:r>
      <w:r w:rsidR="006D539B">
        <w:rPr>
          <w:rFonts w:eastAsia="Times New Roman" w:cs="Arial"/>
          <w:color w:val="000000" w:themeColor="text1"/>
          <w:lang w:val="en-US" w:eastAsia="da-DK"/>
        </w:rPr>
        <w:t>–</w:t>
      </w:r>
      <w:r w:rsidRPr="00E903B0">
        <w:rPr>
          <w:rFonts w:eastAsia="Times New Roman" w:cs="Arial"/>
          <w:color w:val="000000" w:themeColor="text1"/>
          <w:lang w:val="en-US" w:eastAsia="da-DK"/>
        </w:rPr>
        <w:t xml:space="preserve"> then there will be nothing to prevent each one of us from adopting an utterly futile belief of his own which all the rest will disbelieve. Each one will set himself up as a little prophet; that is, a little “crank,” a half-witted victim of his own narrowness.</w:t>
      </w:r>
      <w:r w:rsidR="00E903B0">
        <w:rPr>
          <w:rFonts w:eastAsia="Times New Roman" w:cs="Arial"/>
          <w:color w:val="000000" w:themeColor="text1"/>
          <w:lang w:val="en-US" w:eastAsia="da-DK"/>
        </w:rPr>
        <w:t xml:space="preserve"> </w:t>
      </w:r>
      <w:r w:rsidRPr="009644D4">
        <w:rPr>
          <w:rFonts w:eastAsia="Times New Roman" w:cs="Arial"/>
          <w:color w:val="000000"/>
          <w:lang w:val="en-US" w:eastAsia="da-DK"/>
        </w:rPr>
        <w:t xml:space="preserve">But if Truth be something public, it must mean that to the acceptance of which as a basis of conduct any person you please would ultimately come if he pursued his inquiries far enough; </w:t>
      </w:r>
      <w:r w:rsidR="006D539B">
        <w:rPr>
          <w:rFonts w:eastAsia="Times New Roman" w:cs="Arial"/>
          <w:color w:val="000000"/>
          <w:lang w:val="en-US" w:eastAsia="da-DK"/>
        </w:rPr>
        <w:t>–</w:t>
      </w:r>
      <w:r w:rsidRPr="009644D4">
        <w:rPr>
          <w:rFonts w:eastAsia="Times New Roman" w:cs="Arial"/>
          <w:color w:val="000000"/>
          <w:lang w:val="en-US" w:eastAsia="da-DK"/>
        </w:rPr>
        <w:t xml:space="preserve"> yes, every rational being, however prejudiced he might be at the outset.</w:t>
      </w:r>
      <w:r>
        <w:rPr>
          <w:rFonts w:eastAsia="Times New Roman" w:cs="Arial"/>
          <w:color w:val="000000"/>
          <w:lang w:val="en-US" w:eastAsia="da-DK"/>
        </w:rPr>
        <w:t>” (</w:t>
      </w:r>
      <w:r w:rsidRPr="009644D4">
        <w:rPr>
          <w:rFonts w:eastAsia="Times New Roman" w:cs="Arial"/>
          <w:color w:val="000000"/>
          <w:lang w:val="en-US" w:eastAsia="da-DK"/>
        </w:rPr>
        <w:t>Letter to Lady Welby</w:t>
      </w:r>
      <w:r>
        <w:rPr>
          <w:rFonts w:eastAsia="Times New Roman" w:cs="Arial"/>
          <w:color w:val="000000"/>
          <w:lang w:val="en-US" w:eastAsia="da-DK"/>
        </w:rPr>
        <w:t xml:space="preserve">, 1908, </w:t>
      </w:r>
      <w:r w:rsidRPr="009644D4">
        <w:rPr>
          <w:rFonts w:eastAsia="Times New Roman" w:cs="Arial"/>
          <w:color w:val="000000"/>
          <w:lang w:val="en-US" w:eastAsia="da-DK"/>
        </w:rPr>
        <w:t>SS 73</w:t>
      </w:r>
      <w:r>
        <w:rPr>
          <w:rFonts w:eastAsia="Times New Roman" w:cs="Arial"/>
          <w:color w:val="000000"/>
          <w:lang w:val="en-US" w:eastAsia="da-DK"/>
        </w:rPr>
        <w:t xml:space="preserve">). Peirce virtually repeats Kant’s </w:t>
      </w:r>
      <w:r w:rsidR="006D539B">
        <w:rPr>
          <w:rFonts w:eastAsia="Times New Roman" w:cs="Arial"/>
          <w:color w:val="000000"/>
          <w:lang w:val="en-US" w:eastAsia="da-DK"/>
        </w:rPr>
        <w:t xml:space="preserve">famous </w:t>
      </w:r>
      <w:r>
        <w:rPr>
          <w:rFonts w:eastAsia="Times New Roman" w:cs="Arial"/>
          <w:color w:val="000000"/>
          <w:lang w:val="en-US" w:eastAsia="da-DK"/>
        </w:rPr>
        <w:t xml:space="preserve">definition of enlightenment as taking place in public, from “Was </w:t>
      </w:r>
      <w:proofErr w:type="spellStart"/>
      <w:r>
        <w:rPr>
          <w:rFonts w:eastAsia="Times New Roman" w:cs="Arial"/>
          <w:color w:val="000000"/>
          <w:lang w:val="en-US" w:eastAsia="da-DK"/>
        </w:rPr>
        <w:t>ist</w:t>
      </w:r>
      <w:proofErr w:type="spellEnd"/>
      <w:r>
        <w:rPr>
          <w:rFonts w:eastAsia="Times New Roman" w:cs="Arial"/>
          <w:color w:val="000000"/>
          <w:lang w:val="en-US" w:eastAsia="da-DK"/>
        </w:rPr>
        <w:t xml:space="preserve"> Aufklärung?”  </w:t>
      </w:r>
      <w:r w:rsidR="006D539B">
        <w:rPr>
          <w:rFonts w:eastAsia="Times New Roman" w:cs="Arial"/>
          <w:color w:val="000000"/>
          <w:lang w:val="en-US" w:eastAsia="da-DK"/>
        </w:rPr>
        <w:t>–</w:t>
      </w:r>
      <w:r>
        <w:rPr>
          <w:rFonts w:eastAsia="Times New Roman" w:cs="Arial"/>
          <w:color w:val="000000"/>
          <w:lang w:val="en-US" w:eastAsia="da-DK"/>
        </w:rPr>
        <w:t xml:space="preserve"> the argument here being that the connection </w:t>
      </w:r>
      <w:r w:rsidR="006D539B">
        <w:rPr>
          <w:rFonts w:eastAsia="Times New Roman" w:cs="Arial"/>
          <w:color w:val="000000"/>
          <w:lang w:val="en-US" w:eastAsia="da-DK"/>
        </w:rPr>
        <w:t xml:space="preserve">of a proposition </w:t>
      </w:r>
      <w:r>
        <w:rPr>
          <w:rFonts w:eastAsia="Times New Roman" w:cs="Arial"/>
          <w:color w:val="000000"/>
          <w:lang w:val="en-US" w:eastAsia="da-DK"/>
        </w:rPr>
        <w:t xml:space="preserve">to the idea of truth-directed, indefinitely long future inquiry necessitates </w:t>
      </w:r>
      <w:r w:rsidRPr="006D539B">
        <w:rPr>
          <w:rFonts w:eastAsia="Times New Roman" w:cs="Arial"/>
          <w:i/>
          <w:color w:val="000000"/>
          <w:lang w:val="en-US" w:eastAsia="da-DK"/>
        </w:rPr>
        <w:t>public</w:t>
      </w:r>
      <w:r>
        <w:rPr>
          <w:rFonts w:eastAsia="Times New Roman" w:cs="Arial"/>
          <w:color w:val="000000"/>
          <w:lang w:val="en-US" w:eastAsia="da-DK"/>
        </w:rPr>
        <w:t xml:space="preserve"> expression; otherwise, as Peirce says, every individual might assume his or her own, crank and futile theories. The public aspect of assertion is what prevents us from that. </w:t>
      </w:r>
    </w:p>
    <w:p w14:paraId="44A7AEE6" w14:textId="50D67305" w:rsidR="0008323B" w:rsidRPr="0008323B" w:rsidRDefault="0008323B" w:rsidP="0008323B">
      <w:pPr>
        <w:autoSpaceDE w:val="0"/>
        <w:autoSpaceDN w:val="0"/>
        <w:adjustRightInd w:val="0"/>
        <w:spacing w:line="276" w:lineRule="auto"/>
        <w:rPr>
          <w:rFonts w:cs="Times New Roman"/>
          <w:lang w:val="en-US"/>
        </w:rPr>
      </w:pPr>
      <w:r>
        <w:rPr>
          <w:rFonts w:eastAsia="Times New Roman" w:cstheme="minorHAnsi"/>
          <w:color w:val="000000"/>
          <w:lang w:val="en-US" w:eastAsia="da-DK"/>
        </w:rPr>
        <w:tab/>
        <w:t>It was probably Peirce’s work on the Existential Graphs begun in 1896 which gave him the idea that such</w:t>
      </w:r>
      <w:r w:rsidR="00887772">
        <w:rPr>
          <w:rFonts w:eastAsia="Times New Roman" w:cstheme="minorHAnsi"/>
          <w:color w:val="000000"/>
          <w:lang w:val="en-US" w:eastAsia="da-DK"/>
        </w:rPr>
        <w:t xml:space="preserve"> public</w:t>
      </w:r>
      <w:r>
        <w:rPr>
          <w:rFonts w:eastAsia="Times New Roman" w:cstheme="minorHAnsi"/>
          <w:color w:val="000000"/>
          <w:lang w:val="en-US" w:eastAsia="da-DK"/>
        </w:rPr>
        <w:t xml:space="preserve"> acts</w:t>
      </w:r>
      <w:r w:rsidR="00887772">
        <w:rPr>
          <w:rFonts w:eastAsia="Times New Roman" w:cstheme="minorHAnsi"/>
          <w:color w:val="000000"/>
          <w:lang w:val="en-US" w:eastAsia="da-DK"/>
        </w:rPr>
        <w:t xml:space="preserve"> necessarily</w:t>
      </w:r>
      <w:r>
        <w:rPr>
          <w:rFonts w:eastAsia="Times New Roman" w:cstheme="minorHAnsi"/>
          <w:color w:val="000000"/>
          <w:lang w:val="en-US" w:eastAsia="da-DK"/>
        </w:rPr>
        <w:t xml:space="preserve"> involve concrete </w:t>
      </w:r>
      <w:r>
        <w:rPr>
          <w:rFonts w:eastAsia="Times New Roman" w:cstheme="minorHAnsi"/>
          <w:i/>
          <w:color w:val="000000"/>
          <w:lang w:val="en-US" w:eastAsia="da-DK"/>
        </w:rPr>
        <w:t>tokens</w:t>
      </w:r>
      <w:r>
        <w:rPr>
          <w:rFonts w:eastAsia="Times New Roman" w:cstheme="minorHAnsi"/>
          <w:color w:val="000000"/>
          <w:lang w:val="en-US" w:eastAsia="da-DK"/>
        </w:rPr>
        <w:t xml:space="preserve"> or </w:t>
      </w:r>
      <w:r>
        <w:rPr>
          <w:rFonts w:eastAsia="Times New Roman" w:cstheme="minorHAnsi"/>
          <w:i/>
          <w:color w:val="000000"/>
          <w:lang w:val="en-US" w:eastAsia="da-DK"/>
        </w:rPr>
        <w:t>replicas</w:t>
      </w:r>
      <w:r>
        <w:rPr>
          <w:rFonts w:eastAsia="Times New Roman" w:cstheme="minorHAnsi"/>
          <w:color w:val="000000"/>
          <w:lang w:val="en-US" w:eastAsia="da-DK"/>
        </w:rPr>
        <w:t xml:space="preserve"> of the propositions involved, different from the same propositions considered as types, as general, repeatable signs. It was this insight which gave rise, during the elaboration of the </w:t>
      </w:r>
      <w:r>
        <w:rPr>
          <w:rFonts w:eastAsia="Times New Roman" w:cstheme="minorHAnsi"/>
          <w:i/>
          <w:color w:val="000000"/>
          <w:lang w:val="en-US" w:eastAsia="da-DK"/>
        </w:rPr>
        <w:t>Syllabus</w:t>
      </w:r>
      <w:r>
        <w:rPr>
          <w:rFonts w:eastAsia="Times New Roman" w:cstheme="minorHAnsi"/>
          <w:color w:val="000000"/>
          <w:lang w:val="en-US" w:eastAsia="da-DK"/>
        </w:rPr>
        <w:t xml:space="preserve"> in 1903</w:t>
      </w:r>
      <w:r w:rsidR="006D539B">
        <w:rPr>
          <w:rFonts w:eastAsia="Times New Roman" w:cstheme="minorHAnsi"/>
          <w:color w:val="000000"/>
          <w:lang w:val="en-US" w:eastAsia="da-DK"/>
        </w:rPr>
        <w:t xml:space="preserve">, </w:t>
      </w:r>
      <w:r>
        <w:rPr>
          <w:rFonts w:eastAsia="Times New Roman" w:cstheme="minorHAnsi"/>
          <w:color w:val="000000"/>
          <w:lang w:val="en-US" w:eastAsia="da-DK"/>
        </w:rPr>
        <w:t xml:space="preserve">to the adoption of a new sign trichotomy, that of </w:t>
      </w:r>
      <w:proofErr w:type="spellStart"/>
      <w:r w:rsidRPr="006D539B">
        <w:rPr>
          <w:rFonts w:eastAsia="Times New Roman" w:cstheme="minorHAnsi"/>
          <w:i/>
          <w:color w:val="000000"/>
          <w:lang w:val="en-US" w:eastAsia="da-DK"/>
        </w:rPr>
        <w:t>qualisign-sinsign-legisign</w:t>
      </w:r>
      <w:proofErr w:type="spellEnd"/>
      <w:r>
        <w:rPr>
          <w:rFonts w:eastAsia="Times New Roman" w:cstheme="minorHAnsi"/>
          <w:color w:val="000000"/>
          <w:lang w:val="en-US" w:eastAsia="da-DK"/>
        </w:rPr>
        <w:t xml:space="preserve"> (later: </w:t>
      </w:r>
      <w:r w:rsidRPr="006D539B">
        <w:rPr>
          <w:rFonts w:eastAsia="Times New Roman" w:cstheme="minorHAnsi"/>
          <w:i/>
          <w:color w:val="000000"/>
          <w:lang w:val="en-US" w:eastAsia="da-DK"/>
        </w:rPr>
        <w:t>tone-token-type</w:t>
      </w:r>
      <w:r>
        <w:rPr>
          <w:rFonts w:eastAsia="Times New Roman" w:cstheme="minorHAnsi"/>
          <w:color w:val="000000"/>
          <w:lang w:val="en-US" w:eastAsia="da-DK"/>
        </w:rPr>
        <w:t xml:space="preserve">) with its important distinction between concrete, individual, actual occurrences of a sign, and the same sign understood as a general rule for the articulation of such occurrences. An assertion, thus, can only be undertaken by the </w:t>
      </w:r>
      <w:r>
        <w:rPr>
          <w:rFonts w:eastAsia="Times New Roman" w:cstheme="minorHAnsi"/>
          <w:i/>
          <w:color w:val="000000"/>
          <w:lang w:val="en-US" w:eastAsia="da-DK"/>
        </w:rPr>
        <w:t xml:space="preserve">utterance </w:t>
      </w:r>
      <w:r>
        <w:rPr>
          <w:rFonts w:eastAsia="Times New Roman" w:cstheme="minorHAnsi"/>
          <w:color w:val="000000"/>
          <w:lang w:val="en-US" w:eastAsia="da-DK"/>
        </w:rPr>
        <w:t>of a particular token of the proposition asserted</w:t>
      </w:r>
      <w:r w:rsidR="006D539B">
        <w:rPr>
          <w:rFonts w:eastAsia="Times New Roman" w:cstheme="minorHAnsi"/>
          <w:color w:val="000000"/>
          <w:lang w:val="en-US" w:eastAsia="da-DK"/>
        </w:rPr>
        <w:t xml:space="preserve"> at a particular time and place</w:t>
      </w:r>
      <w:r>
        <w:rPr>
          <w:rFonts w:eastAsia="Times New Roman" w:cstheme="minorHAnsi"/>
          <w:color w:val="000000"/>
          <w:lang w:val="en-US" w:eastAsia="da-DK"/>
        </w:rPr>
        <w:t xml:space="preserve">. In the context of the </w:t>
      </w:r>
      <w:r w:rsidRPr="006D539B">
        <w:rPr>
          <w:rFonts w:eastAsia="Times New Roman" w:cstheme="minorHAnsi"/>
          <w:color w:val="000000" w:themeColor="text1"/>
          <w:lang w:val="en-US" w:eastAsia="da-DK"/>
        </w:rPr>
        <w:t>Existential Graph, this became evident in the principle that</w:t>
      </w:r>
      <w:r w:rsidR="006D539B" w:rsidRPr="006D539B">
        <w:rPr>
          <w:rFonts w:eastAsia="Times New Roman" w:cstheme="minorHAnsi"/>
          <w:color w:val="000000" w:themeColor="text1"/>
          <w:lang w:val="en-US" w:eastAsia="da-DK"/>
        </w:rPr>
        <w:t xml:space="preserve"> the very act of</w:t>
      </w:r>
      <w:r w:rsidRPr="006D539B">
        <w:rPr>
          <w:rFonts w:eastAsia="Times New Roman" w:cstheme="minorHAnsi"/>
          <w:color w:val="000000" w:themeColor="text1"/>
          <w:lang w:val="en-US" w:eastAsia="da-DK"/>
        </w:rPr>
        <w:t xml:space="preserve"> </w:t>
      </w:r>
      <w:r w:rsidRPr="006D539B">
        <w:rPr>
          <w:rFonts w:eastAsia="Times New Roman" w:cstheme="minorHAnsi"/>
          <w:i/>
          <w:color w:val="000000" w:themeColor="text1"/>
          <w:lang w:val="en-US" w:eastAsia="da-DK"/>
        </w:rPr>
        <w:t>scribing</w:t>
      </w:r>
      <w:r w:rsidRPr="006D539B">
        <w:rPr>
          <w:rFonts w:eastAsia="Times New Roman" w:cstheme="minorHAnsi"/>
          <w:color w:val="000000" w:themeColor="text1"/>
          <w:lang w:val="en-US" w:eastAsia="da-DK"/>
        </w:rPr>
        <w:t xml:space="preserve"> the sign token on the sheet is equivalent to asserting it (hence the name of the sheet: “the sheet of assertion”)</w:t>
      </w:r>
      <w:r w:rsidR="006D539B" w:rsidRPr="006D539B">
        <w:rPr>
          <w:rFonts w:eastAsia="Times New Roman" w:cstheme="minorHAnsi"/>
          <w:color w:val="000000" w:themeColor="text1"/>
          <w:lang w:val="en-US" w:eastAsia="da-DK"/>
        </w:rPr>
        <w:t>:</w:t>
      </w:r>
      <w:r w:rsidRPr="006D539B">
        <w:rPr>
          <w:rFonts w:eastAsia="Times New Roman" w:cstheme="minorHAnsi"/>
          <w:color w:val="000000" w:themeColor="text1"/>
          <w:lang w:val="en-US" w:eastAsia="da-DK"/>
        </w:rPr>
        <w:t xml:space="preserve"> </w:t>
      </w:r>
      <w:r w:rsidRPr="006D539B">
        <w:rPr>
          <w:rFonts w:cstheme="minorHAnsi"/>
          <w:color w:val="000000" w:themeColor="text1"/>
          <w:lang w:val="en-US"/>
        </w:rPr>
        <w:t>“</w:t>
      </w:r>
      <w:r w:rsidR="00221065" w:rsidRPr="006D539B">
        <w:rPr>
          <w:rFonts w:cstheme="minorHAnsi"/>
          <w:color w:val="000000" w:themeColor="text1"/>
          <w:lang w:val="en-US"/>
        </w:rPr>
        <w:t xml:space="preserve">The graphist may place replicas of graphs upon the sheet of assertion; but this act, called </w:t>
      </w:r>
      <w:r w:rsidR="00221065" w:rsidRPr="006D539B">
        <w:rPr>
          <w:rFonts w:cstheme="minorHAnsi"/>
          <w:i/>
          <w:color w:val="000000" w:themeColor="text1"/>
          <w:lang w:val="en-US"/>
        </w:rPr>
        <w:t>scribing</w:t>
      </w:r>
      <w:r w:rsidR="00221065" w:rsidRPr="006D539B">
        <w:rPr>
          <w:rFonts w:cstheme="minorHAnsi"/>
          <w:color w:val="000000" w:themeColor="text1"/>
          <w:lang w:val="en-US"/>
        </w:rPr>
        <w:t xml:space="preserve"> a graph on the sheet of assertion, shall be understood to constitute the assertion of the truth of the graph scribed. (Since by 395 the conventions are only "supposed to be" agreed to, the assertions are mere </w:t>
      </w:r>
      <w:proofErr w:type="spellStart"/>
      <w:r w:rsidR="00221065" w:rsidRPr="006D539B">
        <w:rPr>
          <w:rFonts w:cstheme="minorHAnsi"/>
          <w:color w:val="000000" w:themeColor="text1"/>
          <w:lang w:val="en-US"/>
        </w:rPr>
        <w:t>pretence</w:t>
      </w:r>
      <w:proofErr w:type="spellEnd"/>
      <w:r w:rsidR="00221065" w:rsidRPr="006D539B">
        <w:rPr>
          <w:rFonts w:cstheme="minorHAnsi"/>
          <w:color w:val="000000" w:themeColor="text1"/>
          <w:lang w:val="en-US"/>
        </w:rPr>
        <w:t xml:space="preserve"> in studying logic. Still they may be regarded as actual assertions concerning a fictitious universe.) "Assertion" is not defined; but it is supposed to be permitted to scribe some graphs and not others.</w:t>
      </w:r>
      <w:r w:rsidRPr="006D539B">
        <w:rPr>
          <w:rFonts w:cstheme="minorHAnsi"/>
          <w:color w:val="000000" w:themeColor="text1"/>
          <w:lang w:val="en-US"/>
        </w:rPr>
        <w:t xml:space="preserve">” (“Syllabus”, 1903, </w:t>
      </w:r>
      <w:r w:rsidRPr="006D539B">
        <w:rPr>
          <w:rFonts w:eastAsia="Times New Roman" w:cstheme="minorHAnsi"/>
          <w:color w:val="000000" w:themeColor="text1"/>
          <w:lang w:val="en-US" w:eastAsia="da-DK"/>
        </w:rPr>
        <w:t xml:space="preserve">CP 4.397). This is a specific convention </w:t>
      </w:r>
      <w:r>
        <w:rPr>
          <w:rFonts w:eastAsia="Times New Roman" w:cstheme="minorHAnsi"/>
          <w:color w:val="000000"/>
          <w:lang w:val="en-US" w:eastAsia="da-DK"/>
        </w:rPr>
        <w:t xml:space="preserve">of Peirce’s EG rule system, but it is chosen because it is informed by the general regularity that an assertion only </w:t>
      </w:r>
      <w:r w:rsidR="006D539B">
        <w:rPr>
          <w:rFonts w:eastAsia="Times New Roman" w:cstheme="minorHAnsi"/>
          <w:color w:val="000000"/>
          <w:lang w:val="en-US" w:eastAsia="da-DK"/>
        </w:rPr>
        <w:t>assumes</w:t>
      </w:r>
      <w:r>
        <w:rPr>
          <w:rFonts w:eastAsia="Times New Roman" w:cstheme="minorHAnsi"/>
          <w:color w:val="000000"/>
          <w:lang w:val="en-US" w:eastAsia="da-DK"/>
        </w:rPr>
        <w:t xml:space="preserve"> its contractual responsibility by actually being uttered in a concrete act of enunciation. In legal terms, it has been known since antiquity that a law becomes a law only when it is stated publicly (“Leges </w:t>
      </w:r>
      <w:proofErr w:type="spellStart"/>
      <w:r>
        <w:rPr>
          <w:rFonts w:eastAsia="Times New Roman" w:cstheme="minorHAnsi"/>
          <w:color w:val="000000"/>
          <w:lang w:val="en-US" w:eastAsia="da-DK"/>
        </w:rPr>
        <w:t>instituuntur</w:t>
      </w:r>
      <w:proofErr w:type="spellEnd"/>
      <w:r>
        <w:rPr>
          <w:rFonts w:eastAsia="Times New Roman" w:cstheme="minorHAnsi"/>
          <w:color w:val="000000"/>
          <w:lang w:val="en-US" w:eastAsia="da-DK"/>
        </w:rPr>
        <w:t xml:space="preserve"> cum </w:t>
      </w:r>
      <w:proofErr w:type="spellStart"/>
      <w:r>
        <w:rPr>
          <w:rFonts w:eastAsia="Times New Roman" w:cstheme="minorHAnsi"/>
          <w:color w:val="000000"/>
          <w:lang w:val="en-US" w:eastAsia="da-DK"/>
        </w:rPr>
        <w:t>promulgantur</w:t>
      </w:r>
      <w:proofErr w:type="spellEnd"/>
      <w:r>
        <w:rPr>
          <w:rFonts w:eastAsia="Times New Roman" w:cstheme="minorHAnsi"/>
          <w:color w:val="000000"/>
          <w:lang w:val="en-US" w:eastAsia="da-DK"/>
        </w:rPr>
        <w:t>” –</w:t>
      </w:r>
      <w:r w:rsidR="00057C01">
        <w:rPr>
          <w:rFonts w:eastAsia="Times New Roman" w:cstheme="minorHAnsi"/>
          <w:color w:val="000000"/>
          <w:lang w:val="en-US" w:eastAsia="da-DK"/>
        </w:rPr>
        <w:t xml:space="preserve"> the Catholic Church’s rule for the validity of Canon Law:</w:t>
      </w:r>
      <w:r>
        <w:rPr>
          <w:rFonts w:eastAsia="Times New Roman" w:cstheme="minorHAnsi"/>
          <w:color w:val="000000"/>
          <w:lang w:val="en-US" w:eastAsia="da-DK"/>
        </w:rPr>
        <w:t xml:space="preserve"> Laws are made valid by being announced</w:t>
      </w:r>
      <w:r w:rsidR="006D539B">
        <w:rPr>
          <w:rFonts w:eastAsia="Times New Roman" w:cstheme="minorHAnsi"/>
          <w:color w:val="000000"/>
          <w:lang w:val="en-US" w:eastAsia="da-DK"/>
        </w:rPr>
        <w:t>, that is, publicly asserted</w:t>
      </w:r>
      <w:r>
        <w:rPr>
          <w:rFonts w:eastAsia="Times New Roman" w:cstheme="minorHAnsi"/>
          <w:color w:val="000000"/>
          <w:lang w:val="en-US" w:eastAsia="da-DK"/>
        </w:rPr>
        <w:t>).</w:t>
      </w:r>
      <w:r w:rsidR="002E1034">
        <w:rPr>
          <w:rFonts w:eastAsia="Times New Roman" w:cstheme="minorHAnsi"/>
          <w:color w:val="000000"/>
          <w:lang w:val="en-US" w:eastAsia="da-DK"/>
        </w:rPr>
        <w:t xml:space="preserve"> In conformity with Peirce’s generalization of proposition</w:t>
      </w:r>
      <w:r w:rsidR="00514F3B">
        <w:rPr>
          <w:rFonts w:eastAsia="Times New Roman" w:cstheme="minorHAnsi"/>
          <w:color w:val="000000"/>
          <w:lang w:val="en-US" w:eastAsia="da-DK"/>
        </w:rPr>
        <w:t>s</w:t>
      </w:r>
      <w:r w:rsidR="002E1034">
        <w:rPr>
          <w:rFonts w:eastAsia="Times New Roman" w:cstheme="minorHAnsi"/>
          <w:color w:val="000000"/>
          <w:lang w:val="en-US" w:eastAsia="da-DK"/>
        </w:rPr>
        <w:t xml:space="preserve"> to potentially multimodal “</w:t>
      </w:r>
      <w:proofErr w:type="spellStart"/>
      <w:r w:rsidR="002E1034">
        <w:rPr>
          <w:rFonts w:eastAsia="Times New Roman" w:cstheme="minorHAnsi"/>
          <w:color w:val="000000"/>
          <w:lang w:val="en-US" w:eastAsia="da-DK"/>
        </w:rPr>
        <w:t>dicisigns</w:t>
      </w:r>
      <w:proofErr w:type="spellEnd"/>
      <w:r w:rsidR="002E1034">
        <w:rPr>
          <w:rFonts w:eastAsia="Times New Roman" w:cstheme="minorHAnsi"/>
          <w:color w:val="000000"/>
          <w:lang w:val="en-US" w:eastAsia="da-DK"/>
        </w:rPr>
        <w:t>” in the same text (the “Syllabus”), such utterances need not us</w:t>
      </w:r>
      <w:r w:rsidR="002E1034" w:rsidRPr="002E1034">
        <w:rPr>
          <w:rFonts w:eastAsia="Times New Roman" w:cstheme="minorHAnsi"/>
          <w:color w:val="000000"/>
          <w:lang w:val="en-US" w:eastAsia="da-DK"/>
        </w:rPr>
        <w:t xml:space="preserve">e linguistic means of expression. Utterance here is taken </w:t>
      </w:r>
      <w:r w:rsidR="002E1034" w:rsidRPr="002E1034">
        <w:rPr>
          <w:rFonts w:eastAsia="Times New Roman" w:cstheme="minorHAnsi"/>
          <w:color w:val="000000"/>
          <w:lang w:val="en-US" w:eastAsia="da-DK"/>
        </w:rPr>
        <w:lastRenderedPageBreak/>
        <w:t>in a more generalized sense</w:t>
      </w:r>
      <w:proofErr w:type="gramStart"/>
      <w:r w:rsidR="002E1034" w:rsidRPr="002E1034">
        <w:rPr>
          <w:rFonts w:eastAsia="Times New Roman" w:cstheme="minorHAnsi"/>
          <w:color w:val="000000"/>
          <w:lang w:val="en-US" w:eastAsia="da-DK"/>
        </w:rPr>
        <w:t xml:space="preserve">: </w:t>
      </w:r>
      <w:r w:rsidR="002E1034" w:rsidRPr="002E1034">
        <w:rPr>
          <w:rFonts w:eastAsia="Times New Roman" w:cstheme="minorHAnsi"/>
          <w:color w:val="000000"/>
          <w:shd w:val="clear" w:color="auto" w:fill="FFFFFF"/>
          <w:lang w:val="en-US" w:eastAsia="da-DK"/>
        </w:rPr>
        <w:t>”By</w:t>
      </w:r>
      <w:proofErr w:type="gramEnd"/>
      <w:r w:rsidR="002E1034" w:rsidRPr="002E1034">
        <w:rPr>
          <w:rFonts w:eastAsia="Times New Roman" w:cstheme="minorHAnsi"/>
          <w:color w:val="000000"/>
          <w:shd w:val="clear" w:color="auto" w:fill="FFFFFF"/>
          <w:lang w:val="en-US" w:eastAsia="da-DK"/>
        </w:rPr>
        <w:t xml:space="preserve"> “</w:t>
      </w:r>
      <w:r w:rsidR="002E1034" w:rsidRPr="002E1034">
        <w:rPr>
          <w:rFonts w:eastAsia="Times New Roman" w:cstheme="minorHAnsi"/>
          <w:i/>
          <w:iCs/>
          <w:color w:val="000000"/>
          <w:shd w:val="clear" w:color="auto" w:fill="FFFFFF"/>
          <w:lang w:val="en-US" w:eastAsia="da-DK"/>
        </w:rPr>
        <w:t>Uttering</w:t>
      </w:r>
      <w:r w:rsidR="002E1034" w:rsidRPr="002E1034">
        <w:rPr>
          <w:rFonts w:eastAsia="Times New Roman" w:cstheme="minorHAnsi"/>
          <w:color w:val="000000"/>
          <w:shd w:val="clear" w:color="auto" w:fill="FFFFFF"/>
          <w:lang w:val="en-US" w:eastAsia="da-DK"/>
        </w:rPr>
        <w:t>” I mean putting forth, whether audibly or visibly or otherwise any sort of sign</w:t>
      </w:r>
      <w:r w:rsidR="002E1034" w:rsidRPr="002E1034">
        <w:rPr>
          <w:rFonts w:eastAsia="Times New Roman" w:cstheme="minorHAnsi"/>
          <w:color w:val="000000"/>
          <w:lang w:val="en-US" w:eastAsia="da-DK"/>
        </w:rPr>
        <w:t>. For instance, I should say that the master of a ship who should cause signal flags to be hoisted “Uttered” that combination of flags.” (“</w:t>
      </w:r>
      <w:r w:rsidR="002E1034" w:rsidRPr="00546CF4">
        <w:rPr>
          <w:rFonts w:eastAsia="Times New Roman" w:cstheme="minorHAnsi"/>
          <w:color w:val="000000"/>
          <w:lang w:val="en-US" w:eastAsia="da-DK"/>
        </w:rPr>
        <w:t>The Rationale of Reasoning”, 1910.11.25, MS [R] 664, 7)</w:t>
      </w:r>
    </w:p>
    <w:p w14:paraId="6FED87B1" w14:textId="77777777" w:rsidR="00006B7E" w:rsidRPr="00FF19B7" w:rsidRDefault="00006B7E" w:rsidP="00677815">
      <w:pPr>
        <w:spacing w:line="276" w:lineRule="auto"/>
        <w:rPr>
          <w:lang w:val="en-US"/>
        </w:rPr>
      </w:pPr>
    </w:p>
    <w:p w14:paraId="067B7EDA" w14:textId="77777777" w:rsidR="00006B7E" w:rsidRDefault="00006B7E" w:rsidP="00677815">
      <w:pPr>
        <w:spacing w:line="276" w:lineRule="auto"/>
        <w:rPr>
          <w:i/>
          <w:lang w:val="en-US"/>
        </w:rPr>
      </w:pPr>
      <w:r w:rsidRPr="002E1034">
        <w:rPr>
          <w:i/>
          <w:lang w:val="en-US"/>
        </w:rPr>
        <w:t>Assertion as persuasion</w:t>
      </w:r>
    </w:p>
    <w:p w14:paraId="4ABE13E3" w14:textId="77777777" w:rsidR="002E1034" w:rsidRPr="002E1034" w:rsidRDefault="002E1034" w:rsidP="00677815">
      <w:pPr>
        <w:spacing w:line="276" w:lineRule="auto"/>
        <w:rPr>
          <w:i/>
          <w:lang w:val="en-US"/>
        </w:rPr>
      </w:pPr>
    </w:p>
    <w:p w14:paraId="790DC91F" w14:textId="77777777" w:rsidR="002E1034" w:rsidRDefault="002E1034" w:rsidP="00677815">
      <w:pPr>
        <w:spacing w:line="276" w:lineRule="auto"/>
        <w:rPr>
          <w:lang w:val="en-US"/>
        </w:rPr>
      </w:pPr>
      <w:r>
        <w:rPr>
          <w:lang w:val="en-US"/>
        </w:rPr>
        <w:t xml:space="preserve">We already touched upon a third theory of assertion, defining it by its </w:t>
      </w:r>
      <w:r w:rsidRPr="00057C01">
        <w:rPr>
          <w:i/>
          <w:lang w:val="en-US"/>
        </w:rPr>
        <w:t>purpose</w:t>
      </w:r>
      <w:r w:rsidR="002B61CA">
        <w:rPr>
          <w:lang w:val="en-US"/>
        </w:rPr>
        <w:t xml:space="preserve"> (which, to Peirce is the proper way of defining, if possible, natural kinds)</w:t>
      </w:r>
      <w:r>
        <w:rPr>
          <w:lang w:val="en-US"/>
        </w:rPr>
        <w:t>: that of making evident what the speaker claims to believe</w:t>
      </w:r>
      <w:r w:rsidR="00057C01">
        <w:rPr>
          <w:lang w:val="en-US"/>
        </w:rPr>
        <w:t>,</w:t>
      </w:r>
      <w:r>
        <w:rPr>
          <w:lang w:val="en-US"/>
        </w:rPr>
        <w:t xml:space="preserve"> with the intention of persuading an interpreter. Assertion in itself provides no logical ground for accepting the proposition (that would require an argument) which is the reason behind the close tie of assertion to the responsibility and reputation of the utterer. Having a strong reputation may help convincing the interpreter </w:t>
      </w:r>
      <w:r w:rsidR="00057C01">
        <w:rPr>
          <w:lang w:val="en-US"/>
        </w:rPr>
        <w:t xml:space="preserve">to </w:t>
      </w:r>
      <w:r>
        <w:rPr>
          <w:lang w:val="en-US"/>
        </w:rPr>
        <w:t xml:space="preserve">actually believe that the asserted proposition stands in the claimed relation to its object as a guarantee for its truth. </w:t>
      </w:r>
    </w:p>
    <w:p w14:paraId="20E9AC6A" w14:textId="77777777" w:rsidR="00700E7B" w:rsidRPr="00A07F6F" w:rsidRDefault="002B61CA" w:rsidP="00A07F6F">
      <w:pPr>
        <w:spacing w:line="276" w:lineRule="auto"/>
        <w:rPr>
          <w:rFonts w:ascii="Calibri" w:eastAsia="Times New Roman" w:hAnsi="Calibri" w:cstheme="minorHAnsi"/>
          <w:color w:val="000000"/>
          <w:lang w:val="en-US" w:eastAsia="da-DK"/>
        </w:rPr>
      </w:pPr>
      <w:r>
        <w:rPr>
          <w:lang w:val="en-US"/>
        </w:rPr>
        <w:tab/>
        <w:t xml:space="preserve">In the taxonomy of the propositional field which Peirce undertakes in the compact </w:t>
      </w:r>
      <w:r w:rsidR="00057C01">
        <w:rPr>
          <w:lang w:val="en-US"/>
        </w:rPr>
        <w:t>initiation of the</w:t>
      </w:r>
      <w:r>
        <w:rPr>
          <w:lang w:val="en-US"/>
        </w:rPr>
        <w:t xml:space="preserve"> 1902-03 developments</w:t>
      </w:r>
      <w:r w:rsidR="00057C01">
        <w:rPr>
          <w:lang w:val="en-US"/>
        </w:rPr>
        <w:t xml:space="preserve"> in</w:t>
      </w:r>
      <w:r>
        <w:rPr>
          <w:lang w:val="en-US"/>
        </w:rPr>
        <w:t xml:space="preserve"> “</w:t>
      </w:r>
      <w:proofErr w:type="spellStart"/>
      <w:r>
        <w:rPr>
          <w:lang w:val="en-US"/>
        </w:rPr>
        <w:t>Kaina</w:t>
      </w:r>
      <w:proofErr w:type="spellEnd"/>
      <w:r>
        <w:rPr>
          <w:lang w:val="en-US"/>
        </w:rPr>
        <w:t xml:space="preserve"> </w:t>
      </w:r>
      <w:proofErr w:type="spellStart"/>
      <w:r>
        <w:rPr>
          <w:lang w:val="en-US"/>
        </w:rPr>
        <w:t>Stoicheia</w:t>
      </w:r>
      <w:proofErr w:type="spellEnd"/>
      <w:r>
        <w:rPr>
          <w:lang w:val="en-US"/>
        </w:rPr>
        <w:t>”</w:t>
      </w:r>
      <w:r w:rsidR="00057C01">
        <w:rPr>
          <w:lang w:val="en-US"/>
        </w:rPr>
        <w:t xml:space="preserve"> (1901?)</w:t>
      </w:r>
      <w:r>
        <w:rPr>
          <w:lang w:val="en-US"/>
        </w:rPr>
        <w:t>, assertion is now called “affirmation”:</w:t>
      </w:r>
      <w:r>
        <w:rPr>
          <w:rFonts w:eastAsia="Times New Roman" w:cs="Arial"/>
          <w:color w:val="000000"/>
          <w:shd w:val="clear" w:color="auto" w:fill="FFFFFF"/>
          <w:lang w:val="en-US" w:eastAsia="da-DK"/>
        </w:rPr>
        <w:t xml:space="preserve"> “</w:t>
      </w:r>
      <w:r w:rsidRPr="00FE2040">
        <w:rPr>
          <w:rFonts w:eastAsia="Times New Roman" w:cs="Arial"/>
          <w:color w:val="000000"/>
          <w:shd w:val="clear" w:color="auto" w:fill="FFFFFF"/>
          <w:lang w:val="en-US" w:eastAsia="da-DK"/>
        </w:rPr>
        <w:t>An </w:t>
      </w:r>
      <w:r w:rsidRPr="00FE2040">
        <w:rPr>
          <w:rFonts w:eastAsia="Times New Roman" w:cs="Arial"/>
          <w:i/>
          <w:iCs/>
          <w:color w:val="000000"/>
          <w:shd w:val="clear" w:color="auto" w:fill="FFFFFF"/>
          <w:lang w:val="en-US" w:eastAsia="da-DK"/>
        </w:rPr>
        <w:t>affirmation</w:t>
      </w:r>
      <w:r w:rsidRPr="00FE2040">
        <w:rPr>
          <w:rFonts w:eastAsia="Times New Roman" w:cs="Arial"/>
          <w:color w:val="000000"/>
          <w:shd w:val="clear" w:color="auto" w:fill="FFFFFF"/>
          <w:lang w:val="en-US" w:eastAsia="da-DK"/>
        </w:rPr>
        <w:t> is an act of an utterer of a proposition to an interpreter, and consists, in the first place, in the deliberate exercise, in uttering the proposition, of a force tending to determine a belief in it in the mind of the interpreter. Perhaps that is a sufficient definition of it; but it involves also a voluntary self-subjection to penalties in the event of the interpreter’s mind (and still more the general mind of society) subsequently becoming decidedly determined to the belief at once in the falsity of the proposition and in the additional proposition that the utterer believed the proposition to be false at the time he uttered it</w:t>
      </w:r>
      <w:r w:rsidRPr="00FE2040">
        <w:rPr>
          <w:rFonts w:eastAsia="Times New Roman" w:cs="Arial"/>
          <w:color w:val="000000"/>
          <w:lang w:val="en-US" w:eastAsia="da-DK"/>
        </w:rPr>
        <w:t>.</w:t>
      </w:r>
      <w:r>
        <w:rPr>
          <w:rFonts w:eastAsia="Times New Roman" w:cs="Arial"/>
          <w:color w:val="000000"/>
          <w:lang w:val="en-US" w:eastAsia="da-DK"/>
        </w:rPr>
        <w:t>” (</w:t>
      </w:r>
      <w:r w:rsidRPr="00FE2040">
        <w:rPr>
          <w:rFonts w:eastAsia="Times New Roman" w:cs="Arial"/>
          <w:color w:val="000000"/>
          <w:shd w:val="clear" w:color="auto" w:fill="FFFFFF"/>
          <w:lang w:val="en-US" w:eastAsia="da-DK"/>
        </w:rPr>
        <w:t>EP 2.312-13</w:t>
      </w:r>
      <w:r>
        <w:rPr>
          <w:rFonts w:eastAsia="Times New Roman" w:cs="Arial"/>
          <w:color w:val="000000"/>
          <w:shd w:val="clear" w:color="auto" w:fill="FFFFFF"/>
          <w:lang w:val="en-US" w:eastAsia="da-DK"/>
        </w:rPr>
        <w:t>) Here, persua</w:t>
      </w:r>
      <w:r w:rsidR="00C05F51">
        <w:rPr>
          <w:rFonts w:eastAsia="Times New Roman" w:cs="Arial"/>
          <w:color w:val="000000"/>
          <w:shd w:val="clear" w:color="auto" w:fill="FFFFFF"/>
          <w:lang w:val="en-US" w:eastAsia="da-DK"/>
        </w:rPr>
        <w:t>s</w:t>
      </w:r>
      <w:r>
        <w:rPr>
          <w:rFonts w:eastAsia="Times New Roman" w:cs="Arial"/>
          <w:color w:val="000000"/>
          <w:shd w:val="clear" w:color="auto" w:fill="FFFFFF"/>
          <w:lang w:val="en-US" w:eastAsia="da-DK"/>
        </w:rPr>
        <w:t xml:space="preserve">ion (determining the belief of the interpreter) may even count as a </w:t>
      </w:r>
      <w:r w:rsidRPr="00C05F51">
        <w:rPr>
          <w:rFonts w:eastAsia="Times New Roman" w:cs="Arial"/>
          <w:i/>
          <w:color w:val="000000"/>
          <w:shd w:val="clear" w:color="auto" w:fill="FFFFFF"/>
          <w:lang w:val="en-US" w:eastAsia="da-DK"/>
        </w:rPr>
        <w:t>sufficient</w:t>
      </w:r>
      <w:r>
        <w:rPr>
          <w:rFonts w:eastAsia="Times New Roman" w:cs="Arial"/>
          <w:color w:val="000000"/>
          <w:shd w:val="clear" w:color="auto" w:fill="FFFFFF"/>
          <w:lang w:val="en-US" w:eastAsia="da-DK"/>
        </w:rPr>
        <w:t xml:space="preserve"> definition</w:t>
      </w:r>
      <w:r w:rsidR="00C05F51">
        <w:rPr>
          <w:rFonts w:eastAsia="Times New Roman" w:cs="Arial"/>
          <w:color w:val="000000"/>
          <w:shd w:val="clear" w:color="auto" w:fill="FFFFFF"/>
          <w:lang w:val="en-US" w:eastAsia="da-DK"/>
        </w:rPr>
        <w:t>,</w:t>
      </w:r>
      <w:r>
        <w:rPr>
          <w:rFonts w:eastAsia="Times New Roman" w:cs="Arial"/>
          <w:color w:val="000000"/>
          <w:shd w:val="clear" w:color="auto" w:fill="FFFFFF"/>
          <w:lang w:val="en-US" w:eastAsia="da-DK"/>
        </w:rPr>
        <w:t xml:space="preserve"> so that </w:t>
      </w:r>
      <w:r w:rsidR="00C05F51">
        <w:rPr>
          <w:rFonts w:eastAsia="Times New Roman" w:cs="Arial"/>
          <w:color w:val="000000"/>
          <w:shd w:val="clear" w:color="auto" w:fill="FFFFFF"/>
          <w:lang w:val="en-US" w:eastAsia="da-DK"/>
        </w:rPr>
        <w:t xml:space="preserve">the whole complex of </w:t>
      </w:r>
      <w:r>
        <w:rPr>
          <w:rFonts w:eastAsia="Times New Roman" w:cs="Arial"/>
          <w:color w:val="000000"/>
          <w:shd w:val="clear" w:color="auto" w:fill="FFFFFF"/>
          <w:lang w:val="en-US" w:eastAsia="da-DK"/>
        </w:rPr>
        <w:t>public responsibility is taken to follow from th</w:t>
      </w:r>
      <w:r w:rsidR="00057C01">
        <w:rPr>
          <w:rFonts w:eastAsia="Times New Roman" w:cs="Arial"/>
          <w:color w:val="000000"/>
          <w:shd w:val="clear" w:color="auto" w:fill="FFFFFF"/>
          <w:lang w:val="en-US" w:eastAsia="da-DK"/>
        </w:rPr>
        <w:t>at</w:t>
      </w:r>
      <w:r>
        <w:rPr>
          <w:rFonts w:eastAsia="Times New Roman" w:cs="Arial"/>
          <w:color w:val="000000"/>
          <w:shd w:val="clear" w:color="auto" w:fill="FFFFFF"/>
          <w:lang w:val="en-US" w:eastAsia="da-DK"/>
        </w:rPr>
        <w:t xml:space="preserve"> definition</w:t>
      </w:r>
      <w:r w:rsidR="00C05F51">
        <w:rPr>
          <w:rFonts w:eastAsia="Times New Roman" w:cs="Arial"/>
          <w:color w:val="000000"/>
          <w:shd w:val="clear" w:color="auto" w:fill="FFFFFF"/>
          <w:lang w:val="en-US" w:eastAsia="da-DK"/>
        </w:rPr>
        <w:t xml:space="preserve">: assuming responsibility for the truth of the assertion is a prerequisite for persuading anybody to believe in it. There are other means of persuasion, of course, both more implicit </w:t>
      </w:r>
      <w:r w:rsidR="00057C01">
        <w:rPr>
          <w:rFonts w:eastAsia="Times New Roman" w:cs="Arial"/>
          <w:color w:val="000000"/>
          <w:shd w:val="clear" w:color="auto" w:fill="FFFFFF"/>
          <w:lang w:val="en-US" w:eastAsia="da-DK"/>
        </w:rPr>
        <w:t>or</w:t>
      </w:r>
      <w:r w:rsidR="00CB0DAE">
        <w:rPr>
          <w:rFonts w:eastAsia="Times New Roman" w:cs="Arial"/>
          <w:color w:val="000000"/>
          <w:shd w:val="clear" w:color="auto" w:fill="FFFFFF"/>
          <w:lang w:val="en-US" w:eastAsia="da-DK"/>
        </w:rPr>
        <w:t xml:space="preserve"> non-logical </w:t>
      </w:r>
      <w:r w:rsidR="00C05F51">
        <w:rPr>
          <w:rFonts w:eastAsia="Times New Roman" w:cs="Arial"/>
          <w:color w:val="000000"/>
          <w:shd w:val="clear" w:color="auto" w:fill="FFFFFF"/>
          <w:lang w:val="en-US" w:eastAsia="da-DK"/>
        </w:rPr>
        <w:t xml:space="preserve">by means of </w:t>
      </w:r>
      <w:r w:rsidR="00CB0DAE">
        <w:rPr>
          <w:rFonts w:eastAsia="Times New Roman" w:cs="Arial"/>
          <w:color w:val="000000"/>
          <w:shd w:val="clear" w:color="auto" w:fill="FFFFFF"/>
          <w:lang w:val="en-US" w:eastAsia="da-DK"/>
        </w:rPr>
        <w:t xml:space="preserve">association, flattering, threats, etc. as well as more explicit and more logical means </w:t>
      </w:r>
      <w:r w:rsidR="00057C01">
        <w:rPr>
          <w:rFonts w:eastAsia="Times New Roman" w:cs="Arial"/>
          <w:color w:val="000000"/>
          <w:shd w:val="clear" w:color="auto" w:fill="FFFFFF"/>
          <w:lang w:val="en-US" w:eastAsia="da-DK"/>
        </w:rPr>
        <w:t>of</w:t>
      </w:r>
      <w:r w:rsidR="00CB0DAE">
        <w:rPr>
          <w:rFonts w:eastAsia="Times New Roman" w:cs="Arial"/>
          <w:color w:val="000000"/>
          <w:shd w:val="clear" w:color="auto" w:fill="FFFFFF"/>
          <w:lang w:val="en-US" w:eastAsia="da-DK"/>
        </w:rPr>
        <w:t xml:space="preserve"> full arguments making their conclusion explicit</w:t>
      </w:r>
      <w:r w:rsidR="00C05F51">
        <w:rPr>
          <w:rFonts w:eastAsia="Times New Roman" w:cs="Arial"/>
          <w:color w:val="000000"/>
          <w:shd w:val="clear" w:color="auto" w:fill="FFFFFF"/>
          <w:lang w:val="en-US" w:eastAsia="da-DK"/>
        </w:rPr>
        <w:t xml:space="preserve">; assertion being </w:t>
      </w:r>
      <w:r w:rsidR="00CB0DAE">
        <w:rPr>
          <w:rFonts w:eastAsia="Times New Roman" w:cs="Arial"/>
          <w:color w:val="000000"/>
          <w:shd w:val="clear" w:color="auto" w:fill="FFFFFF"/>
          <w:lang w:val="en-US" w:eastAsia="da-DK"/>
        </w:rPr>
        <w:t xml:space="preserve">itself </w:t>
      </w:r>
      <w:r w:rsidR="00C05F51">
        <w:rPr>
          <w:rFonts w:eastAsia="Times New Roman" w:cs="Arial"/>
          <w:color w:val="000000"/>
          <w:shd w:val="clear" w:color="auto" w:fill="FFFFFF"/>
          <w:lang w:val="en-US" w:eastAsia="da-DK"/>
        </w:rPr>
        <w:t xml:space="preserve">explicit </w:t>
      </w:r>
      <w:r w:rsidR="00CB0DAE">
        <w:rPr>
          <w:rFonts w:eastAsia="Times New Roman" w:cs="Arial"/>
          <w:color w:val="000000"/>
          <w:shd w:val="clear" w:color="auto" w:fill="FFFFFF"/>
          <w:lang w:val="en-US" w:eastAsia="da-DK"/>
        </w:rPr>
        <w:t xml:space="preserve">but still non-inferential </w:t>
      </w:r>
      <w:r w:rsidR="00C05F51">
        <w:rPr>
          <w:rFonts w:eastAsia="Times New Roman" w:cs="Arial"/>
          <w:color w:val="000000"/>
          <w:shd w:val="clear" w:color="auto" w:fill="FFFFFF"/>
          <w:lang w:val="en-US" w:eastAsia="da-DK"/>
        </w:rPr>
        <w:t xml:space="preserve">requires that the asserter enjoys an untarnished reputation. </w:t>
      </w:r>
      <w:r w:rsidR="00057C01">
        <w:rPr>
          <w:rFonts w:eastAsia="Times New Roman" w:cs="Arial"/>
          <w:color w:val="000000"/>
          <w:shd w:val="clear" w:color="auto" w:fill="FFFFFF"/>
          <w:lang w:val="en-US" w:eastAsia="da-DK"/>
        </w:rPr>
        <w:t xml:space="preserve">That is why the persuasion definition may appear as </w:t>
      </w:r>
      <w:r w:rsidR="00057C01">
        <w:rPr>
          <w:rFonts w:eastAsia="Times New Roman" w:cs="Arial"/>
          <w:i/>
          <w:color w:val="000000"/>
          <w:shd w:val="clear" w:color="auto" w:fill="FFFFFF"/>
          <w:lang w:val="en-US" w:eastAsia="da-DK"/>
        </w:rPr>
        <w:t>the</w:t>
      </w:r>
      <w:r w:rsidR="00057C01">
        <w:rPr>
          <w:rFonts w:eastAsia="Times New Roman" w:cs="Arial"/>
          <w:color w:val="000000"/>
          <w:shd w:val="clear" w:color="auto" w:fill="FFFFFF"/>
          <w:lang w:val="en-US" w:eastAsia="da-DK"/>
        </w:rPr>
        <w:t xml:space="preserve"> </w:t>
      </w:r>
      <w:r w:rsidR="00057C01" w:rsidRPr="00A07F6F">
        <w:rPr>
          <w:rFonts w:eastAsia="Times New Roman" w:cs="Arial"/>
          <w:color w:val="000000" w:themeColor="text1"/>
          <w:shd w:val="clear" w:color="auto" w:fill="FFFFFF"/>
          <w:lang w:val="en-US" w:eastAsia="da-DK"/>
        </w:rPr>
        <w:t>definition of assertion: “</w:t>
      </w:r>
      <w:r w:rsidR="00700E7B" w:rsidRPr="00A07F6F">
        <w:rPr>
          <w:rFonts w:ascii="Calibri" w:eastAsia="Times New Roman" w:hAnsi="Calibri" w:cstheme="minorHAnsi"/>
          <w:color w:val="000000" w:themeColor="text1"/>
          <w:lang w:val="en-US" w:eastAsia="da-DK"/>
        </w:rPr>
        <w:t xml:space="preserve">… </w:t>
      </w:r>
      <w:r w:rsidR="00700E7B" w:rsidRPr="00A07F6F">
        <w:rPr>
          <w:rFonts w:ascii="Calibri" w:eastAsia="Times New Roman" w:hAnsi="Calibri" w:cstheme="minorHAnsi"/>
          <w:color w:val="000000" w:themeColor="text1"/>
          <w:shd w:val="clear" w:color="auto" w:fill="FFFFFF"/>
          <w:lang w:val="en-US" w:eastAsia="da-DK"/>
        </w:rPr>
        <w:t>a sign which belongs to a conventional system of possible signs, and which is intended and calculated to produce a belief in the mind to which it is addressed is an </w:t>
      </w:r>
      <w:r w:rsidR="00700E7B" w:rsidRPr="00A07F6F">
        <w:rPr>
          <w:rFonts w:ascii="Calibri" w:eastAsia="Times New Roman" w:hAnsi="Calibri" w:cstheme="minorHAnsi"/>
          <w:i/>
          <w:iCs/>
          <w:color w:val="000000" w:themeColor="text1"/>
          <w:shd w:val="clear" w:color="auto" w:fill="FFFFFF"/>
          <w:lang w:val="en-US" w:eastAsia="da-DK"/>
        </w:rPr>
        <w:t>assertion</w:t>
      </w:r>
      <w:r w:rsidR="00700E7B" w:rsidRPr="00A07F6F">
        <w:rPr>
          <w:rFonts w:ascii="Calibri" w:eastAsia="Times New Roman" w:hAnsi="Calibri" w:cstheme="minorHAnsi"/>
          <w:color w:val="000000" w:themeColor="text1"/>
          <w:lang w:val="en-US" w:eastAsia="da-DK"/>
        </w:rPr>
        <w:t>.</w:t>
      </w:r>
      <w:r w:rsidR="00057C01" w:rsidRPr="00A07F6F">
        <w:rPr>
          <w:rFonts w:ascii="Calibri" w:eastAsia="Times New Roman" w:hAnsi="Calibri" w:cstheme="minorHAnsi"/>
          <w:color w:val="000000" w:themeColor="text1"/>
          <w:lang w:val="en-US" w:eastAsia="da-DK"/>
        </w:rPr>
        <w:t>” (</w:t>
      </w:r>
      <w:r w:rsidR="00A07F6F" w:rsidRPr="00A07F6F">
        <w:rPr>
          <w:rFonts w:ascii="Calibri" w:eastAsia="Times New Roman" w:hAnsi="Calibri" w:cstheme="minorHAnsi"/>
          <w:color w:val="000000" w:themeColor="text1"/>
          <w:lang w:val="en-US" w:eastAsia="da-DK"/>
        </w:rPr>
        <w:t>“</w:t>
      </w:r>
      <w:r w:rsidR="00A07F6F" w:rsidRPr="000C3206">
        <w:rPr>
          <w:rFonts w:ascii="Calibri" w:eastAsia="Times New Roman" w:hAnsi="Calibri" w:cstheme="minorHAnsi"/>
          <w:color w:val="000000"/>
          <w:lang w:val="en-US" w:eastAsia="da-DK"/>
        </w:rPr>
        <w:t>The Fourth Curiosity</w:t>
      </w:r>
      <w:r w:rsidR="00A07F6F">
        <w:rPr>
          <w:rFonts w:ascii="Calibri" w:eastAsia="Times New Roman" w:hAnsi="Calibri" w:cstheme="minorHAnsi"/>
          <w:color w:val="000000"/>
          <w:lang w:val="en-US" w:eastAsia="da-DK"/>
        </w:rPr>
        <w:t xml:space="preserve">”, 1907, </w:t>
      </w:r>
      <w:r w:rsidR="00A07F6F" w:rsidRPr="000C3206">
        <w:rPr>
          <w:rFonts w:ascii="Calibri" w:eastAsia="Times New Roman" w:hAnsi="Calibri" w:cstheme="minorHAnsi"/>
          <w:color w:val="000000"/>
          <w:lang w:val="en-US" w:eastAsia="da-DK"/>
        </w:rPr>
        <w:t>MS [R] 200:91</w:t>
      </w:r>
      <w:r w:rsidR="00A07F6F">
        <w:rPr>
          <w:rFonts w:ascii="Calibri" w:eastAsia="Times New Roman" w:hAnsi="Calibri" w:cstheme="minorHAnsi"/>
          <w:color w:val="000000"/>
          <w:lang w:val="en-US" w:eastAsia="da-DK"/>
        </w:rPr>
        <w:t>)</w:t>
      </w:r>
    </w:p>
    <w:p w14:paraId="3F88259D" w14:textId="577D122F" w:rsidR="00C05F51" w:rsidRDefault="00C05F51" w:rsidP="002B61CA">
      <w:pPr>
        <w:spacing w:line="276" w:lineRule="auto"/>
        <w:jc w:val="both"/>
        <w:rPr>
          <w:rFonts w:eastAsia="Times New Roman" w:cs="Arial"/>
          <w:color w:val="000000"/>
          <w:shd w:val="clear" w:color="auto" w:fill="FFFFFF"/>
          <w:lang w:val="en-US" w:eastAsia="da-DK"/>
        </w:rPr>
      </w:pPr>
      <w:r>
        <w:rPr>
          <w:rFonts w:eastAsia="Times New Roman" w:cs="Arial"/>
          <w:color w:val="000000"/>
          <w:shd w:val="clear" w:color="auto" w:fill="FFFFFF"/>
          <w:lang w:val="en-US" w:eastAsia="da-DK"/>
        </w:rPr>
        <w:tab/>
        <w:t>Thus, three different theories of assertion can be found in the mature Peirce</w:t>
      </w:r>
      <w:r w:rsidR="00A07F6F">
        <w:rPr>
          <w:rFonts w:eastAsia="Times New Roman" w:cs="Arial"/>
          <w:color w:val="000000"/>
          <w:shd w:val="clear" w:color="auto" w:fill="FFFFFF"/>
          <w:lang w:val="en-US" w:eastAsia="da-DK"/>
        </w:rPr>
        <w:t xml:space="preserve"> from around the turn of the century</w:t>
      </w:r>
      <w:r>
        <w:rPr>
          <w:rFonts w:eastAsia="Times New Roman" w:cs="Arial"/>
          <w:color w:val="000000"/>
          <w:shd w:val="clear" w:color="auto" w:fill="FFFFFF"/>
          <w:lang w:val="en-US" w:eastAsia="da-DK"/>
        </w:rPr>
        <w:t xml:space="preserve">: assertion as a special self-reference of the proposition sign; assertion as a public utterance assuming responsibility for the truth of the proposition; and assertion as </w:t>
      </w:r>
      <w:r w:rsidR="00A07F6F">
        <w:rPr>
          <w:rFonts w:eastAsia="Times New Roman" w:cs="Arial"/>
          <w:color w:val="000000"/>
          <w:shd w:val="clear" w:color="auto" w:fill="FFFFFF"/>
          <w:lang w:val="en-US" w:eastAsia="da-DK"/>
        </w:rPr>
        <w:t>an</w:t>
      </w:r>
      <w:r>
        <w:rPr>
          <w:rFonts w:eastAsia="Times New Roman" w:cs="Arial"/>
          <w:color w:val="000000"/>
          <w:shd w:val="clear" w:color="auto" w:fill="FFFFFF"/>
          <w:lang w:val="en-US" w:eastAsia="da-DK"/>
        </w:rPr>
        <w:t xml:space="preserve"> utterance intended to convince an interpreter of the truth of the proposition.</w:t>
      </w:r>
      <w:r w:rsidR="00325D02">
        <w:rPr>
          <w:rFonts w:eastAsia="Times New Roman" w:cs="Arial"/>
          <w:color w:val="000000"/>
          <w:shd w:val="clear" w:color="auto" w:fill="FFFFFF"/>
          <w:lang w:val="en-US" w:eastAsia="da-DK"/>
        </w:rPr>
        <w:t xml:space="preserve"> Oftentimes, only one of the three </w:t>
      </w:r>
      <w:r w:rsidR="00A9250D">
        <w:rPr>
          <w:rFonts w:eastAsia="Times New Roman" w:cs="Arial"/>
          <w:color w:val="000000"/>
          <w:shd w:val="clear" w:color="auto" w:fill="FFFFFF"/>
          <w:lang w:val="en-US" w:eastAsia="da-DK"/>
        </w:rPr>
        <w:t xml:space="preserve">theories </w:t>
      </w:r>
      <w:r w:rsidR="00A07F6F">
        <w:rPr>
          <w:rFonts w:eastAsia="Times New Roman" w:cs="Arial"/>
          <w:color w:val="000000"/>
          <w:shd w:val="clear" w:color="auto" w:fill="FFFFFF"/>
          <w:lang w:val="en-US" w:eastAsia="da-DK"/>
        </w:rPr>
        <w:t>is</w:t>
      </w:r>
      <w:r w:rsidR="00A9250D">
        <w:rPr>
          <w:rFonts w:eastAsia="Times New Roman" w:cs="Arial"/>
          <w:color w:val="000000"/>
          <w:shd w:val="clear" w:color="auto" w:fill="FFFFFF"/>
          <w:lang w:val="en-US" w:eastAsia="da-DK"/>
        </w:rPr>
        <w:t xml:space="preserve"> addressed when discussing assertions.</w:t>
      </w:r>
      <w:r>
        <w:rPr>
          <w:rFonts w:eastAsia="Times New Roman" w:cs="Arial"/>
          <w:color w:val="000000"/>
          <w:shd w:val="clear" w:color="auto" w:fill="FFFFFF"/>
          <w:lang w:val="en-US" w:eastAsia="da-DK"/>
        </w:rPr>
        <w:t xml:space="preserve"> It does not mean</w:t>
      </w:r>
      <w:r w:rsidR="00514F3B">
        <w:rPr>
          <w:rFonts w:eastAsia="Times New Roman" w:cs="Arial"/>
          <w:color w:val="000000"/>
          <w:shd w:val="clear" w:color="auto" w:fill="FFFFFF"/>
          <w:lang w:val="en-US" w:eastAsia="da-DK"/>
        </w:rPr>
        <w:t>, however, that</w:t>
      </w:r>
      <w:r>
        <w:rPr>
          <w:rFonts w:eastAsia="Times New Roman" w:cs="Arial"/>
          <w:color w:val="000000"/>
          <w:shd w:val="clear" w:color="auto" w:fill="FFFFFF"/>
          <w:lang w:val="en-US" w:eastAsia="da-DK"/>
        </w:rPr>
        <w:t xml:space="preserve"> they form three competing explanations. Rather they </w:t>
      </w:r>
      <w:r w:rsidR="00A9250D">
        <w:rPr>
          <w:rFonts w:eastAsia="Times New Roman" w:cs="Arial"/>
          <w:color w:val="000000"/>
          <w:shd w:val="clear" w:color="auto" w:fill="FFFFFF"/>
          <w:lang w:val="en-US" w:eastAsia="da-DK"/>
        </w:rPr>
        <w:t>are developed in detail in the very same fertile period of 190</w:t>
      </w:r>
      <w:r w:rsidR="00A07F6F">
        <w:rPr>
          <w:rFonts w:eastAsia="Times New Roman" w:cs="Arial"/>
          <w:color w:val="000000"/>
          <w:shd w:val="clear" w:color="auto" w:fill="FFFFFF"/>
          <w:lang w:val="en-US" w:eastAsia="da-DK"/>
        </w:rPr>
        <w:t>1</w:t>
      </w:r>
      <w:r w:rsidR="00A9250D">
        <w:rPr>
          <w:rFonts w:eastAsia="Times New Roman" w:cs="Arial"/>
          <w:color w:val="000000"/>
          <w:shd w:val="clear" w:color="auto" w:fill="FFFFFF"/>
          <w:lang w:val="en-US" w:eastAsia="da-DK"/>
        </w:rPr>
        <w:t xml:space="preserve">-04, and they </w:t>
      </w:r>
      <w:r w:rsidR="00CB0DAE">
        <w:rPr>
          <w:rFonts w:eastAsia="Times New Roman" w:cs="Arial"/>
          <w:color w:val="000000"/>
          <w:shd w:val="clear" w:color="auto" w:fill="FFFFFF"/>
          <w:lang w:val="en-US" w:eastAsia="da-DK"/>
        </w:rPr>
        <w:t>seem</w:t>
      </w:r>
      <w:r>
        <w:rPr>
          <w:rFonts w:eastAsia="Times New Roman" w:cs="Arial"/>
          <w:color w:val="000000"/>
          <w:shd w:val="clear" w:color="auto" w:fill="FFFFFF"/>
          <w:lang w:val="en-US" w:eastAsia="da-DK"/>
        </w:rPr>
        <w:t xml:space="preserve"> to form a series of presuppositions: persuasion as the final aim of </w:t>
      </w:r>
      <w:r>
        <w:rPr>
          <w:rFonts w:eastAsia="Times New Roman" w:cs="Arial"/>
          <w:color w:val="000000"/>
          <w:shd w:val="clear" w:color="auto" w:fill="FFFFFF"/>
          <w:lang w:val="en-US" w:eastAsia="da-DK"/>
        </w:rPr>
        <w:lastRenderedPageBreak/>
        <w:t>assertion presupposes the assumption of responsibility</w:t>
      </w:r>
      <w:r w:rsidR="00CB0DAE">
        <w:rPr>
          <w:rFonts w:eastAsia="Times New Roman" w:cs="Arial"/>
          <w:color w:val="000000"/>
          <w:shd w:val="clear" w:color="auto" w:fill="FFFFFF"/>
          <w:lang w:val="en-US" w:eastAsia="da-DK"/>
        </w:rPr>
        <w:t xml:space="preserve"> by the utterer</w:t>
      </w:r>
      <w:r>
        <w:rPr>
          <w:rFonts w:eastAsia="Times New Roman" w:cs="Arial"/>
          <w:color w:val="000000"/>
          <w:shd w:val="clear" w:color="auto" w:fill="FFFFFF"/>
          <w:lang w:val="en-US" w:eastAsia="da-DK"/>
        </w:rPr>
        <w:t xml:space="preserve"> which, in turn, presupposes the proposition sign’s self-referential </w:t>
      </w:r>
      <w:r w:rsidR="00A9250D">
        <w:rPr>
          <w:rFonts w:eastAsia="Times New Roman" w:cs="Arial"/>
          <w:color w:val="000000"/>
          <w:shd w:val="clear" w:color="auto" w:fill="FFFFFF"/>
          <w:lang w:val="en-US" w:eastAsia="da-DK"/>
        </w:rPr>
        <w:t>structure</w:t>
      </w:r>
      <w:r>
        <w:rPr>
          <w:rFonts w:eastAsia="Times New Roman" w:cs="Arial"/>
          <w:color w:val="000000"/>
          <w:shd w:val="clear" w:color="auto" w:fill="FFFFFF"/>
          <w:lang w:val="en-US" w:eastAsia="da-DK"/>
        </w:rPr>
        <w:t xml:space="preserve"> as </w:t>
      </w:r>
      <w:r w:rsidR="00A9250D">
        <w:rPr>
          <w:rFonts w:eastAsia="Times New Roman" w:cs="Arial"/>
          <w:color w:val="000000"/>
          <w:shd w:val="clear" w:color="auto" w:fill="FFFFFF"/>
          <w:lang w:val="en-US" w:eastAsia="da-DK"/>
        </w:rPr>
        <w:t xml:space="preserve">potential </w:t>
      </w:r>
      <w:r>
        <w:rPr>
          <w:rFonts w:eastAsia="Times New Roman" w:cs="Arial"/>
          <w:color w:val="000000"/>
          <w:shd w:val="clear" w:color="auto" w:fill="FFFFFF"/>
          <w:lang w:val="en-US" w:eastAsia="da-DK"/>
        </w:rPr>
        <w:t xml:space="preserve">indexical truth grant. </w:t>
      </w:r>
      <w:r w:rsidR="00A9250D">
        <w:rPr>
          <w:rFonts w:eastAsia="Times New Roman" w:cs="Arial"/>
          <w:color w:val="000000"/>
          <w:shd w:val="clear" w:color="auto" w:fill="FFFFFF"/>
          <w:lang w:val="en-US" w:eastAsia="da-DK"/>
        </w:rPr>
        <w:t xml:space="preserve">Read in the opposite direction: the existence of self-referential proposition signs does not entail that anybody actually takes responsibility and asserts them, and even if they are indeed </w:t>
      </w:r>
      <w:r w:rsidR="00A07F6F">
        <w:rPr>
          <w:rFonts w:eastAsia="Times New Roman" w:cs="Arial"/>
          <w:color w:val="000000"/>
          <w:shd w:val="clear" w:color="auto" w:fill="FFFFFF"/>
          <w:lang w:val="en-US" w:eastAsia="da-DK"/>
        </w:rPr>
        <w:t xml:space="preserve">so </w:t>
      </w:r>
      <w:r w:rsidR="00A9250D">
        <w:rPr>
          <w:rFonts w:eastAsia="Times New Roman" w:cs="Arial"/>
          <w:color w:val="000000"/>
          <w:shd w:val="clear" w:color="auto" w:fill="FFFFFF"/>
          <w:lang w:val="en-US" w:eastAsia="da-DK"/>
        </w:rPr>
        <w:t xml:space="preserve">asserted, this is no guarantee </w:t>
      </w:r>
      <w:r w:rsidR="00A07F6F">
        <w:rPr>
          <w:rFonts w:eastAsia="Times New Roman" w:cs="Arial"/>
          <w:color w:val="000000"/>
          <w:shd w:val="clear" w:color="auto" w:fill="FFFFFF"/>
          <w:lang w:val="en-US" w:eastAsia="da-DK"/>
        </w:rPr>
        <w:t xml:space="preserve">that </w:t>
      </w:r>
      <w:r w:rsidR="00A9250D">
        <w:rPr>
          <w:rFonts w:eastAsia="Times New Roman" w:cs="Arial"/>
          <w:color w:val="000000"/>
          <w:shd w:val="clear" w:color="auto" w:fill="FFFFFF"/>
          <w:lang w:val="en-US" w:eastAsia="da-DK"/>
        </w:rPr>
        <w:t xml:space="preserve">anybody will </w:t>
      </w:r>
      <w:r w:rsidR="00A07F6F">
        <w:rPr>
          <w:rFonts w:eastAsia="Times New Roman" w:cs="Arial"/>
          <w:color w:val="000000"/>
          <w:shd w:val="clear" w:color="auto" w:fill="FFFFFF"/>
          <w:lang w:val="en-US" w:eastAsia="da-DK"/>
        </w:rPr>
        <w:t xml:space="preserve">actually </w:t>
      </w:r>
      <w:r w:rsidR="00A9250D">
        <w:rPr>
          <w:rFonts w:eastAsia="Times New Roman" w:cs="Arial"/>
          <w:color w:val="000000"/>
          <w:shd w:val="clear" w:color="auto" w:fill="FFFFFF"/>
          <w:lang w:val="en-US" w:eastAsia="da-DK"/>
        </w:rPr>
        <w:t>be persuaded.</w:t>
      </w:r>
    </w:p>
    <w:p w14:paraId="6517E055" w14:textId="77777777" w:rsidR="00CB0DAE" w:rsidRDefault="00CB0DAE" w:rsidP="002B61CA">
      <w:pPr>
        <w:spacing w:line="276" w:lineRule="auto"/>
        <w:jc w:val="both"/>
        <w:rPr>
          <w:rFonts w:eastAsia="Times New Roman" w:cs="Arial"/>
          <w:color w:val="000000"/>
          <w:shd w:val="clear" w:color="auto" w:fill="FFFFFF"/>
          <w:lang w:val="en-US" w:eastAsia="da-DK"/>
        </w:rPr>
      </w:pPr>
    </w:p>
    <w:p w14:paraId="60061716" w14:textId="742F6F6F" w:rsidR="00006B7E" w:rsidRDefault="004B4C29" w:rsidP="00677815">
      <w:pPr>
        <w:spacing w:line="276" w:lineRule="auto"/>
        <w:rPr>
          <w:i/>
          <w:lang w:val="en-US"/>
        </w:rPr>
      </w:pPr>
      <w:r>
        <w:rPr>
          <w:i/>
          <w:lang w:val="en-US"/>
        </w:rPr>
        <w:t>The role of conscious deliberation</w:t>
      </w:r>
    </w:p>
    <w:p w14:paraId="5AD2F7C6" w14:textId="77777777" w:rsidR="00514F3B" w:rsidRDefault="00514F3B" w:rsidP="00677815">
      <w:pPr>
        <w:spacing w:line="276" w:lineRule="auto"/>
        <w:rPr>
          <w:i/>
          <w:lang w:val="en-US"/>
        </w:rPr>
      </w:pPr>
    </w:p>
    <w:p w14:paraId="64B08AA5" w14:textId="77777777" w:rsidR="0060014A" w:rsidRDefault="000A47F8" w:rsidP="00677815">
      <w:pPr>
        <w:spacing w:line="276" w:lineRule="auto"/>
        <w:rPr>
          <w:lang w:val="en-US"/>
        </w:rPr>
      </w:pPr>
      <w:r w:rsidRPr="004B4C29">
        <w:rPr>
          <w:i/>
          <w:lang w:val="en-US"/>
        </w:rPr>
        <w:t>Belief</w:t>
      </w:r>
      <w:r>
        <w:rPr>
          <w:lang w:val="en-US"/>
        </w:rPr>
        <w:t xml:space="preserve"> is defined as </w:t>
      </w:r>
      <w:r w:rsidR="004B4C29">
        <w:rPr>
          <w:lang w:val="en-US"/>
        </w:rPr>
        <w:t>an</w:t>
      </w:r>
      <w:r>
        <w:rPr>
          <w:lang w:val="en-US"/>
        </w:rPr>
        <w:t xml:space="preserve"> action habit in the field of thought. As such, it is connected to the concepts of </w:t>
      </w:r>
      <w:r w:rsidRPr="004B4C29">
        <w:rPr>
          <w:i/>
          <w:lang w:val="en-US"/>
        </w:rPr>
        <w:t>judgment</w:t>
      </w:r>
      <w:r>
        <w:rPr>
          <w:lang w:val="en-US"/>
        </w:rPr>
        <w:t xml:space="preserve"> and </w:t>
      </w:r>
      <w:r w:rsidRPr="004B4C29">
        <w:rPr>
          <w:i/>
          <w:lang w:val="en-US"/>
        </w:rPr>
        <w:t>assent</w:t>
      </w:r>
      <w:r>
        <w:rPr>
          <w:lang w:val="en-US"/>
        </w:rPr>
        <w:t xml:space="preserve"> as individual acts manifesting or changing belief. </w:t>
      </w:r>
      <w:r w:rsidR="0060014A" w:rsidRPr="0060014A">
        <w:rPr>
          <w:lang w:val="en-US"/>
        </w:rPr>
        <w:t>Assertion</w:t>
      </w:r>
      <w:r>
        <w:rPr>
          <w:lang w:val="en-US"/>
        </w:rPr>
        <w:t xml:space="preserve">, by contrast, as </w:t>
      </w:r>
      <w:r w:rsidR="0060014A" w:rsidRPr="0060014A">
        <w:rPr>
          <w:lang w:val="en-US"/>
        </w:rPr>
        <w:t>an explicit, deliberate act of persuasion</w:t>
      </w:r>
      <w:r>
        <w:rPr>
          <w:lang w:val="en-US"/>
        </w:rPr>
        <w:t>, is inherently social and public</w:t>
      </w:r>
      <w:r w:rsidR="0060014A" w:rsidRPr="0060014A">
        <w:rPr>
          <w:lang w:val="en-US"/>
        </w:rPr>
        <w:t xml:space="preserve">. As such, </w:t>
      </w:r>
      <w:r w:rsidR="003A60F0">
        <w:rPr>
          <w:lang w:val="en-US"/>
        </w:rPr>
        <w:t>assertion</w:t>
      </w:r>
      <w:r w:rsidR="0060014A" w:rsidRPr="0060014A">
        <w:rPr>
          <w:lang w:val="en-US"/>
        </w:rPr>
        <w:t xml:space="preserve"> </w:t>
      </w:r>
      <w:r w:rsidR="00A9250D">
        <w:rPr>
          <w:lang w:val="en-US"/>
        </w:rPr>
        <w:t xml:space="preserve">forms </w:t>
      </w:r>
      <w:r>
        <w:rPr>
          <w:lang w:val="en-US"/>
        </w:rPr>
        <w:t>the indispensable</w:t>
      </w:r>
      <w:r w:rsidR="00A9250D">
        <w:rPr>
          <w:lang w:val="en-US"/>
        </w:rPr>
        <w:t xml:space="preserve"> building-block</w:t>
      </w:r>
      <w:r w:rsidR="0060014A">
        <w:rPr>
          <w:lang w:val="en-US"/>
        </w:rPr>
        <w:t xml:space="preserve"> in the</w:t>
      </w:r>
      <w:r w:rsidR="0060014A" w:rsidRPr="0060014A">
        <w:rPr>
          <w:lang w:val="en-US"/>
        </w:rPr>
        <w:t xml:space="preserve"> </w:t>
      </w:r>
      <w:r w:rsidR="0060014A" w:rsidRPr="003A60F0">
        <w:rPr>
          <w:i/>
          <w:lang w:val="en-US"/>
        </w:rPr>
        <w:t>spreading</w:t>
      </w:r>
      <w:r w:rsidR="0060014A" w:rsidRPr="0060014A">
        <w:rPr>
          <w:lang w:val="en-US"/>
        </w:rPr>
        <w:t xml:space="preserve"> </w:t>
      </w:r>
      <w:r w:rsidR="0060014A">
        <w:rPr>
          <w:lang w:val="en-US"/>
        </w:rPr>
        <w:t xml:space="preserve">of </w:t>
      </w:r>
      <w:r w:rsidR="0060014A" w:rsidRPr="0060014A">
        <w:rPr>
          <w:lang w:val="en-US"/>
        </w:rPr>
        <w:t xml:space="preserve">belief, in </w:t>
      </w:r>
      <w:r>
        <w:rPr>
          <w:lang w:val="en-US"/>
        </w:rPr>
        <w:t xml:space="preserve">social settings of </w:t>
      </w:r>
      <w:r w:rsidR="0060014A">
        <w:rPr>
          <w:lang w:val="en-US"/>
        </w:rPr>
        <w:t>everyday life as</w:t>
      </w:r>
      <w:r>
        <w:rPr>
          <w:lang w:val="en-US"/>
        </w:rPr>
        <w:t xml:space="preserve"> well as</w:t>
      </w:r>
      <w:r w:rsidR="0060014A">
        <w:rPr>
          <w:lang w:val="en-US"/>
        </w:rPr>
        <w:t xml:space="preserve"> in the special case</w:t>
      </w:r>
      <w:r>
        <w:rPr>
          <w:lang w:val="en-US"/>
        </w:rPr>
        <w:t xml:space="preserve"> of more controlled belief-adoption</w:t>
      </w:r>
      <w:r w:rsidR="0060014A">
        <w:rPr>
          <w:lang w:val="en-US"/>
        </w:rPr>
        <w:t xml:space="preserve"> of the scientific cross-generational community</w:t>
      </w:r>
      <w:r w:rsidR="003A60F0">
        <w:rPr>
          <w:lang w:val="en-US"/>
        </w:rPr>
        <w:t xml:space="preserve"> on its trajectory converging towards truth in the limit</w:t>
      </w:r>
      <w:r w:rsidR="0060014A">
        <w:rPr>
          <w:lang w:val="en-US"/>
        </w:rPr>
        <w:t xml:space="preserve">. </w:t>
      </w:r>
      <w:r w:rsidR="004B4C29">
        <w:rPr>
          <w:lang w:val="en-US"/>
        </w:rPr>
        <w:t>In this connection between belief and assertion lie</w:t>
      </w:r>
      <w:r w:rsidR="00B05EE3">
        <w:rPr>
          <w:lang w:val="en-US"/>
        </w:rPr>
        <w:t xml:space="preserve"> some interesting issues: </w:t>
      </w:r>
      <w:r w:rsidR="004B4C29">
        <w:rPr>
          <w:lang w:val="en-US"/>
        </w:rPr>
        <w:t xml:space="preserve">assertion is a deliberate act, but </w:t>
      </w:r>
      <w:r w:rsidR="00B05EE3">
        <w:rPr>
          <w:lang w:val="en-US"/>
        </w:rPr>
        <w:t>to what degree</w:t>
      </w:r>
      <w:r w:rsidR="004B4C29">
        <w:rPr>
          <w:lang w:val="en-US"/>
        </w:rPr>
        <w:t xml:space="preserve"> is the</w:t>
      </w:r>
      <w:r w:rsidR="00B05EE3">
        <w:rPr>
          <w:lang w:val="en-US"/>
        </w:rPr>
        <w:t xml:space="preserve"> belief </w:t>
      </w:r>
      <w:r w:rsidR="003A60F0">
        <w:rPr>
          <w:lang w:val="en-US"/>
        </w:rPr>
        <w:t xml:space="preserve">which </w:t>
      </w:r>
      <w:r w:rsidR="004B4C29">
        <w:rPr>
          <w:lang w:val="en-US"/>
        </w:rPr>
        <w:t xml:space="preserve">it communicates </w:t>
      </w:r>
      <w:r w:rsidR="00B05EE3">
        <w:rPr>
          <w:lang w:val="en-US"/>
        </w:rPr>
        <w:t xml:space="preserve">the object of deliberate, conscious decision? How </w:t>
      </w:r>
      <w:r w:rsidR="004B4C29">
        <w:rPr>
          <w:lang w:val="en-US"/>
        </w:rPr>
        <w:t>do</w:t>
      </w:r>
      <w:r w:rsidR="00B05EE3">
        <w:rPr>
          <w:lang w:val="en-US"/>
        </w:rPr>
        <w:t xml:space="preserve"> scientific beliefs and assertions </w:t>
      </w:r>
      <w:r w:rsidR="004B4C29">
        <w:rPr>
          <w:lang w:val="en-US"/>
        </w:rPr>
        <w:t>differ</w:t>
      </w:r>
      <w:r w:rsidR="00B05EE3">
        <w:rPr>
          <w:lang w:val="en-US"/>
        </w:rPr>
        <w:t xml:space="preserve"> from everyday beliefs and assertions? And </w:t>
      </w:r>
      <w:r w:rsidR="004B4C29">
        <w:rPr>
          <w:lang w:val="en-US"/>
        </w:rPr>
        <w:t>what is exactly the scope of claims covered</w:t>
      </w:r>
      <w:r w:rsidR="0060014A" w:rsidRPr="0060014A">
        <w:rPr>
          <w:lang w:val="en-US"/>
        </w:rPr>
        <w:t xml:space="preserve"> </w:t>
      </w:r>
      <w:r w:rsidR="004B4C29">
        <w:rPr>
          <w:lang w:val="en-US"/>
        </w:rPr>
        <w:t>by</w:t>
      </w:r>
      <w:r w:rsidR="00B05EE3">
        <w:rPr>
          <w:lang w:val="en-US"/>
        </w:rPr>
        <w:t xml:space="preserve"> the assertion’s assumption of</w:t>
      </w:r>
      <w:r w:rsidR="0060014A" w:rsidRPr="0060014A">
        <w:rPr>
          <w:lang w:val="en-US"/>
        </w:rPr>
        <w:t xml:space="preserve"> responsibility?</w:t>
      </w:r>
    </w:p>
    <w:p w14:paraId="63C3CC1B" w14:textId="1895836B" w:rsidR="00C40A0D" w:rsidRDefault="00B05EE3" w:rsidP="00C40A0D">
      <w:pPr>
        <w:spacing w:line="276" w:lineRule="auto"/>
        <w:rPr>
          <w:lang w:val="en-US"/>
        </w:rPr>
      </w:pPr>
      <w:r>
        <w:rPr>
          <w:lang w:val="en-US"/>
        </w:rPr>
        <w:tab/>
        <w:t>In the original, pragmatist definition of belief</w:t>
      </w:r>
      <w:r w:rsidR="004B4C29">
        <w:rPr>
          <w:lang w:val="en-US"/>
        </w:rPr>
        <w:t xml:space="preserve"> 1878</w:t>
      </w:r>
      <w:r>
        <w:rPr>
          <w:lang w:val="en-US"/>
        </w:rPr>
        <w:t xml:space="preserve">, as we saw, </w:t>
      </w:r>
      <w:r w:rsidR="004B4C29">
        <w:rPr>
          <w:lang w:val="en-US"/>
        </w:rPr>
        <w:t>belief</w:t>
      </w:r>
      <w:r>
        <w:rPr>
          <w:lang w:val="en-US"/>
        </w:rPr>
        <w:t xml:space="preserve"> was subject to </w:t>
      </w:r>
      <w:r w:rsidR="004B4C29" w:rsidRPr="003A60F0">
        <w:rPr>
          <w:i/>
          <w:lang w:val="en-US"/>
        </w:rPr>
        <w:t>awareness</w:t>
      </w:r>
      <w:r w:rsidR="004B4C29">
        <w:rPr>
          <w:lang w:val="en-US"/>
        </w:rPr>
        <w:t xml:space="preserve">, manifested by a feeling of which content ideas – subject and predicate – it combines. In Peirce’s subsequent evolution, however, again and again he vacillates with respect to which degree of awareness or consciousness of beliefs </w:t>
      </w:r>
      <w:r w:rsidR="00ED3EA9">
        <w:rPr>
          <w:lang w:val="en-US"/>
        </w:rPr>
        <w:t>is</w:t>
      </w:r>
      <w:r w:rsidR="004B4C29">
        <w:rPr>
          <w:lang w:val="en-US"/>
        </w:rPr>
        <w:t xml:space="preserve"> really possible</w:t>
      </w:r>
      <w:r w:rsidR="00ED3EA9">
        <w:rPr>
          <w:lang w:val="en-US"/>
        </w:rPr>
        <w:t>.</w:t>
      </w:r>
      <w:r w:rsidR="00ED3EA9">
        <w:rPr>
          <w:rStyle w:val="Slutnotehenvisning"/>
          <w:lang w:val="en-US"/>
        </w:rPr>
        <w:endnoteReference w:id="9"/>
      </w:r>
      <w:r w:rsidR="00ED3EA9">
        <w:rPr>
          <w:lang w:val="en-US"/>
        </w:rPr>
        <w:t xml:space="preserve"> This comes from the fact that belief is a subspecies of habit, which means that a belief is not an action </w:t>
      </w:r>
      <w:r w:rsidR="00ED3EA9" w:rsidRPr="003A60F0">
        <w:rPr>
          <w:i/>
          <w:lang w:val="en-US"/>
        </w:rPr>
        <w:t xml:space="preserve">hic et </w:t>
      </w:r>
      <w:proofErr w:type="spellStart"/>
      <w:r w:rsidR="00ED3EA9" w:rsidRPr="003A60F0">
        <w:rPr>
          <w:i/>
          <w:lang w:val="en-US"/>
        </w:rPr>
        <w:t>nunc</w:t>
      </w:r>
      <w:proofErr w:type="spellEnd"/>
      <w:r w:rsidR="00ED3EA9">
        <w:rPr>
          <w:lang w:val="en-US"/>
        </w:rPr>
        <w:t xml:space="preserve">, but a general law or tendency over a prolonged stretch of time during which it may give rise to any number of concrete acts. And there is no guarantee that the individual </w:t>
      </w:r>
      <w:r w:rsidR="003A60F0">
        <w:rPr>
          <w:lang w:val="en-US"/>
        </w:rPr>
        <w:t>possesses</w:t>
      </w:r>
      <w:r w:rsidR="00ED3EA9">
        <w:rPr>
          <w:lang w:val="en-US"/>
        </w:rPr>
        <w:t xml:space="preserve"> conscious access to his or her own habits. This obviously clashes with</w:t>
      </w:r>
      <w:r w:rsidR="003A60F0">
        <w:rPr>
          <w:lang w:val="en-US"/>
        </w:rPr>
        <w:t xml:space="preserve"> another important standard:</w:t>
      </w:r>
      <w:r w:rsidR="00ED3EA9">
        <w:rPr>
          <w:lang w:val="en-US"/>
        </w:rPr>
        <w:t xml:space="preserve"> Peirce’s increasing insistence that </w:t>
      </w:r>
      <w:r w:rsidR="003A60F0">
        <w:rPr>
          <w:lang w:val="en-US"/>
        </w:rPr>
        <w:t>the act of logical inference</w:t>
      </w:r>
      <w:r w:rsidR="00ED3EA9">
        <w:rPr>
          <w:lang w:val="en-US"/>
        </w:rPr>
        <w:t xml:space="preserve"> must be subject to conscious, deliberate self-control in order to count as real reasoning. </w:t>
      </w:r>
      <w:r w:rsidR="003A60F0">
        <w:rPr>
          <w:lang w:val="en-US"/>
        </w:rPr>
        <w:t xml:space="preserve">Habits are </w:t>
      </w:r>
      <w:r w:rsidR="00C40A0D">
        <w:rPr>
          <w:lang w:val="en-US"/>
        </w:rPr>
        <w:t xml:space="preserve">overwhelmingly </w:t>
      </w:r>
      <w:r w:rsidR="003A60F0">
        <w:rPr>
          <w:lang w:val="en-US"/>
        </w:rPr>
        <w:t>unconscious</w:t>
      </w:r>
      <w:r w:rsidR="00390924">
        <w:rPr>
          <w:lang w:val="en-US"/>
        </w:rPr>
        <w:t>;</w:t>
      </w:r>
      <w:r w:rsidR="003A60F0">
        <w:rPr>
          <w:lang w:val="en-US"/>
        </w:rPr>
        <w:t xml:space="preserve"> reason must be conscious. </w:t>
      </w:r>
      <w:r w:rsidR="00ED3EA9">
        <w:rPr>
          <w:lang w:val="en-US"/>
        </w:rPr>
        <w:t xml:space="preserve">In exactly the same period of Peirce’s mature theory of assertion, he </w:t>
      </w:r>
      <w:r w:rsidR="003A60F0">
        <w:rPr>
          <w:lang w:val="en-US"/>
        </w:rPr>
        <w:t>develops the idea</w:t>
      </w:r>
      <w:r w:rsidR="00ED3EA9">
        <w:rPr>
          <w:lang w:val="en-US"/>
        </w:rPr>
        <w:t xml:space="preserve"> that human beings are characterized by five or six levels of self-control, the higher levels controlling the lower ones, and that the function of consciousness is to make higher levels of self-control efficient.</w:t>
      </w:r>
      <w:r w:rsidR="003A60F0">
        <w:rPr>
          <w:rStyle w:val="Slutnotehenvisning"/>
          <w:lang w:val="en-US"/>
        </w:rPr>
        <w:endnoteReference w:id="10"/>
      </w:r>
      <w:r w:rsidR="00ED3EA9">
        <w:rPr>
          <w:lang w:val="en-US"/>
        </w:rPr>
        <w:t xml:space="preserve"> </w:t>
      </w:r>
      <w:r w:rsidR="00630770">
        <w:rPr>
          <w:lang w:val="en-US"/>
        </w:rPr>
        <w:t xml:space="preserve">The type of self-control associated with consciousness, then, is deliberate control </w:t>
      </w:r>
      <w:r w:rsidR="00514F3B">
        <w:rPr>
          <w:lang w:val="en-US"/>
        </w:rPr>
        <w:t>of</w:t>
      </w:r>
      <w:r w:rsidR="00630770">
        <w:rPr>
          <w:lang w:val="en-US"/>
        </w:rPr>
        <w:t xml:space="preserve"> reasoning. </w:t>
      </w:r>
      <w:r w:rsidR="00ED3EA9">
        <w:rPr>
          <w:lang w:val="en-US"/>
        </w:rPr>
        <w:t xml:space="preserve"> </w:t>
      </w:r>
      <w:r w:rsidR="00630770">
        <w:rPr>
          <w:lang w:val="en-US"/>
        </w:rPr>
        <w:t>But if</w:t>
      </w:r>
      <w:r w:rsidR="00ED3EA9">
        <w:rPr>
          <w:lang w:val="en-US"/>
        </w:rPr>
        <w:t xml:space="preserve"> belief and change of belief </w:t>
      </w:r>
      <w:r w:rsidR="00514F3B">
        <w:rPr>
          <w:lang w:val="en-US"/>
        </w:rPr>
        <w:t>are</w:t>
      </w:r>
      <w:r w:rsidR="00ED3EA9">
        <w:rPr>
          <w:lang w:val="en-US"/>
        </w:rPr>
        <w:t xml:space="preserve"> </w:t>
      </w:r>
      <w:r w:rsidR="00ED3EA9" w:rsidRPr="00630770">
        <w:rPr>
          <w:i/>
          <w:lang w:val="en-US"/>
        </w:rPr>
        <w:t>not</w:t>
      </w:r>
      <w:r w:rsidR="00ED3EA9">
        <w:rPr>
          <w:lang w:val="en-US"/>
        </w:rPr>
        <w:t xml:space="preserve"> so subject to self-control, </w:t>
      </w:r>
      <w:r w:rsidR="00630770">
        <w:rPr>
          <w:lang w:val="en-US"/>
        </w:rPr>
        <w:t>the adoption of beliefs</w:t>
      </w:r>
      <w:r w:rsidR="00ED3EA9">
        <w:rPr>
          <w:lang w:val="en-US"/>
        </w:rPr>
        <w:t xml:space="preserve"> could not count as reasoning, and belief would be cut off from the possibility of attaining scientific status. </w:t>
      </w:r>
      <w:r w:rsidR="00630770">
        <w:rPr>
          <w:lang w:val="en-US"/>
        </w:rPr>
        <w:t>Peirce never explicitly expresses this problem</w:t>
      </w:r>
      <w:r w:rsidR="00C40A0D">
        <w:rPr>
          <w:lang w:val="en-US"/>
        </w:rPr>
        <w:t xml:space="preserve"> in such terms</w:t>
      </w:r>
      <w:r w:rsidR="00630770">
        <w:rPr>
          <w:lang w:val="en-US"/>
        </w:rPr>
        <w:t xml:space="preserve">, but he does make attempts to solve it: </w:t>
      </w:r>
      <w:r w:rsidR="00630770">
        <w:rPr>
          <w:rFonts w:eastAsia="Times New Roman" w:cs="Arial"/>
          <w:color w:val="000000"/>
          <w:lang w:val="en-US" w:eastAsia="da-DK"/>
        </w:rPr>
        <w:t>“</w:t>
      </w:r>
      <w:r w:rsidR="00583D22" w:rsidRPr="000C3206">
        <w:rPr>
          <w:rFonts w:eastAsia="Times New Roman" w:cs="Arial"/>
          <w:color w:val="000000"/>
          <w:lang w:val="en-US" w:eastAsia="da-DK"/>
        </w:rPr>
        <w:t>A</w:t>
      </w:r>
      <w:r w:rsidR="00583D22" w:rsidRPr="00FE2040">
        <w:rPr>
          <w:rFonts w:eastAsia="Times New Roman" w:cs="Arial"/>
          <w:color w:val="000000"/>
          <w:lang w:val="en-US" w:eastAsia="da-DK"/>
        </w:rPr>
        <w:t> </w:t>
      </w:r>
      <w:r w:rsidR="00583D22" w:rsidRPr="00FE2040">
        <w:rPr>
          <w:rFonts w:eastAsia="Times New Roman" w:cs="Arial"/>
          <w:i/>
          <w:iCs/>
          <w:color w:val="000000"/>
          <w:lang w:val="en-US" w:eastAsia="da-DK"/>
        </w:rPr>
        <w:t>belief</w:t>
      </w:r>
      <w:r w:rsidR="00583D22" w:rsidRPr="00FE2040">
        <w:rPr>
          <w:rFonts w:eastAsia="Times New Roman" w:cs="Arial"/>
          <w:color w:val="000000"/>
          <w:lang w:val="en-US" w:eastAsia="da-DK"/>
        </w:rPr>
        <w:t> </w:t>
      </w:r>
      <w:r w:rsidR="00583D22" w:rsidRPr="000C3206">
        <w:rPr>
          <w:rFonts w:eastAsia="Times New Roman" w:cs="Arial"/>
          <w:color w:val="000000"/>
          <w:lang w:val="en-US" w:eastAsia="da-DK"/>
        </w:rPr>
        <w:t>in a proposition is a controlled and contented habit of acting in ways that will be productive of desired results only if the proposition is true.</w:t>
      </w:r>
      <w:r w:rsidR="00630770">
        <w:rPr>
          <w:rFonts w:eastAsia="Times New Roman" w:cs="Arial"/>
          <w:color w:val="000000"/>
          <w:lang w:val="en-US" w:eastAsia="da-DK"/>
        </w:rPr>
        <w:t xml:space="preserve"> (…) </w:t>
      </w:r>
      <w:r w:rsidR="00583D22" w:rsidRPr="00FE2040">
        <w:rPr>
          <w:rFonts w:eastAsia="Times New Roman" w:cs="Arial"/>
          <w:color w:val="000000"/>
          <w:shd w:val="clear" w:color="auto" w:fill="FFFFFF"/>
          <w:lang w:val="en-US" w:eastAsia="da-DK"/>
        </w:rPr>
        <w:t>A </w:t>
      </w:r>
      <w:r w:rsidR="00583D22" w:rsidRPr="00FE2040">
        <w:rPr>
          <w:rFonts w:eastAsia="Times New Roman" w:cs="Arial"/>
          <w:i/>
          <w:iCs/>
          <w:color w:val="000000"/>
          <w:shd w:val="clear" w:color="auto" w:fill="FFFFFF"/>
          <w:lang w:val="en-US" w:eastAsia="da-DK"/>
        </w:rPr>
        <w:t>judgment</w:t>
      </w:r>
      <w:r w:rsidR="00583D22" w:rsidRPr="00FE2040">
        <w:rPr>
          <w:rFonts w:eastAsia="Times New Roman" w:cs="Arial"/>
          <w:color w:val="000000"/>
          <w:shd w:val="clear" w:color="auto" w:fill="FFFFFF"/>
          <w:lang w:val="en-US" w:eastAsia="da-DK"/>
        </w:rPr>
        <w:t> is a mental act deliberately exercising a force tending to determine in the mind of the agent a belief in the proposition; to which should perhaps be added that the agent must be aware of his being liable to inconvenience in the event of the proposition’s proving false in any practical aspect.</w:t>
      </w:r>
      <w:r w:rsidR="00630770">
        <w:rPr>
          <w:rFonts w:eastAsia="Times New Roman" w:cs="Arial"/>
          <w:color w:val="000000"/>
          <w:shd w:val="clear" w:color="auto" w:fill="FFFFFF"/>
          <w:lang w:val="en-US" w:eastAsia="da-DK"/>
        </w:rPr>
        <w:t xml:space="preserve">” </w:t>
      </w:r>
      <w:r w:rsidR="00630770">
        <w:rPr>
          <w:rFonts w:eastAsia="Times New Roman" w:cs="Arial"/>
          <w:color w:val="000000"/>
          <w:shd w:val="clear" w:color="auto" w:fill="FFFFFF"/>
          <w:lang w:val="en-US" w:eastAsia="da-DK"/>
        </w:rPr>
        <w:lastRenderedPageBreak/>
        <w:t>(“</w:t>
      </w:r>
      <w:proofErr w:type="spellStart"/>
      <w:r w:rsidR="00630770">
        <w:rPr>
          <w:rFonts w:eastAsia="Times New Roman" w:cs="Arial"/>
          <w:color w:val="000000"/>
          <w:shd w:val="clear" w:color="auto" w:fill="FFFFFF"/>
          <w:lang w:val="en-US" w:eastAsia="da-DK"/>
        </w:rPr>
        <w:t>Kaina</w:t>
      </w:r>
      <w:proofErr w:type="spellEnd"/>
      <w:r w:rsidR="00630770">
        <w:rPr>
          <w:rFonts w:eastAsia="Times New Roman" w:cs="Arial"/>
          <w:color w:val="000000"/>
          <w:shd w:val="clear" w:color="auto" w:fill="FFFFFF"/>
          <w:lang w:val="en-US" w:eastAsia="da-DK"/>
        </w:rPr>
        <w:t xml:space="preserve"> </w:t>
      </w:r>
      <w:proofErr w:type="spellStart"/>
      <w:r w:rsidR="00630770">
        <w:rPr>
          <w:rFonts w:eastAsia="Times New Roman" w:cs="Arial"/>
          <w:color w:val="000000"/>
          <w:shd w:val="clear" w:color="auto" w:fill="FFFFFF"/>
          <w:lang w:val="en-US" w:eastAsia="da-DK"/>
        </w:rPr>
        <w:t>Stoicheia</w:t>
      </w:r>
      <w:proofErr w:type="spellEnd"/>
      <w:r w:rsidR="00630770">
        <w:rPr>
          <w:rFonts w:eastAsia="Times New Roman" w:cs="Arial"/>
          <w:color w:val="000000"/>
          <w:shd w:val="clear" w:color="auto" w:fill="FFFFFF"/>
          <w:lang w:val="en-US" w:eastAsia="da-DK"/>
        </w:rPr>
        <w:t xml:space="preserve">”, </w:t>
      </w:r>
      <w:proofErr w:type="gramStart"/>
      <w:r w:rsidR="00C40A0D">
        <w:rPr>
          <w:rFonts w:eastAsia="Times New Roman" w:cs="Arial"/>
          <w:color w:val="000000"/>
          <w:shd w:val="clear" w:color="auto" w:fill="FFFFFF"/>
          <w:lang w:val="en-US" w:eastAsia="da-DK"/>
        </w:rPr>
        <w:t>1901?,</w:t>
      </w:r>
      <w:proofErr w:type="gramEnd"/>
      <w:r w:rsidR="00C40A0D">
        <w:rPr>
          <w:rFonts w:eastAsia="Times New Roman" w:cs="Arial"/>
          <w:color w:val="000000"/>
          <w:shd w:val="clear" w:color="auto" w:fill="FFFFFF"/>
          <w:lang w:val="en-US" w:eastAsia="da-DK"/>
        </w:rPr>
        <w:t xml:space="preserve"> </w:t>
      </w:r>
      <w:r w:rsidR="00630770">
        <w:rPr>
          <w:rFonts w:eastAsia="Times New Roman" w:cs="Arial"/>
          <w:color w:val="000000"/>
          <w:shd w:val="clear" w:color="auto" w:fill="FFFFFF"/>
          <w:lang w:val="en-US" w:eastAsia="da-DK"/>
        </w:rPr>
        <w:t xml:space="preserve">EP 2:312-13). </w:t>
      </w:r>
      <w:r w:rsidR="00C40A0D">
        <w:rPr>
          <w:rFonts w:eastAsia="Times New Roman" w:cs="Arial"/>
          <w:color w:val="000000"/>
          <w:shd w:val="clear" w:color="auto" w:fill="FFFFFF"/>
          <w:lang w:val="en-US" w:eastAsia="da-DK"/>
        </w:rPr>
        <w:t xml:space="preserve">Here, the responsibility part of assertion is included </w:t>
      </w:r>
      <w:r w:rsidR="00390924">
        <w:rPr>
          <w:rFonts w:eastAsia="Times New Roman" w:cs="Arial"/>
          <w:color w:val="000000"/>
          <w:shd w:val="clear" w:color="auto" w:fill="FFFFFF"/>
          <w:lang w:val="en-US" w:eastAsia="da-DK"/>
        </w:rPr>
        <w:t xml:space="preserve">in </w:t>
      </w:r>
      <w:r w:rsidR="00C40A0D">
        <w:rPr>
          <w:rFonts w:eastAsia="Times New Roman" w:cs="Arial"/>
          <w:color w:val="000000"/>
          <w:shd w:val="clear" w:color="auto" w:fill="FFFFFF"/>
          <w:lang w:val="en-US" w:eastAsia="da-DK"/>
        </w:rPr>
        <w:t>what must be covered by awareness. More generally</w:t>
      </w:r>
      <w:r w:rsidR="00630770">
        <w:rPr>
          <w:rFonts w:eastAsia="Times New Roman" w:cs="Arial"/>
          <w:color w:val="000000"/>
          <w:shd w:val="clear" w:color="auto" w:fill="FFFFFF"/>
          <w:lang w:val="en-US" w:eastAsia="da-DK"/>
        </w:rPr>
        <w:t xml:space="preserve">, the notion of </w:t>
      </w:r>
      <w:r w:rsidR="00630770">
        <w:rPr>
          <w:rFonts w:eastAsia="Times New Roman" w:cs="Arial"/>
          <w:i/>
          <w:color w:val="000000"/>
          <w:shd w:val="clear" w:color="auto" w:fill="FFFFFF"/>
          <w:lang w:val="en-US" w:eastAsia="da-DK"/>
        </w:rPr>
        <w:t>judgment</w:t>
      </w:r>
      <w:r w:rsidR="00630770">
        <w:rPr>
          <w:rFonts w:eastAsia="Times New Roman" w:cs="Arial"/>
          <w:color w:val="000000"/>
          <w:shd w:val="clear" w:color="auto" w:fill="FFFFFF"/>
          <w:lang w:val="en-US" w:eastAsia="da-DK"/>
        </w:rPr>
        <w:t xml:space="preserve"> is </w:t>
      </w:r>
      <w:r w:rsidR="00C40A0D">
        <w:rPr>
          <w:rFonts w:eastAsia="Times New Roman" w:cs="Arial"/>
          <w:color w:val="000000"/>
          <w:shd w:val="clear" w:color="auto" w:fill="FFFFFF"/>
          <w:lang w:val="en-US" w:eastAsia="da-DK"/>
        </w:rPr>
        <w:t xml:space="preserve">taken to be </w:t>
      </w:r>
      <w:r w:rsidR="00630770">
        <w:rPr>
          <w:rFonts w:eastAsia="Times New Roman" w:cs="Arial"/>
          <w:color w:val="000000"/>
          <w:shd w:val="clear" w:color="auto" w:fill="FFFFFF"/>
          <w:lang w:val="en-US" w:eastAsia="da-DK"/>
        </w:rPr>
        <w:t xml:space="preserve">the deliberate mental act of attempting to form a </w:t>
      </w:r>
      <w:r w:rsidR="00630770" w:rsidRPr="00C40A0D">
        <w:rPr>
          <w:rFonts w:eastAsia="Times New Roman" w:cs="Arial"/>
          <w:i/>
          <w:color w:val="000000"/>
          <w:shd w:val="clear" w:color="auto" w:fill="FFFFFF"/>
          <w:lang w:val="en-US" w:eastAsia="da-DK"/>
        </w:rPr>
        <w:t>belief</w:t>
      </w:r>
      <w:r w:rsidR="00630770">
        <w:rPr>
          <w:rFonts w:eastAsia="Times New Roman" w:cs="Arial"/>
          <w:color w:val="000000"/>
          <w:shd w:val="clear" w:color="auto" w:fill="FFFFFF"/>
          <w:lang w:val="en-US" w:eastAsia="da-DK"/>
        </w:rPr>
        <w:t xml:space="preserve"> in a proposition. It follows that no act of deliberate will can unilaterally shape habit or belief. It may </w:t>
      </w:r>
      <w:r w:rsidR="00630770">
        <w:rPr>
          <w:rFonts w:eastAsia="Times New Roman" w:cs="Arial"/>
          <w:i/>
          <w:color w:val="000000"/>
          <w:shd w:val="clear" w:color="auto" w:fill="FFFFFF"/>
          <w:lang w:val="en-US" w:eastAsia="da-DK"/>
        </w:rPr>
        <w:t>tend</w:t>
      </w:r>
      <w:r w:rsidR="00630770">
        <w:rPr>
          <w:rFonts w:eastAsia="Times New Roman" w:cs="Arial"/>
          <w:color w:val="000000"/>
          <w:shd w:val="clear" w:color="auto" w:fill="FFFFFF"/>
          <w:lang w:val="en-US" w:eastAsia="da-DK"/>
        </w:rPr>
        <w:t xml:space="preserve"> to do so, but that is all. Earlier, we saw an attempt to make </w:t>
      </w:r>
      <w:r w:rsidR="00630770" w:rsidRPr="00C40A0D">
        <w:rPr>
          <w:rFonts w:eastAsia="Times New Roman" w:cs="Arial"/>
          <w:i/>
          <w:color w:val="000000"/>
          <w:shd w:val="clear" w:color="auto" w:fill="FFFFFF"/>
          <w:lang w:val="en-US" w:eastAsia="da-DK"/>
        </w:rPr>
        <w:t>judgment</w:t>
      </w:r>
      <w:r w:rsidR="00630770">
        <w:rPr>
          <w:rFonts w:eastAsia="Times New Roman" w:cs="Arial"/>
          <w:color w:val="000000"/>
          <w:shd w:val="clear" w:color="auto" w:fill="FFFFFF"/>
          <w:lang w:val="en-US" w:eastAsia="da-DK"/>
        </w:rPr>
        <w:t xml:space="preserve"> the becoming-aware or making explicit of a belief. But it remains contentious whether </w:t>
      </w:r>
      <w:r w:rsidR="00C40A0D">
        <w:rPr>
          <w:rFonts w:eastAsia="Times New Roman" w:cs="Arial"/>
          <w:color w:val="000000"/>
          <w:shd w:val="clear" w:color="auto" w:fill="FFFFFF"/>
          <w:lang w:val="en-US" w:eastAsia="da-DK"/>
        </w:rPr>
        <w:t xml:space="preserve">or to what extent </w:t>
      </w:r>
      <w:r w:rsidR="00630770">
        <w:rPr>
          <w:rFonts w:eastAsia="Times New Roman" w:cs="Arial"/>
          <w:color w:val="000000"/>
          <w:shd w:val="clear" w:color="auto" w:fill="FFFFFF"/>
          <w:lang w:val="en-US" w:eastAsia="da-DK"/>
        </w:rPr>
        <w:t xml:space="preserve">human beings can really make explicit what they believe: </w:t>
      </w:r>
      <w:r w:rsidR="00630770">
        <w:rPr>
          <w:rFonts w:eastAsia="Times New Roman" w:cs="Arial"/>
          <w:color w:val="000000"/>
          <w:lang w:val="en-US" w:eastAsia="da-DK"/>
        </w:rPr>
        <w:t>“</w:t>
      </w:r>
      <w:r w:rsidR="00583D22" w:rsidRPr="00FE2040">
        <w:rPr>
          <w:rFonts w:eastAsia="Times New Roman" w:cs="Arial"/>
          <w:color w:val="000000"/>
          <w:shd w:val="clear" w:color="auto" w:fill="FFFFFF"/>
          <w:lang w:val="en-US" w:eastAsia="da-DK"/>
        </w:rPr>
        <w:t xml:space="preserve">Belief does </w:t>
      </w:r>
      <w:r w:rsidR="00583D22" w:rsidRPr="00B735F5">
        <w:rPr>
          <w:rFonts w:eastAsia="Times New Roman" w:cs="Arial"/>
          <w:color w:val="000000"/>
          <w:shd w:val="clear" w:color="auto" w:fill="FFFFFF"/>
          <w:lang w:val="en-US" w:eastAsia="da-DK"/>
        </w:rPr>
        <w:t>not principally consist in any particular act of thought, but in a </w:t>
      </w:r>
      <w:r w:rsidR="00583D22" w:rsidRPr="00B735F5">
        <w:rPr>
          <w:rFonts w:eastAsia="Times New Roman" w:cs="Arial"/>
          <w:i/>
          <w:iCs/>
          <w:color w:val="000000"/>
          <w:shd w:val="clear" w:color="auto" w:fill="FFFFFF"/>
          <w:lang w:val="en-US" w:eastAsia="da-DK"/>
        </w:rPr>
        <w:t>habit</w:t>
      </w:r>
      <w:r w:rsidR="00583D22" w:rsidRPr="00B735F5">
        <w:rPr>
          <w:rFonts w:eastAsia="Times New Roman" w:cs="Arial"/>
          <w:color w:val="000000"/>
          <w:shd w:val="clear" w:color="auto" w:fill="FFFFFF"/>
          <w:lang w:val="en-US" w:eastAsia="da-DK"/>
        </w:rPr>
        <w:t xml:space="preserve"> of thought and a </w:t>
      </w:r>
      <w:r w:rsidR="00583D22" w:rsidRPr="00C40A0D">
        <w:rPr>
          <w:rFonts w:eastAsia="Times New Roman" w:cs="Arial"/>
          <w:color w:val="000000" w:themeColor="text1"/>
          <w:shd w:val="clear" w:color="auto" w:fill="FFFFFF"/>
          <w:lang w:val="en-US" w:eastAsia="da-DK"/>
        </w:rPr>
        <w:t>conduct</w:t>
      </w:r>
      <w:r w:rsidR="00583D22" w:rsidRPr="00C40A0D">
        <w:rPr>
          <w:rFonts w:eastAsia="Times New Roman" w:cs="Arial"/>
          <w:color w:val="000000" w:themeColor="text1"/>
          <w:lang w:val="en-US" w:eastAsia="da-DK"/>
        </w:rPr>
        <w:t xml:space="preserve">. A man does not necessarily believe what he thinks he believes. He </w:t>
      </w:r>
      <w:r w:rsidR="00583D22" w:rsidRPr="000C3206">
        <w:rPr>
          <w:rFonts w:eastAsia="Times New Roman" w:cs="Arial"/>
          <w:color w:val="000000"/>
          <w:lang w:val="en-US" w:eastAsia="da-DK"/>
        </w:rPr>
        <w:t>only believes what he deliberately adopts and is ready to make a habit of conduct.</w:t>
      </w:r>
      <w:r w:rsidR="00630770">
        <w:rPr>
          <w:rFonts w:eastAsia="Times New Roman" w:cs="Arial"/>
          <w:color w:val="000000"/>
          <w:lang w:val="en-US" w:eastAsia="da-DK"/>
        </w:rPr>
        <w:t xml:space="preserve">” </w:t>
      </w:r>
      <w:proofErr w:type="gramStart"/>
      <w:r w:rsidR="00630770">
        <w:rPr>
          <w:rFonts w:eastAsia="Times New Roman" w:cs="Arial"/>
          <w:color w:val="000000"/>
          <w:lang w:val="en-US" w:eastAsia="da-DK"/>
        </w:rPr>
        <w:t>(“</w:t>
      </w:r>
      <w:r w:rsidR="00630770" w:rsidRPr="00FE2040">
        <w:rPr>
          <w:rFonts w:eastAsia="Times New Roman" w:cs="Arial"/>
          <w:color w:val="000000"/>
          <w:lang w:val="en-US" w:eastAsia="da-DK"/>
        </w:rPr>
        <w:t> </w:t>
      </w:r>
      <w:r w:rsidR="00630770" w:rsidRPr="000C3206">
        <w:rPr>
          <w:rFonts w:eastAsia="Times New Roman" w:cs="Arial"/>
          <w:color w:val="000000"/>
          <w:lang w:val="en-US" w:eastAsia="da-DK"/>
        </w:rPr>
        <w:t>Sketch</w:t>
      </w:r>
      <w:proofErr w:type="gramEnd"/>
      <w:r w:rsidR="00630770" w:rsidRPr="000C3206">
        <w:rPr>
          <w:rFonts w:eastAsia="Times New Roman" w:cs="Arial"/>
          <w:color w:val="000000"/>
          <w:lang w:val="en-US" w:eastAsia="da-DK"/>
        </w:rPr>
        <w:t xml:space="preserve"> of Dichotomic Mathematics</w:t>
      </w:r>
      <w:r w:rsidR="00630770">
        <w:rPr>
          <w:rFonts w:eastAsia="Times New Roman" w:cs="Arial"/>
          <w:color w:val="000000"/>
          <w:lang w:val="en-US" w:eastAsia="da-DK"/>
        </w:rPr>
        <w:t xml:space="preserve">”, 1904, </w:t>
      </w:r>
      <w:r w:rsidR="00630770" w:rsidRPr="000C3206">
        <w:rPr>
          <w:rFonts w:eastAsia="Times New Roman" w:cs="Arial"/>
          <w:color w:val="000000"/>
          <w:lang w:val="en-US" w:eastAsia="da-DK"/>
        </w:rPr>
        <w:t>NEM 4:297-8</w:t>
      </w:r>
      <w:r w:rsidR="00630770">
        <w:rPr>
          <w:rFonts w:eastAsia="Times New Roman" w:cs="Arial"/>
          <w:color w:val="000000"/>
          <w:lang w:val="en-US" w:eastAsia="da-DK"/>
        </w:rPr>
        <w:t xml:space="preserve">). </w:t>
      </w:r>
      <w:r w:rsidR="00A0155A">
        <w:rPr>
          <w:rFonts w:eastAsia="Times New Roman" w:cs="Arial"/>
          <w:color w:val="000000"/>
          <w:lang w:val="en-US" w:eastAsia="da-DK"/>
        </w:rPr>
        <w:t xml:space="preserve">Persons do not necessarily believe what they themselves think they believe. This pessimistic claim </w:t>
      </w:r>
      <w:r w:rsidR="00C40A0D">
        <w:rPr>
          <w:rFonts w:eastAsia="Times New Roman" w:cs="Arial"/>
          <w:color w:val="000000"/>
          <w:lang w:val="en-US" w:eastAsia="da-DK"/>
        </w:rPr>
        <w:t>stands</w:t>
      </w:r>
      <w:r w:rsidR="00A0155A">
        <w:rPr>
          <w:rFonts w:eastAsia="Times New Roman" w:cs="Arial"/>
          <w:color w:val="000000"/>
          <w:lang w:val="en-US" w:eastAsia="da-DK"/>
        </w:rPr>
        <w:t xml:space="preserve"> in a strange tension with the next claim: that they only believe what they deliberately decide as a habit of conduct. The former claim</w:t>
      </w:r>
      <w:r w:rsidR="00C40A0D">
        <w:rPr>
          <w:rFonts w:eastAsia="Times New Roman" w:cs="Arial"/>
          <w:color w:val="000000"/>
          <w:lang w:val="en-US" w:eastAsia="da-DK"/>
        </w:rPr>
        <w:t>s</w:t>
      </w:r>
      <w:r w:rsidR="00A0155A">
        <w:rPr>
          <w:rFonts w:eastAsia="Times New Roman" w:cs="Arial"/>
          <w:color w:val="000000"/>
          <w:lang w:val="en-US" w:eastAsia="da-DK"/>
        </w:rPr>
        <w:t xml:space="preserve"> there is a distance between believed belief and real belief; the latter that this distance may be, nonetheless, overcome by deliberate action. This </w:t>
      </w:r>
      <w:r w:rsidR="00C40A0D">
        <w:rPr>
          <w:rFonts w:eastAsia="Times New Roman" w:cs="Arial"/>
          <w:color w:val="000000"/>
          <w:lang w:val="en-US" w:eastAsia="da-DK"/>
        </w:rPr>
        <w:t xml:space="preserve">may </w:t>
      </w:r>
      <w:r w:rsidR="00A0155A">
        <w:rPr>
          <w:rFonts w:eastAsia="Times New Roman" w:cs="Arial"/>
          <w:color w:val="000000"/>
          <w:lang w:val="en-US" w:eastAsia="da-DK"/>
        </w:rPr>
        <w:t xml:space="preserve">sound like a sort of almost desperate decisionism, far from logical self-control. In this light, the actions of assertion and assent are indeed deliberate, but not necessarily subject </w:t>
      </w:r>
      <w:r w:rsidR="00514F3B">
        <w:rPr>
          <w:rFonts w:eastAsia="Times New Roman" w:cs="Arial"/>
          <w:color w:val="000000"/>
          <w:lang w:val="en-US" w:eastAsia="da-DK"/>
        </w:rPr>
        <w:t>to</w:t>
      </w:r>
      <w:r w:rsidR="00A0155A">
        <w:rPr>
          <w:rFonts w:eastAsia="Times New Roman" w:cs="Arial"/>
          <w:color w:val="000000"/>
          <w:lang w:val="en-US" w:eastAsia="da-DK"/>
        </w:rPr>
        <w:t xml:space="preserve"> meticulous self-control. The problem is related to Peirce’s pessimist suspicion that the amount of logical reasoning in everyday life is really pretty small: </w:t>
      </w:r>
    </w:p>
    <w:p w14:paraId="697A24C9" w14:textId="77777777" w:rsidR="00C40A0D" w:rsidRDefault="00C40A0D" w:rsidP="00C40A0D">
      <w:pPr>
        <w:spacing w:line="276" w:lineRule="auto"/>
        <w:rPr>
          <w:rFonts w:ascii="Calibri" w:hAnsi="Calibri" w:cs="Times New Roman"/>
          <w:lang w:val="en-US"/>
        </w:rPr>
      </w:pPr>
    </w:p>
    <w:p w14:paraId="0DE23253" w14:textId="77777777" w:rsidR="00583D22" w:rsidRPr="00C40A0D" w:rsidRDefault="00A0155A" w:rsidP="00C40A0D">
      <w:pPr>
        <w:spacing w:line="276" w:lineRule="auto"/>
        <w:rPr>
          <w:color w:val="000000" w:themeColor="text1"/>
          <w:lang w:val="en-US"/>
        </w:rPr>
      </w:pPr>
      <w:r>
        <w:rPr>
          <w:rFonts w:ascii="Calibri" w:hAnsi="Calibri" w:cs="Times New Roman"/>
          <w:lang w:val="en-US"/>
        </w:rPr>
        <w:t>“</w:t>
      </w:r>
      <w:r w:rsidR="00583D22" w:rsidRPr="00F45A8E">
        <w:rPr>
          <w:rFonts w:ascii="Calibri" w:hAnsi="Calibri" w:cs="Times New Roman"/>
          <w:lang w:val="en-US"/>
        </w:rPr>
        <w:t>Of excessively simple reasonings a great deal is done which is</w:t>
      </w:r>
      <w:r w:rsidR="00583D22">
        <w:rPr>
          <w:rFonts w:ascii="Calibri" w:hAnsi="Calibri" w:cs="Times New Roman"/>
          <w:lang w:val="en-US"/>
        </w:rPr>
        <w:t xml:space="preserve"> </w:t>
      </w:r>
      <w:r w:rsidR="00583D22" w:rsidRPr="00F45A8E">
        <w:rPr>
          <w:rFonts w:ascii="Calibri" w:hAnsi="Calibri" w:cs="Times New Roman"/>
          <w:lang w:val="en-US"/>
        </w:rPr>
        <w:t xml:space="preserve">unexceptionable. But leaving them out of account, </w:t>
      </w:r>
      <w:r w:rsidR="00583D22" w:rsidRPr="00C40A0D">
        <w:rPr>
          <w:rFonts w:ascii="Calibri" w:hAnsi="Calibri" w:cs="Times New Roman"/>
          <w:color w:val="000000" w:themeColor="text1"/>
          <w:lang w:val="en-US"/>
        </w:rPr>
        <w:t xml:space="preserve">the amount of logical reasoning that men perform is small, much smaller than is commonly supposed. It is really instinct that procures the bulk of our knowledge; and those excessively simple reasonings which conform to the requirements of logic are, as a matter of fact, mostly performed instinctively or </w:t>
      </w:r>
      <w:proofErr w:type="spellStart"/>
      <w:r w:rsidR="00583D22" w:rsidRPr="00C40A0D">
        <w:rPr>
          <w:rFonts w:ascii="Calibri" w:hAnsi="Calibri" w:cs="Times New Roman"/>
          <w:color w:val="000000" w:themeColor="text1"/>
          <w:lang w:val="en-US"/>
        </w:rPr>
        <w:t>irreflectively</w:t>
      </w:r>
      <w:proofErr w:type="spellEnd"/>
      <w:r w:rsidR="00583D22" w:rsidRPr="00C40A0D">
        <w:rPr>
          <w:rFonts w:ascii="Calibri" w:hAnsi="Calibri" w:cs="Times New Roman"/>
          <w:color w:val="000000" w:themeColor="text1"/>
          <w:lang w:val="en-US"/>
        </w:rPr>
        <w:t>.</w:t>
      </w:r>
    </w:p>
    <w:p w14:paraId="39B164EE" w14:textId="77777777" w:rsidR="00A0155A" w:rsidRPr="00C40A0D" w:rsidRDefault="00583D22" w:rsidP="00A0155A">
      <w:pPr>
        <w:spacing w:line="276" w:lineRule="auto"/>
        <w:ind w:firstLine="1304"/>
        <w:jc w:val="both"/>
        <w:rPr>
          <w:rFonts w:ascii="Calibri" w:eastAsia="Times New Roman" w:hAnsi="Calibri" w:cstheme="minorHAnsi"/>
          <w:color w:val="000000" w:themeColor="text1"/>
          <w:lang w:val="en-US" w:eastAsia="da-DK"/>
        </w:rPr>
      </w:pPr>
      <w:r w:rsidRPr="00C40A0D">
        <w:rPr>
          <w:rFonts w:ascii="Calibri" w:hAnsi="Calibri" w:cs="Times New Roman"/>
          <w:color w:val="000000" w:themeColor="text1"/>
          <w:lang w:val="en-US"/>
        </w:rPr>
        <w:t xml:space="preserve">Reasoning, properly speaking, cannot be unconsciously performed. A mental operation may be precisely like reasoning in every other respect except that it is performed unconsciously. But that one circumstance will deprive it of the title of reasoning. For </w:t>
      </w:r>
      <w:r w:rsidR="00A0155A" w:rsidRPr="00C40A0D">
        <w:rPr>
          <w:rFonts w:ascii="Calibri" w:hAnsi="Calibri" w:cs="Times New Roman"/>
          <w:color w:val="000000" w:themeColor="text1"/>
          <w:lang w:val="en-US"/>
        </w:rPr>
        <w:t>reason</w:t>
      </w:r>
      <w:r w:rsidRPr="00C40A0D">
        <w:rPr>
          <w:rFonts w:ascii="Calibri" w:hAnsi="Calibri" w:cs="Times New Roman"/>
          <w:color w:val="000000" w:themeColor="text1"/>
          <w:lang w:val="en-US"/>
        </w:rPr>
        <w:t>ing is deliberate, voluntary, critical, controlled, all of which it can only be if it is done consciously.</w:t>
      </w:r>
      <w:r w:rsidR="00A0155A" w:rsidRPr="00C40A0D">
        <w:rPr>
          <w:rFonts w:ascii="Calibri" w:hAnsi="Calibri" w:cs="Times New Roman"/>
          <w:color w:val="000000" w:themeColor="text1"/>
          <w:lang w:val="en-US"/>
        </w:rPr>
        <w:t>” (</w:t>
      </w:r>
      <w:r w:rsidR="00A0155A" w:rsidRPr="00C40A0D">
        <w:rPr>
          <w:rFonts w:ascii="Calibri" w:eastAsia="Times New Roman" w:hAnsi="Calibri" w:cstheme="minorHAnsi"/>
          <w:color w:val="000000" w:themeColor="text1"/>
          <w:lang w:val="en-US" w:eastAsia="da-DK"/>
        </w:rPr>
        <w:t>“A Classification of the Sciences”, 1903, CP 2.181-</w:t>
      </w:r>
      <w:r w:rsidR="00C829F5" w:rsidRPr="00C40A0D">
        <w:rPr>
          <w:rFonts w:ascii="Calibri" w:eastAsia="Times New Roman" w:hAnsi="Calibri" w:cstheme="minorHAnsi"/>
          <w:color w:val="000000" w:themeColor="text1"/>
          <w:lang w:val="en-US" w:eastAsia="da-DK"/>
        </w:rPr>
        <w:t>2</w:t>
      </w:r>
      <w:r w:rsidR="00A0155A" w:rsidRPr="00C40A0D">
        <w:rPr>
          <w:rFonts w:ascii="Calibri" w:eastAsia="Times New Roman" w:hAnsi="Calibri" w:cstheme="minorHAnsi"/>
          <w:color w:val="000000" w:themeColor="text1"/>
          <w:lang w:val="en-US" w:eastAsia="da-DK"/>
        </w:rPr>
        <w:t xml:space="preserve">). </w:t>
      </w:r>
    </w:p>
    <w:p w14:paraId="6579E2F0" w14:textId="77777777" w:rsidR="00C40A0D" w:rsidRDefault="00C40A0D" w:rsidP="00A0155A">
      <w:pPr>
        <w:spacing w:line="276" w:lineRule="auto"/>
        <w:ind w:firstLine="1304"/>
        <w:jc w:val="both"/>
        <w:rPr>
          <w:rFonts w:ascii="Calibri" w:eastAsia="Times New Roman" w:hAnsi="Calibri" w:cstheme="minorHAnsi"/>
          <w:color w:val="000000"/>
          <w:lang w:val="en-US" w:eastAsia="da-DK"/>
        </w:rPr>
      </w:pPr>
    </w:p>
    <w:p w14:paraId="10040149" w14:textId="77777777" w:rsidR="00A0155A" w:rsidRDefault="00A0155A" w:rsidP="00A0155A">
      <w:pPr>
        <w:spacing w:line="276" w:lineRule="auto"/>
        <w:jc w:val="both"/>
        <w:rPr>
          <w:rFonts w:ascii="Calibri" w:eastAsia="Times New Roman" w:hAnsi="Calibri" w:cstheme="minorHAnsi"/>
          <w:color w:val="000000"/>
          <w:lang w:val="en-US" w:eastAsia="da-DK"/>
        </w:rPr>
      </w:pPr>
      <w:r>
        <w:rPr>
          <w:rFonts w:ascii="Calibri" w:eastAsia="Times New Roman" w:hAnsi="Calibri" w:cstheme="minorHAnsi"/>
          <w:color w:val="000000"/>
          <w:lang w:val="en-US" w:eastAsia="da-DK"/>
        </w:rPr>
        <w:t xml:space="preserve">Here, the vast majority of knowledge is instinctive and beyond the reach of conscious, logical self-control. The same must hold for the vast majority of assertions giving public voice to </w:t>
      </w:r>
      <w:r w:rsidR="00C40A0D">
        <w:rPr>
          <w:rFonts w:ascii="Calibri" w:eastAsia="Times New Roman" w:hAnsi="Calibri" w:cstheme="minorHAnsi"/>
          <w:color w:val="000000"/>
          <w:lang w:val="en-US" w:eastAsia="da-DK"/>
        </w:rPr>
        <w:t xml:space="preserve">such </w:t>
      </w:r>
      <w:r>
        <w:rPr>
          <w:rFonts w:ascii="Calibri" w:eastAsia="Times New Roman" w:hAnsi="Calibri" w:cstheme="minorHAnsi"/>
          <w:color w:val="000000"/>
          <w:lang w:val="en-US" w:eastAsia="da-DK"/>
        </w:rPr>
        <w:t xml:space="preserve">knowledge. Here, the optimism inherent in Peirce’s enlightenment vision of the scientific community approaching truth in the limit is close to vanishing. It </w:t>
      </w:r>
      <w:r w:rsidR="00C40A0D">
        <w:rPr>
          <w:rFonts w:ascii="Calibri" w:eastAsia="Times New Roman" w:hAnsi="Calibri" w:cstheme="minorHAnsi"/>
          <w:color w:val="000000"/>
          <w:lang w:val="en-US" w:eastAsia="da-DK"/>
        </w:rPr>
        <w:t>seems to be</w:t>
      </w:r>
      <w:r>
        <w:rPr>
          <w:rFonts w:ascii="Calibri" w:eastAsia="Times New Roman" w:hAnsi="Calibri" w:cstheme="minorHAnsi"/>
          <w:color w:val="000000"/>
          <w:lang w:val="en-US" w:eastAsia="da-DK"/>
        </w:rPr>
        <w:t xml:space="preserve"> in order to prevent such a </w:t>
      </w:r>
      <w:r w:rsidR="00C829F5">
        <w:rPr>
          <w:rFonts w:ascii="Calibri" w:eastAsia="Times New Roman" w:hAnsi="Calibri" w:cstheme="minorHAnsi"/>
          <w:color w:val="000000"/>
          <w:lang w:val="en-US" w:eastAsia="da-DK"/>
        </w:rPr>
        <w:t xml:space="preserve">consequence that Peirce considerably delimits what it takes to be conscious of a piece of reasoning: </w:t>
      </w:r>
    </w:p>
    <w:p w14:paraId="04B1F6CF" w14:textId="77777777" w:rsidR="00C40A0D" w:rsidRPr="00F45A8E" w:rsidRDefault="00C40A0D" w:rsidP="00A0155A">
      <w:pPr>
        <w:spacing w:line="276" w:lineRule="auto"/>
        <w:jc w:val="both"/>
        <w:rPr>
          <w:rFonts w:ascii="Calibri" w:eastAsia="Times New Roman" w:hAnsi="Calibri" w:cstheme="minorHAnsi"/>
          <w:color w:val="000000"/>
          <w:lang w:val="en-US" w:eastAsia="da-DK"/>
        </w:rPr>
      </w:pPr>
    </w:p>
    <w:p w14:paraId="3A5619E6" w14:textId="77777777" w:rsidR="00583D22" w:rsidRPr="00C40A0D" w:rsidRDefault="00C829F5" w:rsidP="00583D22">
      <w:pPr>
        <w:autoSpaceDE w:val="0"/>
        <w:autoSpaceDN w:val="0"/>
        <w:adjustRightInd w:val="0"/>
        <w:spacing w:line="276" w:lineRule="auto"/>
        <w:rPr>
          <w:rFonts w:ascii="Calibri" w:hAnsi="Calibri" w:cs="Times New Roman"/>
          <w:color w:val="000000" w:themeColor="text1"/>
          <w:lang w:val="en-US"/>
        </w:rPr>
      </w:pPr>
      <w:r>
        <w:rPr>
          <w:rFonts w:ascii="Calibri" w:hAnsi="Calibri" w:cs="Times New Roman"/>
          <w:lang w:val="en-US"/>
        </w:rPr>
        <w:t>“</w:t>
      </w:r>
      <w:r w:rsidR="00583D22" w:rsidRPr="00F45A8E">
        <w:rPr>
          <w:rFonts w:ascii="Calibri" w:hAnsi="Calibri" w:cs="Times New Roman"/>
          <w:lang w:val="en-US"/>
        </w:rPr>
        <w:t>This does not imply that we must be aware of the whole process of the</w:t>
      </w:r>
      <w:r w:rsidR="00583D22">
        <w:rPr>
          <w:rFonts w:ascii="Calibri" w:hAnsi="Calibri" w:cs="Times New Roman"/>
          <w:lang w:val="en-US"/>
        </w:rPr>
        <w:t xml:space="preserve"> </w:t>
      </w:r>
      <w:r w:rsidR="00583D22" w:rsidRPr="00F45A8E">
        <w:rPr>
          <w:rFonts w:ascii="Calibri" w:hAnsi="Calibri" w:cs="Times New Roman"/>
          <w:lang w:val="en-US"/>
        </w:rPr>
        <w:t>mind in reasoning or, indeed, of any portion</w:t>
      </w:r>
      <w:r w:rsidR="00583D22" w:rsidRPr="005520E9">
        <w:rPr>
          <w:rFonts w:cs="Times New Roman"/>
          <w:lang w:val="en-US"/>
        </w:rPr>
        <w:t xml:space="preserve"> of it. It is very desirable to have a clear</w:t>
      </w:r>
      <w:r w:rsidR="00583D22">
        <w:rPr>
          <w:rFonts w:ascii="Calibri" w:hAnsi="Calibri" w:cs="Times New Roman"/>
          <w:lang w:val="en-US"/>
        </w:rPr>
        <w:t xml:space="preserve"> </w:t>
      </w:r>
      <w:r w:rsidR="00583D22" w:rsidRPr="005520E9">
        <w:rPr>
          <w:rFonts w:cs="Times New Roman"/>
          <w:lang w:val="en-US"/>
        </w:rPr>
        <w:t>apprehension of this distinction. We are, so to speak, responsible for the correctness</w:t>
      </w:r>
      <w:r w:rsidR="00583D22">
        <w:rPr>
          <w:rFonts w:ascii="Calibri" w:hAnsi="Calibri" w:cs="Times New Roman"/>
          <w:lang w:val="en-US"/>
        </w:rPr>
        <w:t xml:space="preserve"> </w:t>
      </w:r>
      <w:r w:rsidR="00583D22" w:rsidRPr="005520E9">
        <w:rPr>
          <w:rFonts w:cs="Times New Roman"/>
          <w:lang w:val="en-US"/>
        </w:rPr>
        <w:t xml:space="preserve">of our reasonings. That is to say, unless we </w:t>
      </w:r>
      <w:r w:rsidR="00583D22" w:rsidRPr="005520E9">
        <w:rPr>
          <w:rFonts w:cs="Times New Roman"/>
          <w:lang w:val="en-US"/>
        </w:rPr>
        <w:lastRenderedPageBreak/>
        <w:t>deliberately approve of them as rational,</w:t>
      </w:r>
      <w:r w:rsidR="00583D22">
        <w:rPr>
          <w:rFonts w:ascii="Calibri" w:hAnsi="Calibri" w:cs="Times New Roman"/>
          <w:lang w:val="en-US"/>
        </w:rPr>
        <w:t xml:space="preserve"> </w:t>
      </w:r>
      <w:r w:rsidR="00583D22" w:rsidRPr="005520E9">
        <w:rPr>
          <w:rFonts w:cs="Times New Roman"/>
          <w:lang w:val="en-US"/>
        </w:rPr>
        <w:t>they cannot properly be called reasonings. But for this purpose, all that is necessary is</w:t>
      </w:r>
      <w:r w:rsidR="00583D22">
        <w:rPr>
          <w:rFonts w:ascii="Calibri" w:hAnsi="Calibri" w:cs="Times New Roman"/>
          <w:lang w:val="en-US"/>
        </w:rPr>
        <w:t xml:space="preserve"> </w:t>
      </w:r>
      <w:r w:rsidR="00583D22" w:rsidRPr="005520E9">
        <w:rPr>
          <w:rFonts w:cs="Times New Roman"/>
          <w:lang w:val="en-US"/>
        </w:rPr>
        <w:t xml:space="preserve">that we should, in each case, compare </w:t>
      </w:r>
      <w:proofErr w:type="spellStart"/>
      <w:r w:rsidR="00583D22" w:rsidRPr="005520E9">
        <w:rPr>
          <w:rFonts w:cs="Times New Roman"/>
          <w:lang w:val="en-US"/>
        </w:rPr>
        <w:t>premisses</w:t>
      </w:r>
      <w:proofErr w:type="spellEnd"/>
      <w:r w:rsidR="00583D22" w:rsidRPr="005520E9">
        <w:rPr>
          <w:rFonts w:cs="Times New Roman"/>
          <w:lang w:val="en-US"/>
        </w:rPr>
        <w:t xml:space="preserve"> and conclusion, and observe that the</w:t>
      </w:r>
      <w:r w:rsidR="00583D22">
        <w:rPr>
          <w:rFonts w:ascii="Calibri" w:hAnsi="Calibri" w:cs="Times New Roman"/>
          <w:lang w:val="en-US"/>
        </w:rPr>
        <w:t xml:space="preserve"> </w:t>
      </w:r>
      <w:r w:rsidR="00583D22" w:rsidRPr="005520E9">
        <w:rPr>
          <w:rFonts w:cs="Times New Roman"/>
          <w:lang w:val="en-US"/>
        </w:rPr>
        <w:t xml:space="preserve">relation between the facts expressed in the </w:t>
      </w:r>
      <w:proofErr w:type="spellStart"/>
      <w:r w:rsidR="00583D22" w:rsidRPr="005520E9">
        <w:rPr>
          <w:rFonts w:cs="Times New Roman"/>
          <w:lang w:val="en-US"/>
        </w:rPr>
        <w:t>premisses</w:t>
      </w:r>
      <w:proofErr w:type="spellEnd"/>
      <w:r w:rsidR="00583D22" w:rsidRPr="005520E9">
        <w:rPr>
          <w:rFonts w:cs="Times New Roman"/>
          <w:lang w:val="en-US"/>
        </w:rPr>
        <w:t xml:space="preserve"> involves the relation between</w:t>
      </w:r>
      <w:r w:rsidR="00583D22">
        <w:rPr>
          <w:rFonts w:ascii="Calibri" w:hAnsi="Calibri" w:cs="Times New Roman"/>
          <w:lang w:val="en-US"/>
        </w:rPr>
        <w:t xml:space="preserve"> </w:t>
      </w:r>
      <w:r w:rsidR="00583D22" w:rsidRPr="005520E9">
        <w:rPr>
          <w:rFonts w:cs="Times New Roman"/>
          <w:lang w:val="en-US"/>
        </w:rPr>
        <w:t>facts implied in our confidence in the conclusion. What we call a reasoning is</w:t>
      </w:r>
      <w:r w:rsidR="00583D22">
        <w:rPr>
          <w:rFonts w:ascii="Calibri" w:hAnsi="Calibri" w:cs="Times New Roman"/>
          <w:lang w:val="en-US"/>
        </w:rPr>
        <w:t xml:space="preserve"> </w:t>
      </w:r>
      <w:r w:rsidR="00583D22" w:rsidRPr="005520E9">
        <w:rPr>
          <w:rFonts w:cs="Times New Roman"/>
          <w:lang w:val="en-US"/>
        </w:rPr>
        <w:t xml:space="preserve">something upon which </w:t>
      </w:r>
      <w:r w:rsidR="00583D22" w:rsidRPr="00C40A0D">
        <w:rPr>
          <w:rFonts w:cs="Times New Roman"/>
          <w:color w:val="000000" w:themeColor="text1"/>
          <w:lang w:val="en-US"/>
        </w:rPr>
        <w:t>we place a stamp of rational approval. In order to do that, we must know what the reasoning is. In that sense, it must be a conscious act, just as a</w:t>
      </w:r>
      <w:r w:rsidR="00583D22" w:rsidRPr="00C40A0D">
        <w:rPr>
          <w:rFonts w:ascii="Calibri" w:hAnsi="Calibri" w:cs="Times New Roman"/>
          <w:color w:val="000000" w:themeColor="text1"/>
          <w:lang w:val="en-US"/>
        </w:rPr>
        <w:t xml:space="preserve"> </w:t>
      </w:r>
      <w:r w:rsidR="00583D22" w:rsidRPr="00C40A0D">
        <w:rPr>
          <w:rFonts w:cs="Times New Roman"/>
          <w:color w:val="000000" w:themeColor="text1"/>
          <w:lang w:val="en-US"/>
        </w:rPr>
        <w:t>man is not bound by a contract if it can be proved that he signed it in his sleep. It must</w:t>
      </w:r>
      <w:r w:rsidR="00583D22" w:rsidRPr="00C40A0D">
        <w:rPr>
          <w:rFonts w:ascii="Calibri" w:hAnsi="Calibri" w:cs="Times New Roman"/>
          <w:color w:val="000000" w:themeColor="text1"/>
          <w:lang w:val="en-US"/>
        </w:rPr>
        <w:t xml:space="preserve"> </w:t>
      </w:r>
      <w:r w:rsidR="00583D22" w:rsidRPr="00C40A0D">
        <w:rPr>
          <w:rFonts w:cs="Times New Roman"/>
          <w:color w:val="000000" w:themeColor="text1"/>
          <w:lang w:val="en-US"/>
        </w:rPr>
        <w:t xml:space="preserve">be his conscious act and deed. But for that </w:t>
      </w:r>
      <w:proofErr w:type="gramStart"/>
      <w:r w:rsidR="00583D22" w:rsidRPr="00C40A0D">
        <w:rPr>
          <w:rFonts w:cs="Times New Roman"/>
          <w:color w:val="000000" w:themeColor="text1"/>
          <w:lang w:val="en-US"/>
        </w:rPr>
        <w:t>purpose</w:t>
      </w:r>
      <w:proofErr w:type="gramEnd"/>
      <w:r w:rsidR="00583D22" w:rsidRPr="00C40A0D">
        <w:rPr>
          <w:rFonts w:cs="Times New Roman"/>
          <w:color w:val="000000" w:themeColor="text1"/>
          <w:lang w:val="en-US"/>
        </w:rPr>
        <w:t xml:space="preserve"> he only needs to know the</w:t>
      </w:r>
      <w:r w:rsidR="00583D22" w:rsidRPr="00C40A0D">
        <w:rPr>
          <w:rFonts w:ascii="Calibri" w:hAnsi="Calibri" w:cs="Times New Roman"/>
          <w:color w:val="000000" w:themeColor="text1"/>
          <w:lang w:val="en-US"/>
        </w:rPr>
        <w:t xml:space="preserve"> </w:t>
      </w:r>
      <w:r w:rsidR="00583D22" w:rsidRPr="00C40A0D">
        <w:rPr>
          <w:rFonts w:cs="Times New Roman"/>
          <w:color w:val="000000" w:themeColor="text1"/>
          <w:lang w:val="en-US"/>
        </w:rPr>
        <w:t xml:space="preserve">character of the relation between the </w:t>
      </w:r>
      <w:proofErr w:type="spellStart"/>
      <w:r w:rsidR="00583D22" w:rsidRPr="00C40A0D">
        <w:rPr>
          <w:rFonts w:cs="Times New Roman"/>
          <w:color w:val="000000" w:themeColor="text1"/>
          <w:lang w:val="en-US"/>
        </w:rPr>
        <w:t>premisses</w:t>
      </w:r>
      <w:proofErr w:type="spellEnd"/>
      <w:r w:rsidR="00583D22" w:rsidRPr="00C40A0D">
        <w:rPr>
          <w:rFonts w:cs="Times New Roman"/>
          <w:color w:val="000000" w:themeColor="text1"/>
          <w:lang w:val="en-US"/>
        </w:rPr>
        <w:t xml:space="preserve"> and the conclusion. He need not know</w:t>
      </w:r>
      <w:r w:rsidR="00583D22" w:rsidRPr="00C40A0D">
        <w:rPr>
          <w:rFonts w:ascii="Calibri" w:hAnsi="Calibri" w:cs="Times New Roman"/>
          <w:color w:val="000000" w:themeColor="text1"/>
          <w:lang w:val="en-US"/>
        </w:rPr>
        <w:t xml:space="preserve"> </w:t>
      </w:r>
      <w:r w:rsidR="00583D22" w:rsidRPr="00C40A0D">
        <w:rPr>
          <w:rFonts w:cs="Times New Roman"/>
          <w:color w:val="000000" w:themeColor="text1"/>
          <w:lang w:val="en-US"/>
        </w:rPr>
        <w:t>precisely what operations the mind went through in passing from the one to the other.</w:t>
      </w:r>
      <w:r w:rsidR="00583D22" w:rsidRPr="00C40A0D">
        <w:rPr>
          <w:rFonts w:ascii="Calibri" w:hAnsi="Calibri" w:cs="Times New Roman"/>
          <w:color w:val="000000" w:themeColor="text1"/>
          <w:lang w:val="en-US"/>
        </w:rPr>
        <w:t xml:space="preserve"> </w:t>
      </w:r>
      <w:r w:rsidR="00583D22" w:rsidRPr="00C40A0D">
        <w:rPr>
          <w:rFonts w:cs="Times New Roman"/>
          <w:color w:val="000000" w:themeColor="text1"/>
          <w:lang w:val="en-US"/>
        </w:rPr>
        <w:t>That is a matter of detail which is not essential to his responsibility. The mind is like</w:t>
      </w:r>
      <w:r w:rsidR="00583D22" w:rsidRPr="00C40A0D">
        <w:rPr>
          <w:rFonts w:ascii="Calibri" w:hAnsi="Calibri" w:cs="Times New Roman"/>
          <w:color w:val="000000" w:themeColor="text1"/>
          <w:lang w:val="en-US"/>
        </w:rPr>
        <w:t xml:space="preserve"> </w:t>
      </w:r>
      <w:r w:rsidR="00583D22" w:rsidRPr="00C40A0D">
        <w:rPr>
          <w:rFonts w:cs="Times New Roman"/>
          <w:color w:val="000000" w:themeColor="text1"/>
          <w:lang w:val="en-US"/>
        </w:rPr>
        <w:t>the c</w:t>
      </w:r>
      <w:r w:rsidR="00583D22" w:rsidRPr="00C40A0D">
        <w:rPr>
          <w:rFonts w:ascii="Calibri" w:hAnsi="Calibri" w:cs="Times New Roman"/>
          <w:color w:val="000000" w:themeColor="text1"/>
          <w:lang w:val="en-US"/>
        </w:rPr>
        <w:t>onveyancer who has drawn up a deed. What books he looked into in choosing his</w:t>
      </w:r>
    </w:p>
    <w:p w14:paraId="142C56F6" w14:textId="77777777" w:rsidR="00C40A0D" w:rsidRDefault="00583D22" w:rsidP="009A6BAA">
      <w:pPr>
        <w:spacing w:line="276" w:lineRule="auto"/>
        <w:rPr>
          <w:rFonts w:cs="Times New Roman"/>
          <w:lang w:val="en-US"/>
        </w:rPr>
      </w:pPr>
      <w:r w:rsidRPr="00C40A0D">
        <w:rPr>
          <w:rFonts w:ascii="Calibri" w:hAnsi="Calibri" w:cs="Times New Roman"/>
          <w:color w:val="000000" w:themeColor="text1"/>
          <w:lang w:val="en-US"/>
        </w:rPr>
        <w:t>verbia</w:t>
      </w:r>
      <w:r w:rsidRPr="00C40A0D">
        <w:rPr>
          <w:rFonts w:cs="Times New Roman"/>
          <w:color w:val="000000" w:themeColor="text1"/>
          <w:lang w:val="en-US"/>
        </w:rPr>
        <w:t xml:space="preserve">ge is no concern of the </w:t>
      </w:r>
      <w:r w:rsidRPr="00C65885">
        <w:rPr>
          <w:rFonts w:cs="Times New Roman"/>
          <w:lang w:val="en-US"/>
        </w:rPr>
        <w:t>person who signs, provided he knows what the paper binds him to doing.</w:t>
      </w:r>
      <w:r w:rsidR="00C829F5">
        <w:rPr>
          <w:rFonts w:cs="Times New Roman"/>
          <w:lang w:val="en-US"/>
        </w:rPr>
        <w:t xml:space="preserve">” (Op. cit. 2.183) </w:t>
      </w:r>
    </w:p>
    <w:p w14:paraId="0410DD02" w14:textId="77777777" w:rsidR="00C40A0D" w:rsidRDefault="00C40A0D" w:rsidP="009A6BAA">
      <w:pPr>
        <w:spacing w:line="276" w:lineRule="auto"/>
        <w:rPr>
          <w:rFonts w:cs="Times New Roman"/>
          <w:lang w:val="en-US"/>
        </w:rPr>
      </w:pPr>
    </w:p>
    <w:p w14:paraId="15FB4DB3" w14:textId="3DA1EEE3" w:rsidR="005316AE" w:rsidRDefault="00C829F5" w:rsidP="009A6BAA">
      <w:pPr>
        <w:spacing w:line="276" w:lineRule="auto"/>
        <w:rPr>
          <w:rFonts w:cs="Times New Roman"/>
          <w:lang w:val="en-US"/>
        </w:rPr>
      </w:pPr>
      <w:r>
        <w:rPr>
          <w:rFonts w:cs="Times New Roman"/>
          <w:lang w:val="en-US"/>
        </w:rPr>
        <w:t xml:space="preserve">Peirce compares reasoning to a contract – cf. his description of the responsibility inherent in an assertion as a contract. In order to understand a contract, one must understand its logical </w:t>
      </w:r>
      <w:r>
        <w:rPr>
          <w:rFonts w:cs="Times New Roman"/>
          <w:i/>
          <w:lang w:val="en-US"/>
        </w:rPr>
        <w:t xml:space="preserve">structure: </w:t>
      </w:r>
      <w:r>
        <w:rPr>
          <w:rFonts w:cs="Times New Roman"/>
          <w:lang w:val="en-US"/>
        </w:rPr>
        <w:t xml:space="preserve"> what it compels one to do</w:t>
      </w:r>
      <w:r w:rsidR="00C40A0D">
        <w:rPr>
          <w:rFonts w:cs="Times New Roman"/>
          <w:lang w:val="en-US"/>
        </w:rPr>
        <w:t>,</w:t>
      </w:r>
      <w:r>
        <w:rPr>
          <w:rFonts w:cs="Times New Roman"/>
          <w:lang w:val="en-US"/>
        </w:rPr>
        <w:t xml:space="preserve"> if the other party fulfils </w:t>
      </w:r>
      <w:r w:rsidR="00C40A0D">
        <w:rPr>
          <w:rFonts w:cs="Times New Roman"/>
          <w:lang w:val="en-US"/>
        </w:rPr>
        <w:t>its</w:t>
      </w:r>
      <w:r>
        <w:rPr>
          <w:rFonts w:cs="Times New Roman"/>
          <w:lang w:val="en-US"/>
        </w:rPr>
        <w:t xml:space="preserve"> requirements.</w:t>
      </w:r>
      <w:r w:rsidR="00C40A0D">
        <w:rPr>
          <w:rFonts w:cs="Times New Roman"/>
          <w:lang w:val="en-US"/>
        </w:rPr>
        <w:t xml:space="preserve"> One does not have to remember the exact wording of this logical structure.</w:t>
      </w:r>
      <w:r>
        <w:rPr>
          <w:rFonts w:cs="Times New Roman"/>
          <w:lang w:val="en-US"/>
        </w:rPr>
        <w:t xml:space="preserve"> </w:t>
      </w:r>
      <w:r w:rsidR="00C40A0D">
        <w:rPr>
          <w:rFonts w:cs="Times New Roman"/>
          <w:lang w:val="en-US"/>
        </w:rPr>
        <w:t>That is, one</w:t>
      </w:r>
      <w:r>
        <w:rPr>
          <w:rFonts w:cs="Times New Roman"/>
          <w:lang w:val="en-US"/>
        </w:rPr>
        <w:t xml:space="preserve"> has to know the relation between premises and conclusion but one has no need to have conscious awareness of </w:t>
      </w:r>
      <w:r w:rsidR="00C40A0D">
        <w:rPr>
          <w:rFonts w:cs="Times New Roman"/>
          <w:lang w:val="en-US"/>
        </w:rPr>
        <w:t xml:space="preserve">the </w:t>
      </w:r>
      <w:r>
        <w:rPr>
          <w:rFonts w:cs="Times New Roman"/>
          <w:lang w:val="en-US"/>
        </w:rPr>
        <w:t>detail of psychological processes resulting in that knowledge. This forms a</w:t>
      </w:r>
      <w:r w:rsidR="005316AE">
        <w:rPr>
          <w:rFonts w:cs="Times New Roman"/>
          <w:lang w:val="en-US"/>
        </w:rPr>
        <w:t xml:space="preserve"> sort of subtle</w:t>
      </w:r>
      <w:r>
        <w:rPr>
          <w:rFonts w:cs="Times New Roman"/>
          <w:lang w:val="en-US"/>
        </w:rPr>
        <w:t xml:space="preserve"> compromise between the unconscious character of most beliefs on the one hand and the subset of logically controlled reasonings on the other. </w:t>
      </w:r>
      <w:r w:rsidR="005316AE">
        <w:rPr>
          <w:rFonts w:cs="Times New Roman"/>
          <w:lang w:val="en-US"/>
        </w:rPr>
        <w:t>Th</w:t>
      </w:r>
      <w:r w:rsidR="00B855B5">
        <w:rPr>
          <w:rFonts w:cs="Times New Roman"/>
          <w:lang w:val="en-US"/>
        </w:rPr>
        <w:t>is</w:t>
      </w:r>
      <w:r w:rsidR="005316AE">
        <w:rPr>
          <w:rFonts w:cs="Times New Roman"/>
          <w:lang w:val="en-US"/>
        </w:rPr>
        <w:t xml:space="preserve"> compromise also entails that one may logically develop the conscious parts of a belief by elaborating on further consequences in the imagination: </w:t>
      </w:r>
      <w:r w:rsidR="005316AE">
        <w:rPr>
          <w:rFonts w:ascii="Calibri" w:eastAsia="Times New Roman" w:hAnsi="Calibri" w:cs="Times New Roman"/>
          <w:lang w:val="en-US" w:eastAsia="da-DK"/>
        </w:rPr>
        <w:t xml:space="preserve">Beliefs – contrary to other habits – permit of exercising such future acts in fantasy, finetuning eventual, potential action if it once should occur in a situation. Such working on imaginary diagrams of possible future activity permits the extension of awareness of the logical structures of belief, sometimes changing those structures in new habit-taking </w:t>
      </w:r>
      <w:proofErr w:type="gramStart"/>
      <w:r w:rsidR="005316AE">
        <w:rPr>
          <w:rFonts w:ascii="Calibri" w:eastAsia="Times New Roman" w:hAnsi="Calibri" w:cs="Times New Roman"/>
          <w:lang w:val="en-US" w:eastAsia="da-DK"/>
        </w:rPr>
        <w:t>–  even</w:t>
      </w:r>
      <w:proofErr w:type="gramEnd"/>
      <w:r w:rsidR="005316AE">
        <w:rPr>
          <w:rFonts w:ascii="Calibri" w:eastAsia="Times New Roman" w:hAnsi="Calibri" w:cs="Times New Roman"/>
          <w:lang w:val="en-US" w:eastAsia="da-DK"/>
        </w:rPr>
        <w:t xml:space="preserve"> with no guarantee of ever articulating and criticizing the whole of belief which remains instinctual. </w:t>
      </w:r>
    </w:p>
    <w:p w14:paraId="64E099CD" w14:textId="00F85C25" w:rsidR="00C829F5" w:rsidRPr="009A6BAA" w:rsidRDefault="00C829F5" w:rsidP="005316AE">
      <w:pPr>
        <w:spacing w:line="276" w:lineRule="auto"/>
        <w:ind w:firstLine="1304"/>
        <w:rPr>
          <w:rFonts w:eastAsia="Times New Roman" w:cstheme="minorHAnsi"/>
          <w:color w:val="000000"/>
          <w:lang w:val="en-US" w:eastAsia="da-DK"/>
        </w:rPr>
      </w:pPr>
      <w:r>
        <w:rPr>
          <w:rFonts w:cs="Times New Roman"/>
          <w:lang w:val="en-US"/>
        </w:rPr>
        <w:t>But then</w:t>
      </w:r>
      <w:r w:rsidR="005316AE">
        <w:rPr>
          <w:rFonts w:cs="Times New Roman"/>
          <w:lang w:val="en-US"/>
        </w:rPr>
        <w:t xml:space="preserve"> what about</w:t>
      </w:r>
      <w:r>
        <w:rPr>
          <w:rFonts w:cs="Times New Roman"/>
          <w:lang w:val="en-US"/>
        </w:rPr>
        <w:t xml:space="preserve"> the </w:t>
      </w:r>
      <w:proofErr w:type="spellStart"/>
      <w:r>
        <w:rPr>
          <w:rFonts w:cs="Times New Roman"/>
          <w:lang w:val="en-US"/>
        </w:rPr>
        <w:t>decisionist</w:t>
      </w:r>
      <w:proofErr w:type="spellEnd"/>
      <w:r>
        <w:rPr>
          <w:rFonts w:cs="Times New Roman"/>
          <w:lang w:val="en-US"/>
        </w:rPr>
        <w:t xml:space="preserve"> influence on those acts which are the </w:t>
      </w:r>
      <w:r w:rsidR="00B855B5">
        <w:rPr>
          <w:rFonts w:cs="Times New Roman"/>
          <w:lang w:val="en-US"/>
        </w:rPr>
        <w:t xml:space="preserve">ultimate </w:t>
      </w:r>
      <w:r>
        <w:rPr>
          <w:rFonts w:cs="Times New Roman"/>
          <w:lang w:val="en-US"/>
        </w:rPr>
        <w:t>end</w:t>
      </w:r>
      <w:r w:rsidR="00B855B5">
        <w:rPr>
          <w:rFonts w:cs="Times New Roman"/>
          <w:lang w:val="en-US"/>
        </w:rPr>
        <w:t>s</w:t>
      </w:r>
      <w:r>
        <w:rPr>
          <w:rFonts w:cs="Times New Roman"/>
          <w:lang w:val="en-US"/>
        </w:rPr>
        <w:t xml:space="preserve"> of beliefs? “</w:t>
      </w:r>
      <w:r w:rsidR="00583D22" w:rsidRPr="00435244">
        <w:rPr>
          <w:rFonts w:ascii="Calibri" w:eastAsia="Times New Roman" w:hAnsi="Calibri" w:cs="Times New Roman"/>
          <w:shd w:val="clear" w:color="auto" w:fill="FFFFFF"/>
          <w:lang w:val="en-US" w:eastAsia="da-DK"/>
        </w:rPr>
        <w:t>By a </w:t>
      </w:r>
      <w:r w:rsidR="00583D22" w:rsidRPr="00435244">
        <w:rPr>
          <w:rFonts w:ascii="Calibri" w:eastAsia="Times New Roman" w:hAnsi="Calibri" w:cs="Times New Roman"/>
          <w:i/>
          <w:iCs/>
          <w:shd w:val="clear" w:color="auto" w:fill="FFFFFF"/>
          <w:lang w:val="en-US" w:eastAsia="da-DK"/>
        </w:rPr>
        <w:t>categorical resolution</w:t>
      </w:r>
      <w:r w:rsidR="00583D22" w:rsidRPr="00435244">
        <w:rPr>
          <w:rFonts w:ascii="Calibri" w:eastAsia="Times New Roman" w:hAnsi="Calibri" w:cs="Times New Roman"/>
          <w:shd w:val="clear" w:color="auto" w:fill="FFFFFF"/>
          <w:lang w:val="en-US" w:eastAsia="da-DK"/>
        </w:rPr>
        <w:t xml:space="preserve"> I mean a representation </w:t>
      </w:r>
      <w:r w:rsidR="00583D22" w:rsidRPr="005316AE">
        <w:rPr>
          <w:rFonts w:ascii="Calibri" w:eastAsia="Times New Roman" w:hAnsi="Calibri" w:cs="Times New Roman"/>
          <w:color w:val="000000" w:themeColor="text1"/>
          <w:shd w:val="clear" w:color="auto" w:fill="FFFFFF"/>
          <w:lang w:val="en-US" w:eastAsia="da-DK"/>
        </w:rPr>
        <w:t>to oneself that one will behave in a certain general way in a certain expected contingency, this representation being received with satisfaction, being rehearsed with pleasure, and perhaps exciting a special effort to learn it as a lesson. The purpose toward the accomplishment of which the action tends is taken for granted</w:t>
      </w:r>
      <w:r w:rsidR="00583D22" w:rsidRPr="005316AE">
        <w:rPr>
          <w:rFonts w:ascii="Calibri" w:eastAsia="Times New Roman" w:hAnsi="Calibri" w:cs="Times New Roman"/>
          <w:color w:val="000000" w:themeColor="text1"/>
          <w:lang w:val="en-US" w:eastAsia="da-DK"/>
        </w:rPr>
        <w:t>.</w:t>
      </w:r>
      <w:r w:rsidRPr="005316AE">
        <w:rPr>
          <w:rFonts w:ascii="Calibri" w:eastAsia="Times New Roman" w:hAnsi="Calibri" w:cs="Times New Roman"/>
          <w:color w:val="000000" w:themeColor="text1"/>
          <w:lang w:val="en-US" w:eastAsia="da-DK"/>
        </w:rPr>
        <w:t xml:space="preserve">” (“Pragmatism”, </w:t>
      </w:r>
      <w:proofErr w:type="spellStart"/>
      <w:r w:rsidRPr="005316AE">
        <w:rPr>
          <w:rFonts w:ascii="Calibri" w:eastAsia="Times New Roman" w:hAnsi="Calibri" w:cs="Times New Roman"/>
          <w:color w:val="000000" w:themeColor="text1"/>
          <w:lang w:val="en-US" w:eastAsia="da-DK"/>
        </w:rPr>
        <w:t>Prag</w:t>
      </w:r>
      <w:proofErr w:type="spellEnd"/>
      <w:r w:rsidRPr="005316AE">
        <w:rPr>
          <w:rFonts w:ascii="Calibri" w:eastAsia="Times New Roman" w:hAnsi="Calibri" w:cs="Times New Roman"/>
          <w:color w:val="000000" w:themeColor="text1"/>
          <w:lang w:val="en-US" w:eastAsia="da-DK"/>
        </w:rPr>
        <w:t xml:space="preserve"> [R], 1905, CP 5.517 n). </w:t>
      </w:r>
      <w:proofErr w:type="gramStart"/>
      <w:r w:rsidRPr="005316AE">
        <w:rPr>
          <w:rFonts w:ascii="Calibri" w:eastAsia="Times New Roman" w:hAnsi="Calibri" w:cs="Times New Roman"/>
          <w:color w:val="000000" w:themeColor="text1"/>
          <w:lang w:val="en-US" w:eastAsia="da-DK"/>
        </w:rPr>
        <w:t>A ”categorical</w:t>
      </w:r>
      <w:proofErr w:type="gramEnd"/>
      <w:r w:rsidRPr="005316AE">
        <w:rPr>
          <w:rFonts w:ascii="Calibri" w:eastAsia="Times New Roman" w:hAnsi="Calibri" w:cs="Times New Roman"/>
          <w:color w:val="000000" w:themeColor="text1"/>
          <w:lang w:val="en-US" w:eastAsia="da-DK"/>
        </w:rPr>
        <w:t xml:space="preserve"> resolution” – sometimes also called a ”resolve” – </w:t>
      </w:r>
      <w:r w:rsidR="005316AE" w:rsidRPr="005316AE">
        <w:rPr>
          <w:rFonts w:ascii="Calibri" w:eastAsia="Times New Roman" w:hAnsi="Calibri" w:cs="Times New Roman"/>
          <w:color w:val="000000" w:themeColor="text1"/>
          <w:lang w:val="en-US" w:eastAsia="da-DK"/>
        </w:rPr>
        <w:t>is the firm decision</w:t>
      </w:r>
      <w:r w:rsidRPr="005316AE">
        <w:rPr>
          <w:rFonts w:ascii="Calibri" w:eastAsia="Times New Roman" w:hAnsi="Calibri" w:cs="Times New Roman"/>
          <w:color w:val="000000" w:themeColor="text1"/>
          <w:lang w:val="en-US" w:eastAsia="da-DK"/>
        </w:rPr>
        <w:t xml:space="preserve"> to adopt a particular action habit in the future. </w:t>
      </w:r>
      <w:r w:rsidR="009A6BAA" w:rsidRPr="005316AE">
        <w:rPr>
          <w:rFonts w:ascii="Calibri" w:eastAsia="Times New Roman" w:hAnsi="Calibri" w:cs="Times New Roman"/>
          <w:color w:val="000000" w:themeColor="text1"/>
          <w:lang w:val="en-US" w:eastAsia="da-DK"/>
        </w:rPr>
        <w:t>Here, there is no control with the logicali</w:t>
      </w:r>
      <w:r w:rsidR="005316AE" w:rsidRPr="005316AE">
        <w:rPr>
          <w:rFonts w:ascii="Calibri" w:eastAsia="Times New Roman" w:hAnsi="Calibri" w:cs="Times New Roman"/>
          <w:color w:val="000000" w:themeColor="text1"/>
          <w:lang w:val="en-US" w:eastAsia="da-DK"/>
        </w:rPr>
        <w:t>t</w:t>
      </w:r>
      <w:r w:rsidR="009A6BAA" w:rsidRPr="005316AE">
        <w:rPr>
          <w:rFonts w:ascii="Calibri" w:eastAsia="Times New Roman" w:hAnsi="Calibri" w:cs="Times New Roman"/>
          <w:color w:val="000000" w:themeColor="text1"/>
          <w:lang w:val="en-US" w:eastAsia="da-DK"/>
        </w:rPr>
        <w:t xml:space="preserve">y of the relevant belief. This, of course, involves the possibility for the ongoing logical control of them. In the quote, Peirce describes a successful case of “categorical resolve” but it goes without saying that far from all such resolves necessarily succeed – think of the fate of most “New Years Resolutions”. The activity through which one attempts to force oneself to adopt the assent or resolve of a belief is described by Peirce as the person uttering an </w:t>
      </w:r>
      <w:r w:rsidR="009A6BAA" w:rsidRPr="005316AE">
        <w:rPr>
          <w:rFonts w:ascii="Calibri" w:eastAsia="Times New Roman" w:hAnsi="Calibri" w:cs="Times New Roman"/>
          <w:color w:val="000000" w:themeColor="text1"/>
          <w:lang w:val="en-US" w:eastAsia="da-DK"/>
        </w:rPr>
        <w:lastRenderedPageBreak/>
        <w:t xml:space="preserve">assertion in the internal dialogue with him- or herself: </w:t>
      </w:r>
      <w:r w:rsidR="009A6BAA" w:rsidRPr="00B855B5">
        <w:rPr>
          <w:rFonts w:ascii="Calibri" w:eastAsia="Times New Roman" w:hAnsi="Calibri" w:cs="Times New Roman"/>
          <w:i/>
          <w:iCs/>
          <w:color w:val="000000" w:themeColor="text1"/>
          <w:lang w:val="en-US" w:eastAsia="da-DK"/>
        </w:rPr>
        <w:t xml:space="preserve">I </w:t>
      </w:r>
      <w:proofErr w:type="spellStart"/>
      <w:proofErr w:type="gramStart"/>
      <w:r w:rsidR="009A6BAA" w:rsidRPr="00B855B5">
        <w:rPr>
          <w:rFonts w:ascii="Calibri" w:eastAsia="Times New Roman" w:hAnsi="Calibri" w:cs="Times New Roman"/>
          <w:i/>
          <w:iCs/>
          <w:color w:val="000000" w:themeColor="text1"/>
          <w:lang w:val="en-US" w:eastAsia="da-DK"/>
        </w:rPr>
        <w:t>says</w:t>
      </w:r>
      <w:proofErr w:type="spellEnd"/>
      <w:proofErr w:type="gramEnd"/>
      <w:r w:rsidR="009A6BAA" w:rsidRPr="00B855B5">
        <w:rPr>
          <w:rFonts w:ascii="Calibri" w:eastAsia="Times New Roman" w:hAnsi="Calibri" w:cs="Times New Roman"/>
          <w:i/>
          <w:iCs/>
          <w:color w:val="000000" w:themeColor="text1"/>
          <w:lang w:val="en-US" w:eastAsia="da-DK"/>
        </w:rPr>
        <w:t xml:space="preserve"> to myself</w:t>
      </w:r>
      <w:r w:rsidR="009A6BAA" w:rsidRPr="005316AE">
        <w:rPr>
          <w:rFonts w:ascii="Calibri" w:eastAsia="Times New Roman" w:hAnsi="Calibri" w:cs="Times New Roman"/>
          <w:color w:val="000000" w:themeColor="text1"/>
          <w:lang w:val="en-US" w:eastAsia="da-DK"/>
        </w:rPr>
        <w:t xml:space="preserve">: </w:t>
      </w:r>
      <w:r w:rsidR="009A6BAA" w:rsidRPr="005316AE">
        <w:rPr>
          <w:rFonts w:cstheme="minorHAnsi"/>
          <w:color w:val="000000" w:themeColor="text1"/>
          <w:lang w:val="en-US"/>
        </w:rPr>
        <w:t xml:space="preserve">“Do we not all perceive that </w:t>
      </w:r>
      <w:r w:rsidR="009A6BAA" w:rsidRPr="005316AE">
        <w:rPr>
          <w:rFonts w:cstheme="minorHAnsi"/>
          <w:i/>
          <w:color w:val="000000" w:themeColor="text1"/>
          <w:lang w:val="en-US"/>
        </w:rPr>
        <w:t>judgment</w:t>
      </w:r>
      <w:r w:rsidR="009A6BAA" w:rsidRPr="005316AE">
        <w:rPr>
          <w:rFonts w:cstheme="minorHAnsi"/>
          <w:color w:val="000000" w:themeColor="text1"/>
          <w:lang w:val="en-US"/>
        </w:rPr>
        <w:t xml:space="preserve"> is something closely allied to </w:t>
      </w:r>
      <w:r w:rsidR="009A6BAA" w:rsidRPr="005316AE">
        <w:rPr>
          <w:rFonts w:cstheme="minorHAnsi"/>
          <w:i/>
          <w:color w:val="000000" w:themeColor="text1"/>
          <w:lang w:val="en-US"/>
        </w:rPr>
        <w:t>assertion</w:t>
      </w:r>
      <w:r w:rsidR="009A6BAA" w:rsidRPr="005316AE">
        <w:rPr>
          <w:rFonts w:cstheme="minorHAnsi"/>
          <w:color w:val="000000" w:themeColor="text1"/>
          <w:lang w:val="en-US"/>
        </w:rPr>
        <w:t xml:space="preserve">? That is the view that ordinary speech entertains. A man or woman will be heard to use the phrase, "I </w:t>
      </w:r>
      <w:proofErr w:type="spellStart"/>
      <w:proofErr w:type="gramStart"/>
      <w:r w:rsidR="009A6BAA" w:rsidRPr="005316AE">
        <w:rPr>
          <w:rFonts w:cstheme="minorHAnsi"/>
          <w:color w:val="000000" w:themeColor="text1"/>
          <w:lang w:val="en-US"/>
        </w:rPr>
        <w:t>says</w:t>
      </w:r>
      <w:proofErr w:type="spellEnd"/>
      <w:proofErr w:type="gramEnd"/>
      <w:r w:rsidR="009A6BAA" w:rsidRPr="005316AE">
        <w:rPr>
          <w:rFonts w:cstheme="minorHAnsi"/>
          <w:color w:val="000000" w:themeColor="text1"/>
          <w:lang w:val="en-US"/>
        </w:rPr>
        <w:t xml:space="preserve"> to myself." That is, </w:t>
      </w:r>
      <w:r w:rsidR="009A6BAA" w:rsidRPr="005316AE">
        <w:rPr>
          <w:rFonts w:cstheme="minorHAnsi"/>
          <w:i/>
          <w:color w:val="000000" w:themeColor="text1"/>
          <w:lang w:val="en-US"/>
        </w:rPr>
        <w:t>judgment</w:t>
      </w:r>
      <w:r w:rsidR="009A6BAA" w:rsidRPr="005316AE">
        <w:rPr>
          <w:rFonts w:cstheme="minorHAnsi"/>
          <w:color w:val="000000" w:themeColor="text1"/>
          <w:lang w:val="en-US"/>
        </w:rPr>
        <w:t xml:space="preserve"> is held to be either no more than an </w:t>
      </w:r>
      <w:r w:rsidR="009A6BAA" w:rsidRPr="005316AE">
        <w:rPr>
          <w:rFonts w:cstheme="minorHAnsi"/>
          <w:i/>
          <w:color w:val="000000" w:themeColor="text1"/>
          <w:lang w:val="en-US"/>
        </w:rPr>
        <w:t>assertion to oneself</w:t>
      </w:r>
      <w:r w:rsidR="009A6BAA" w:rsidRPr="005316AE">
        <w:rPr>
          <w:rFonts w:cstheme="minorHAnsi"/>
          <w:color w:val="000000" w:themeColor="text1"/>
          <w:lang w:val="en-US"/>
        </w:rPr>
        <w:t xml:space="preserve"> or at any rate something very like that.” </w:t>
      </w:r>
      <w:proofErr w:type="gramStart"/>
      <w:r w:rsidR="009A6BAA" w:rsidRPr="005316AE">
        <w:rPr>
          <w:rFonts w:cstheme="minorHAnsi"/>
          <w:color w:val="000000" w:themeColor="text1"/>
          <w:lang w:val="en-US"/>
        </w:rPr>
        <w:t>(</w:t>
      </w:r>
      <w:r w:rsidR="009A6BAA" w:rsidRPr="005316AE">
        <w:rPr>
          <w:rFonts w:eastAsia="Times New Roman" w:cstheme="minorHAnsi"/>
          <w:color w:val="000000" w:themeColor="text1"/>
          <w:lang w:val="en-US" w:eastAsia="da-DK"/>
        </w:rPr>
        <w:t>“ Harvard</w:t>
      </w:r>
      <w:proofErr w:type="gramEnd"/>
      <w:r w:rsidR="009A6BAA" w:rsidRPr="005316AE">
        <w:rPr>
          <w:rFonts w:eastAsia="Times New Roman" w:cstheme="minorHAnsi"/>
          <w:color w:val="000000" w:themeColor="text1"/>
          <w:lang w:val="en-US" w:eastAsia="da-DK"/>
        </w:rPr>
        <w:t xml:space="preserve"> Lectures on Pragmatism: Lecture I”,  1903, PPM 116-117; CP 5.29-31)</w:t>
      </w:r>
      <w:r w:rsidR="00DE2B94" w:rsidRPr="005316AE">
        <w:rPr>
          <w:rFonts w:eastAsia="Times New Roman" w:cstheme="minorHAnsi"/>
          <w:color w:val="000000" w:themeColor="text1"/>
          <w:lang w:val="en-US" w:eastAsia="da-DK"/>
        </w:rPr>
        <w:t>. So</w:t>
      </w:r>
      <w:r w:rsidR="00B855B5">
        <w:rPr>
          <w:rFonts w:eastAsia="Times New Roman" w:cstheme="minorHAnsi"/>
          <w:color w:val="000000" w:themeColor="text1"/>
          <w:lang w:val="en-US" w:eastAsia="da-DK"/>
        </w:rPr>
        <w:t>,</w:t>
      </w:r>
      <w:r w:rsidR="00DE2B94" w:rsidRPr="005316AE">
        <w:rPr>
          <w:rFonts w:eastAsia="Times New Roman" w:cstheme="minorHAnsi"/>
          <w:color w:val="000000" w:themeColor="text1"/>
          <w:lang w:val="en-US" w:eastAsia="da-DK"/>
        </w:rPr>
        <w:t xml:space="preserve"> assertion is the vehicle for the person’s attempt to persuade not only other persons to adopt a particular habit, but also to persuade him- or herself to the same. Thus, the result </w:t>
      </w:r>
      <w:r w:rsidR="00DE2B94">
        <w:rPr>
          <w:rFonts w:eastAsia="Times New Roman" w:cstheme="minorHAnsi"/>
          <w:color w:val="000000"/>
          <w:lang w:val="en-US" w:eastAsia="da-DK"/>
        </w:rPr>
        <w:t xml:space="preserve">of this tension between instinctual belief and self-controlled reason is a role of assertion far away from a naïve, immediate theory of assertion as the expression of belief. It is rather the opposite: assertion as a means to attempt to </w:t>
      </w:r>
      <w:r w:rsidR="005316AE">
        <w:rPr>
          <w:rFonts w:eastAsia="Times New Roman" w:cstheme="minorHAnsi"/>
          <w:color w:val="000000"/>
          <w:lang w:val="en-US" w:eastAsia="da-DK"/>
        </w:rPr>
        <w:t xml:space="preserve">induce or even </w:t>
      </w:r>
      <w:r w:rsidR="00DE2B94">
        <w:rPr>
          <w:rFonts w:eastAsia="Times New Roman" w:cstheme="minorHAnsi"/>
          <w:color w:val="000000"/>
          <w:lang w:val="en-US" w:eastAsia="da-DK"/>
        </w:rPr>
        <w:t>change belief</w:t>
      </w:r>
      <w:r w:rsidR="005316AE">
        <w:rPr>
          <w:rFonts w:eastAsia="Times New Roman" w:cstheme="minorHAnsi"/>
          <w:color w:val="000000"/>
          <w:lang w:val="en-US" w:eastAsia="da-DK"/>
        </w:rPr>
        <w:t>, in others as in oneself</w:t>
      </w:r>
      <w:r w:rsidR="00DE2B94">
        <w:rPr>
          <w:rFonts w:eastAsia="Times New Roman" w:cstheme="minorHAnsi"/>
          <w:color w:val="000000"/>
          <w:lang w:val="en-US" w:eastAsia="da-DK"/>
        </w:rPr>
        <w:t>.</w:t>
      </w:r>
    </w:p>
    <w:p w14:paraId="17793C25" w14:textId="77777777" w:rsidR="00583D22" w:rsidRPr="00C829F5" w:rsidRDefault="00583D22" w:rsidP="00C829F5">
      <w:pPr>
        <w:autoSpaceDE w:val="0"/>
        <w:autoSpaceDN w:val="0"/>
        <w:adjustRightInd w:val="0"/>
        <w:spacing w:line="276" w:lineRule="auto"/>
        <w:rPr>
          <w:rFonts w:cs="Times New Roman"/>
          <w:lang w:val="en-US"/>
        </w:rPr>
      </w:pPr>
    </w:p>
    <w:p w14:paraId="210515C9" w14:textId="52F3AEAA" w:rsidR="00583D22" w:rsidRDefault="004B4C29" w:rsidP="00DE2B94">
      <w:pPr>
        <w:spacing w:line="276" w:lineRule="auto"/>
        <w:rPr>
          <w:rFonts w:eastAsia="Times New Roman" w:cs="Arial"/>
          <w:i/>
          <w:color w:val="000000"/>
          <w:lang w:val="en-US" w:eastAsia="da-DK"/>
        </w:rPr>
      </w:pPr>
      <w:proofErr w:type="spellStart"/>
      <w:r w:rsidRPr="00DE2B94">
        <w:rPr>
          <w:rFonts w:eastAsia="Times New Roman" w:cs="Arial"/>
          <w:i/>
          <w:color w:val="000000"/>
          <w:lang w:val="en-US" w:eastAsia="da-DK"/>
        </w:rPr>
        <w:t>Everyday</w:t>
      </w:r>
      <w:proofErr w:type="spellEnd"/>
      <w:r w:rsidRPr="00DE2B94">
        <w:rPr>
          <w:rFonts w:eastAsia="Times New Roman" w:cs="Arial"/>
          <w:i/>
          <w:color w:val="000000"/>
          <w:lang w:val="en-US" w:eastAsia="da-DK"/>
        </w:rPr>
        <w:t xml:space="preserve"> and scientific assertions</w:t>
      </w:r>
    </w:p>
    <w:p w14:paraId="5CC7A08A" w14:textId="77777777" w:rsidR="00B855B5" w:rsidRPr="00DE2B94" w:rsidRDefault="00B855B5" w:rsidP="00DE2B94">
      <w:pPr>
        <w:spacing w:line="276" w:lineRule="auto"/>
        <w:rPr>
          <w:rFonts w:eastAsia="Times New Roman" w:cs="Arial"/>
          <w:i/>
          <w:color w:val="000000"/>
          <w:lang w:val="en-US" w:eastAsia="da-DK"/>
        </w:rPr>
      </w:pPr>
    </w:p>
    <w:p w14:paraId="5B21784A" w14:textId="6BDA2D1E" w:rsidR="005316AE" w:rsidRDefault="00B35E89" w:rsidP="005E1119">
      <w:pPr>
        <w:spacing w:line="276" w:lineRule="auto"/>
        <w:rPr>
          <w:rFonts w:eastAsia="Times New Roman" w:cs="Arial"/>
          <w:color w:val="000000"/>
          <w:lang w:val="en-US" w:eastAsia="da-DK"/>
        </w:rPr>
      </w:pPr>
      <w:r>
        <w:rPr>
          <w:rFonts w:eastAsia="Times New Roman" w:cs="Arial"/>
          <w:color w:val="000000"/>
          <w:lang w:val="en-US" w:eastAsia="da-DK"/>
        </w:rPr>
        <w:t>This tension between belief and reason is also behind a surprising distinction between colloquial and scientific assertions: “</w:t>
      </w:r>
      <w:r w:rsidR="00152A63" w:rsidRPr="00032549">
        <w:rPr>
          <w:rFonts w:eastAsia="Times New Roman" w:cs="Arial"/>
          <w:color w:val="000000"/>
          <w:lang w:val="en-US" w:eastAsia="da-DK"/>
        </w:rPr>
        <w:t>Hence, I hold that what is properly and usually called </w:t>
      </w:r>
      <w:r w:rsidR="00152A63" w:rsidRPr="00032549">
        <w:rPr>
          <w:rFonts w:eastAsia="Times New Roman" w:cs="Arial"/>
          <w:i/>
          <w:iCs/>
          <w:color w:val="000000"/>
          <w:lang w:val="en-US" w:eastAsia="da-DK"/>
        </w:rPr>
        <w:t>belief</w:t>
      </w:r>
      <w:r w:rsidR="00152A63" w:rsidRPr="00032549">
        <w:rPr>
          <w:rFonts w:eastAsia="Times New Roman" w:cs="Arial"/>
          <w:color w:val="000000"/>
          <w:lang w:val="en-US" w:eastAsia="da-DK"/>
        </w:rPr>
        <w:t>, that is, the adoption of a proposition as a {</w:t>
      </w:r>
      <w:proofErr w:type="spellStart"/>
      <w:r w:rsidR="00152A63" w:rsidRPr="00032549">
        <w:rPr>
          <w:rFonts w:eastAsia="Times New Roman" w:cs="Arial"/>
          <w:color w:val="000000"/>
          <w:lang w:val="en-US" w:eastAsia="da-DK"/>
        </w:rPr>
        <w:t>ktéma</w:t>
      </w:r>
      <w:proofErr w:type="spellEnd"/>
      <w:r w:rsidR="00152A63" w:rsidRPr="00032549">
        <w:rPr>
          <w:rFonts w:eastAsia="Times New Roman" w:cs="Arial"/>
          <w:color w:val="000000"/>
          <w:lang w:val="en-US" w:eastAsia="da-DK"/>
        </w:rPr>
        <w:t xml:space="preserve"> es </w:t>
      </w:r>
      <w:proofErr w:type="spellStart"/>
      <w:r w:rsidR="00152A63" w:rsidRPr="00032549">
        <w:rPr>
          <w:rFonts w:eastAsia="Times New Roman" w:cs="Arial"/>
          <w:color w:val="000000"/>
          <w:lang w:val="en-US" w:eastAsia="da-DK"/>
        </w:rPr>
        <w:t>aei</w:t>
      </w:r>
      <w:proofErr w:type="spellEnd"/>
      <w:r w:rsidR="00152A63" w:rsidRPr="00032549">
        <w:rPr>
          <w:rFonts w:eastAsia="Times New Roman" w:cs="Arial"/>
          <w:color w:val="000000"/>
          <w:lang w:val="en-US" w:eastAsia="da-DK"/>
        </w:rPr>
        <w:t>} [</w:t>
      </w:r>
      <w:r>
        <w:rPr>
          <w:rFonts w:eastAsia="Times New Roman" w:cs="Arial"/>
          <w:color w:val="000000"/>
          <w:lang w:val="en-US" w:eastAsia="da-DK"/>
        </w:rPr>
        <w:t>that is, a precious or invaluable piece of property, fs</w:t>
      </w:r>
      <w:r w:rsidR="00152A63" w:rsidRPr="00032549">
        <w:rPr>
          <w:rFonts w:eastAsia="Times New Roman" w:cs="Arial"/>
          <w:color w:val="000000"/>
          <w:lang w:val="en-US" w:eastAsia="da-DK"/>
        </w:rPr>
        <w:t xml:space="preserve">] to use the energetic phrase of Doctor </w:t>
      </w:r>
      <w:proofErr w:type="spellStart"/>
      <w:r w:rsidR="00152A63" w:rsidRPr="00032549">
        <w:rPr>
          <w:rFonts w:eastAsia="Times New Roman" w:cs="Arial"/>
          <w:color w:val="000000"/>
          <w:lang w:val="en-US" w:eastAsia="da-DK"/>
        </w:rPr>
        <w:t>Carus</w:t>
      </w:r>
      <w:proofErr w:type="spellEnd"/>
      <w:r w:rsidR="00152A63" w:rsidRPr="00032549">
        <w:rPr>
          <w:rFonts w:eastAsia="Times New Roman" w:cs="Arial"/>
          <w:color w:val="000000"/>
          <w:lang w:val="en-US" w:eastAsia="da-DK"/>
        </w:rPr>
        <w:t>, has no place in science at all. We </w:t>
      </w:r>
      <w:r w:rsidR="00152A63" w:rsidRPr="00032549">
        <w:rPr>
          <w:rFonts w:eastAsia="Times New Roman" w:cs="Arial"/>
          <w:i/>
          <w:iCs/>
          <w:color w:val="000000"/>
          <w:lang w:val="en-US" w:eastAsia="da-DK"/>
        </w:rPr>
        <w:t>believe</w:t>
      </w:r>
      <w:r w:rsidR="00152A63" w:rsidRPr="00032549">
        <w:rPr>
          <w:rFonts w:eastAsia="Times New Roman" w:cs="Arial"/>
          <w:color w:val="000000"/>
          <w:lang w:val="en-US" w:eastAsia="da-DK"/>
        </w:rPr>
        <w:t> the proposition we are ready to act upon. </w:t>
      </w:r>
      <w:r w:rsidR="00152A63" w:rsidRPr="00032549">
        <w:rPr>
          <w:rFonts w:eastAsia="Times New Roman" w:cs="Arial"/>
          <w:i/>
          <w:iCs/>
          <w:color w:val="000000"/>
          <w:lang w:val="en-US" w:eastAsia="da-DK"/>
        </w:rPr>
        <w:t>Full belief</w:t>
      </w:r>
      <w:r w:rsidR="00152A63" w:rsidRPr="00032549">
        <w:rPr>
          <w:rFonts w:eastAsia="Times New Roman" w:cs="Arial"/>
          <w:color w:val="000000"/>
          <w:lang w:val="en-US" w:eastAsia="da-DK"/>
        </w:rPr>
        <w:t> is willingness to act upon the proposition in vital crises, </w:t>
      </w:r>
      <w:r w:rsidR="00152A63" w:rsidRPr="00032549">
        <w:rPr>
          <w:rFonts w:eastAsia="Times New Roman" w:cs="Arial"/>
          <w:i/>
          <w:iCs/>
          <w:color w:val="000000"/>
          <w:lang w:val="en-US" w:eastAsia="da-DK"/>
        </w:rPr>
        <w:t>opinion</w:t>
      </w:r>
      <w:r w:rsidR="00152A63" w:rsidRPr="00032549">
        <w:rPr>
          <w:rFonts w:eastAsia="Times New Roman" w:cs="Arial"/>
          <w:color w:val="000000"/>
          <w:lang w:val="en-US" w:eastAsia="da-DK"/>
        </w:rPr>
        <w:t> is willingness to act upon it in relatively insignificant affairs. But pure science has nothing at all to do with </w:t>
      </w:r>
      <w:r w:rsidR="00152A63" w:rsidRPr="00032549">
        <w:rPr>
          <w:rFonts w:eastAsia="Times New Roman" w:cs="Arial"/>
          <w:i/>
          <w:iCs/>
          <w:color w:val="000000"/>
          <w:lang w:val="en-US" w:eastAsia="da-DK"/>
        </w:rPr>
        <w:t>action</w:t>
      </w:r>
      <w:r w:rsidR="00152A63" w:rsidRPr="00032549">
        <w:rPr>
          <w:rFonts w:eastAsia="Times New Roman" w:cs="Arial"/>
          <w:color w:val="000000"/>
          <w:lang w:val="en-US" w:eastAsia="da-DK"/>
        </w:rPr>
        <w:t xml:space="preserve">. The propositions it accepts, it merely writes in the list of </w:t>
      </w:r>
      <w:proofErr w:type="spellStart"/>
      <w:r w:rsidR="00152A63" w:rsidRPr="00032549">
        <w:rPr>
          <w:rFonts w:eastAsia="Times New Roman" w:cs="Arial"/>
          <w:color w:val="000000"/>
          <w:lang w:val="en-US" w:eastAsia="da-DK"/>
        </w:rPr>
        <w:t>premisses</w:t>
      </w:r>
      <w:proofErr w:type="spellEnd"/>
      <w:r w:rsidR="00152A63" w:rsidRPr="00032549">
        <w:rPr>
          <w:rFonts w:eastAsia="Times New Roman" w:cs="Arial"/>
          <w:color w:val="000000"/>
          <w:lang w:val="en-US" w:eastAsia="da-DK"/>
        </w:rPr>
        <w:t xml:space="preserve"> it proposes to use. Nothing is </w:t>
      </w:r>
      <w:r w:rsidR="00152A63" w:rsidRPr="00032549">
        <w:rPr>
          <w:rFonts w:eastAsia="Times New Roman" w:cs="Arial"/>
          <w:i/>
          <w:iCs/>
          <w:color w:val="000000"/>
          <w:lang w:val="en-US" w:eastAsia="da-DK"/>
        </w:rPr>
        <w:t>vital </w:t>
      </w:r>
      <w:r w:rsidR="00152A63" w:rsidRPr="00032549">
        <w:rPr>
          <w:rFonts w:eastAsia="Times New Roman" w:cs="Arial"/>
          <w:color w:val="000000"/>
          <w:lang w:val="en-US" w:eastAsia="da-DK"/>
        </w:rPr>
        <w:t>for science; nothing can be. Its accepted propositions, therefore, are but opinions at most; and the whole list is provisional. The scientific man is not in the least wedded to his conclusions.</w:t>
      </w:r>
      <w:r>
        <w:rPr>
          <w:rFonts w:eastAsia="Times New Roman" w:cs="Arial"/>
          <w:color w:val="000000"/>
          <w:lang w:val="en-US" w:eastAsia="da-DK"/>
        </w:rPr>
        <w:t>” (“</w:t>
      </w:r>
      <w:r w:rsidRPr="00032549">
        <w:rPr>
          <w:rFonts w:eastAsia="Times New Roman" w:cs="Arial"/>
          <w:color w:val="000000"/>
          <w:lang w:val="en-US" w:eastAsia="da-DK"/>
        </w:rPr>
        <w:t>Cambridge Lectures on Reasoning and the Logic of Things: Philosophy and the Conduct of Life</w:t>
      </w:r>
      <w:r>
        <w:rPr>
          <w:rFonts w:eastAsia="Times New Roman" w:cs="Arial"/>
          <w:color w:val="000000"/>
          <w:lang w:val="en-US" w:eastAsia="da-DK"/>
        </w:rPr>
        <w:t>”, 1898</w:t>
      </w:r>
      <w:r w:rsidRPr="00032549">
        <w:rPr>
          <w:rFonts w:eastAsia="Times New Roman" w:cs="Arial"/>
          <w:color w:val="000000"/>
          <w:lang w:val="en-US" w:eastAsia="da-DK"/>
        </w:rPr>
        <w:t> CP 1.635</w:t>
      </w:r>
      <w:r>
        <w:rPr>
          <w:rFonts w:eastAsia="Times New Roman" w:cs="Arial"/>
          <w:color w:val="000000"/>
          <w:lang w:val="en-US" w:eastAsia="da-DK"/>
        </w:rPr>
        <w:t xml:space="preserve">). In the pragmatism papers of 1878, it was implicitly understood that the analysis of the third degree of conceptual clarity held for all beliefs, scientific or not – and that the adoption of the principle might aid the clarification of concepts particularly in the scientific field. That principle is completely given up here: the pragmatic maxim is all but deemed irrelevant to science because </w:t>
      </w:r>
      <w:r w:rsidR="005316AE">
        <w:rPr>
          <w:rFonts w:eastAsia="Times New Roman" w:cs="Arial"/>
          <w:color w:val="000000"/>
          <w:lang w:val="en-US" w:eastAsia="da-DK"/>
        </w:rPr>
        <w:t>the</w:t>
      </w:r>
      <w:r>
        <w:rPr>
          <w:rFonts w:eastAsia="Times New Roman" w:cs="Arial"/>
          <w:color w:val="000000"/>
          <w:lang w:val="en-US" w:eastAsia="da-DK"/>
        </w:rPr>
        <w:t xml:space="preserve"> purpose</w:t>
      </w:r>
      <w:r w:rsidR="005316AE">
        <w:rPr>
          <w:rFonts w:eastAsia="Times New Roman" w:cs="Arial"/>
          <w:color w:val="000000"/>
          <w:lang w:val="en-US" w:eastAsia="da-DK"/>
        </w:rPr>
        <w:t xml:space="preserve"> of science</w:t>
      </w:r>
      <w:r>
        <w:rPr>
          <w:rFonts w:eastAsia="Times New Roman" w:cs="Arial"/>
          <w:color w:val="000000"/>
          <w:lang w:val="en-US" w:eastAsia="da-DK"/>
        </w:rPr>
        <w:t xml:space="preserve"> is tentative understanding, not action. </w:t>
      </w:r>
      <w:r w:rsidR="00476F4A">
        <w:rPr>
          <w:rFonts w:eastAsia="Times New Roman" w:cs="Arial"/>
          <w:color w:val="000000"/>
          <w:lang w:val="en-US" w:eastAsia="da-DK"/>
        </w:rPr>
        <w:t xml:space="preserve">But would that imply that the scientist does not make judgments and </w:t>
      </w:r>
      <w:r w:rsidR="005316AE">
        <w:rPr>
          <w:rFonts w:eastAsia="Times New Roman" w:cs="Arial"/>
          <w:color w:val="000000"/>
          <w:lang w:val="en-US" w:eastAsia="da-DK"/>
        </w:rPr>
        <w:t xml:space="preserve">does not </w:t>
      </w:r>
      <w:r w:rsidR="00476F4A">
        <w:rPr>
          <w:rFonts w:eastAsia="Times New Roman" w:cs="Arial"/>
          <w:color w:val="000000"/>
          <w:lang w:val="en-US" w:eastAsia="da-DK"/>
        </w:rPr>
        <w:t xml:space="preserve">assent to his or her conclusions, that the scientist’s presentation of results makes no use of assertions? </w:t>
      </w:r>
      <w:r w:rsidR="00476F4A" w:rsidRPr="00476F4A">
        <w:rPr>
          <w:rFonts w:eastAsia="Times New Roman" w:cs="Arial"/>
          <w:color w:val="000000"/>
          <w:lang w:val="en-US" w:eastAsia="da-DK"/>
        </w:rPr>
        <w:t xml:space="preserve">It is a very weak portrayal of science Peirce gives here, even </w:t>
      </w:r>
      <w:r w:rsidR="00476F4A">
        <w:rPr>
          <w:rFonts w:eastAsia="Times New Roman" w:cs="Arial"/>
          <w:color w:val="000000"/>
          <w:lang w:val="en-US" w:eastAsia="da-DK"/>
        </w:rPr>
        <w:t xml:space="preserve">given the constraints of fallibilism: science </w:t>
      </w:r>
      <w:r w:rsidR="00390924">
        <w:rPr>
          <w:rFonts w:eastAsia="Times New Roman" w:cs="Arial"/>
          <w:color w:val="000000"/>
          <w:lang w:val="en-US" w:eastAsia="da-DK"/>
        </w:rPr>
        <w:t>is</w:t>
      </w:r>
      <w:r w:rsidR="00476F4A">
        <w:rPr>
          <w:rFonts w:eastAsia="Times New Roman" w:cs="Arial"/>
          <w:color w:val="000000"/>
          <w:lang w:val="en-US" w:eastAsia="da-DK"/>
        </w:rPr>
        <w:t xml:space="preserve"> but a bundle of preliminary opinions. The quote is from the mid-1890s, arguably a period in which Peirce comes closer</w:t>
      </w:r>
      <w:r w:rsidR="00B855B5">
        <w:rPr>
          <w:rFonts w:eastAsia="Times New Roman" w:cs="Arial"/>
          <w:color w:val="000000"/>
          <w:lang w:val="en-US" w:eastAsia="da-DK"/>
        </w:rPr>
        <w:t xml:space="preserve"> than ever</w:t>
      </w:r>
      <w:r w:rsidR="00476F4A">
        <w:rPr>
          <w:rFonts w:eastAsia="Times New Roman" w:cs="Arial"/>
          <w:color w:val="000000"/>
          <w:lang w:val="en-US" w:eastAsia="da-DK"/>
        </w:rPr>
        <w:t xml:space="preserve"> to </w:t>
      </w:r>
      <w:proofErr w:type="spellStart"/>
      <w:r w:rsidR="00476F4A">
        <w:rPr>
          <w:rFonts w:eastAsia="Times New Roman" w:cs="Arial"/>
          <w:color w:val="000000"/>
          <w:lang w:val="en-US" w:eastAsia="da-DK"/>
        </w:rPr>
        <w:t>psychologism</w:t>
      </w:r>
      <w:proofErr w:type="spellEnd"/>
      <w:r w:rsidR="00476F4A">
        <w:rPr>
          <w:rFonts w:eastAsia="Times New Roman" w:cs="Arial"/>
          <w:color w:val="000000"/>
          <w:lang w:val="en-US" w:eastAsia="da-DK"/>
        </w:rPr>
        <w:t xml:space="preserve"> and skepticism, but which he resolutely leaves in the next years: </w:t>
      </w:r>
    </w:p>
    <w:p w14:paraId="2E109888" w14:textId="77777777" w:rsidR="005316AE" w:rsidRDefault="005316AE" w:rsidP="005E1119">
      <w:pPr>
        <w:spacing w:line="276" w:lineRule="auto"/>
        <w:rPr>
          <w:rFonts w:eastAsia="Times New Roman" w:cs="Arial"/>
          <w:color w:val="000000"/>
          <w:lang w:val="en-US" w:eastAsia="da-DK"/>
        </w:rPr>
      </w:pPr>
    </w:p>
    <w:p w14:paraId="4DB87797" w14:textId="77777777" w:rsidR="005316AE" w:rsidRDefault="00476F4A" w:rsidP="005E1119">
      <w:pPr>
        <w:spacing w:line="276" w:lineRule="auto"/>
        <w:rPr>
          <w:rFonts w:eastAsia="Times New Roman" w:cs="Arial"/>
          <w:color w:val="000000"/>
          <w:lang w:val="en-US" w:eastAsia="da-DK"/>
        </w:rPr>
      </w:pPr>
      <w:r>
        <w:rPr>
          <w:rFonts w:eastAsia="Times New Roman" w:cs="Arial"/>
          <w:color w:val="000000"/>
          <w:lang w:val="en-US" w:eastAsia="da-DK"/>
        </w:rPr>
        <w:t>“</w:t>
      </w:r>
      <w:r w:rsidRPr="00C65885">
        <w:rPr>
          <w:rFonts w:eastAsia="Times New Roman" w:cs="Arial"/>
          <w:color w:val="000000"/>
          <w:lang w:val="en-US" w:eastAsia="da-DK"/>
        </w:rPr>
        <w:t>But in science instinct can play but a secondary </w:t>
      </w:r>
      <w:proofErr w:type="spellStart"/>
      <w:r w:rsidRPr="00C65885">
        <w:rPr>
          <w:rFonts w:eastAsia="Times New Roman" w:cs="Arial"/>
          <w:i/>
          <w:iCs/>
          <w:color w:val="000000"/>
          <w:lang w:val="en-US" w:eastAsia="da-DK"/>
        </w:rPr>
        <w:t>rôle</w:t>
      </w:r>
      <w:proofErr w:type="spellEnd"/>
      <w:r w:rsidRPr="00C65885">
        <w:rPr>
          <w:rFonts w:eastAsia="Times New Roman" w:cs="Arial"/>
          <w:color w:val="000000"/>
          <w:lang w:val="en-US" w:eastAsia="da-DK"/>
        </w:rPr>
        <w:t xml:space="preserve">. The reason of this is that our instincts are adapted to the continuance of the race and thus to individual life. But science has an indefinite future before it; and what it aims at is to gain the greatest possible advance in knowledge in five centuries or ten. Instinct not being adapted to this </w:t>
      </w:r>
      <w:proofErr w:type="gramStart"/>
      <w:r w:rsidRPr="00C65885">
        <w:rPr>
          <w:rFonts w:eastAsia="Times New Roman" w:cs="Arial"/>
          <w:color w:val="000000"/>
          <w:lang w:val="en-US" w:eastAsia="da-DK"/>
        </w:rPr>
        <w:t>purpose,</w:t>
      </w:r>
      <w:proofErr w:type="gramEnd"/>
      <w:r w:rsidRPr="00C65885">
        <w:rPr>
          <w:rFonts w:eastAsia="Times New Roman" w:cs="Arial"/>
          <w:color w:val="000000"/>
          <w:lang w:val="en-US" w:eastAsia="da-DK"/>
        </w:rPr>
        <w:t xml:space="preserve"> the methods of science must be artificial. As Professor Trowbridge hints, pure science has nothing to do with </w:t>
      </w:r>
      <w:r w:rsidRPr="00C65885">
        <w:rPr>
          <w:rFonts w:eastAsia="Times New Roman" w:cs="Arial"/>
          <w:i/>
          <w:iCs/>
          <w:color w:val="000000"/>
          <w:lang w:val="en-US" w:eastAsia="da-DK"/>
        </w:rPr>
        <w:t>belief</w:t>
      </w:r>
      <w:r w:rsidRPr="00C65885">
        <w:rPr>
          <w:rFonts w:eastAsia="Times New Roman" w:cs="Arial"/>
          <w:color w:val="000000"/>
          <w:lang w:val="en-US" w:eastAsia="da-DK"/>
        </w:rPr>
        <w:t>. </w:t>
      </w:r>
      <w:r w:rsidRPr="00C65885">
        <w:rPr>
          <w:rFonts w:eastAsia="Times New Roman" w:cs="Arial"/>
          <w:color w:val="000000"/>
          <w:shd w:val="clear" w:color="auto" w:fill="FFFFFF"/>
          <w:lang w:val="en-US" w:eastAsia="da-DK"/>
        </w:rPr>
        <w:t xml:space="preserve">What </w:t>
      </w:r>
      <w:r w:rsidRPr="00C65885">
        <w:rPr>
          <w:rFonts w:eastAsia="Times New Roman" w:cs="Arial"/>
          <w:color w:val="000000"/>
          <w:shd w:val="clear" w:color="auto" w:fill="FFFFFF"/>
          <w:lang w:val="en-US" w:eastAsia="da-DK"/>
        </w:rPr>
        <w:lastRenderedPageBreak/>
        <w:t>I </w:t>
      </w:r>
      <w:r w:rsidRPr="00C65885">
        <w:rPr>
          <w:rFonts w:eastAsia="Times New Roman" w:cs="Arial"/>
          <w:i/>
          <w:iCs/>
          <w:color w:val="000000"/>
          <w:shd w:val="clear" w:color="auto" w:fill="FFFFFF"/>
          <w:lang w:val="en-US" w:eastAsia="da-DK"/>
        </w:rPr>
        <w:t>believe</w:t>
      </w:r>
      <w:r w:rsidRPr="00C65885">
        <w:rPr>
          <w:rFonts w:eastAsia="Times New Roman" w:cs="Arial"/>
          <w:color w:val="000000"/>
          <w:shd w:val="clear" w:color="auto" w:fill="FFFFFF"/>
          <w:lang w:val="en-US" w:eastAsia="da-DK"/>
        </w:rPr>
        <w:t> is what I am prepared to go on today.</w:t>
      </w:r>
      <w:r w:rsidRPr="00C65885">
        <w:rPr>
          <w:rFonts w:eastAsia="Times New Roman" w:cs="Arial"/>
          <w:color w:val="000000"/>
          <w:lang w:val="en-US" w:eastAsia="da-DK"/>
        </w:rPr>
        <w:t xml:space="preserve"> Imagine a general besieging a city. He sits in his tent at night preparing the details of his plan of action for the morrow. He finds that what his orders ought to be and perhaps the whole fate of his army depend upon a certain question of topography concerning which he is in need of information. He sends for his best engineer officer, – a highly scientific man, – and asks how he is to ascertain the fact in question. The officer replies, “There is only one possible way of ascertaining that. </w:t>
      </w:r>
      <w:proofErr w:type="gramStart"/>
      <w:r w:rsidRPr="00C65885">
        <w:rPr>
          <w:rFonts w:eastAsia="Times New Roman" w:cs="Arial"/>
          <w:color w:val="000000"/>
          <w:lang w:val="en-US" w:eastAsia="da-DK"/>
        </w:rPr>
        <w:t>So</w:t>
      </w:r>
      <w:proofErr w:type="gramEnd"/>
      <w:r w:rsidRPr="00C65885">
        <w:rPr>
          <w:rFonts w:eastAsia="Times New Roman" w:cs="Arial"/>
          <w:color w:val="000000"/>
          <w:lang w:val="en-US" w:eastAsia="da-DK"/>
        </w:rPr>
        <w:t xml:space="preserve"> and so must be done.” “How long will that take?” “Two or three months.” The general dismisses the man of science, – as Napoleon dismissed Laplace, – and sends for another officer, not half so scientific, but good at guessing. What this officer shall say, the general will go by. He will adopt it as his belief.</w:t>
      </w:r>
      <w:r>
        <w:rPr>
          <w:rFonts w:eastAsia="Times New Roman" w:cs="Arial"/>
          <w:color w:val="000000"/>
          <w:lang w:val="en-US" w:eastAsia="da-DK"/>
        </w:rPr>
        <w:t>” (“</w:t>
      </w:r>
      <w:r w:rsidRPr="00C65885">
        <w:rPr>
          <w:rFonts w:eastAsia="Times New Roman" w:cs="Arial"/>
          <w:color w:val="000000"/>
          <w:lang w:val="en-US" w:eastAsia="da-DK"/>
        </w:rPr>
        <w:t>Telepathy</w:t>
      </w:r>
      <w:r>
        <w:rPr>
          <w:rFonts w:eastAsia="Times New Roman" w:cs="Arial"/>
          <w:color w:val="000000"/>
          <w:lang w:val="en-US" w:eastAsia="da-DK"/>
        </w:rPr>
        <w:t xml:space="preserve">”, 1903, </w:t>
      </w:r>
      <w:r w:rsidRPr="00C65885">
        <w:rPr>
          <w:rFonts w:eastAsia="Times New Roman" w:cs="Arial"/>
          <w:color w:val="000000"/>
          <w:lang w:val="en-US" w:eastAsia="da-DK"/>
        </w:rPr>
        <w:t>CP 7.606</w:t>
      </w:r>
      <w:r>
        <w:rPr>
          <w:rFonts w:eastAsia="Times New Roman" w:cs="Arial"/>
          <w:color w:val="000000"/>
          <w:lang w:val="en-US" w:eastAsia="da-DK"/>
        </w:rPr>
        <w:t xml:space="preserve">). </w:t>
      </w:r>
    </w:p>
    <w:p w14:paraId="38D0C20F" w14:textId="77777777" w:rsidR="005316AE" w:rsidRDefault="005316AE" w:rsidP="005E1119">
      <w:pPr>
        <w:spacing w:line="276" w:lineRule="auto"/>
        <w:rPr>
          <w:rFonts w:eastAsia="Times New Roman" w:cs="Arial"/>
          <w:color w:val="000000"/>
          <w:lang w:val="en-US" w:eastAsia="da-DK"/>
        </w:rPr>
      </w:pPr>
    </w:p>
    <w:p w14:paraId="3BB189FF" w14:textId="77777777" w:rsidR="00583D22" w:rsidRPr="005E1119" w:rsidRDefault="00476F4A" w:rsidP="005E1119">
      <w:pPr>
        <w:spacing w:line="276" w:lineRule="auto"/>
        <w:rPr>
          <w:rFonts w:eastAsia="Times New Roman" w:cs="Arial"/>
          <w:color w:val="000000"/>
          <w:lang w:val="en-US" w:eastAsia="da-DK"/>
        </w:rPr>
      </w:pPr>
      <w:r>
        <w:rPr>
          <w:rFonts w:eastAsia="Times New Roman" w:cs="Arial"/>
          <w:color w:val="000000"/>
          <w:lang w:val="en-US" w:eastAsia="da-DK"/>
        </w:rPr>
        <w:t>Here, the tension between ordinary, individual belief on the one hand and collective science is maintained, but the analysis of the difference differ</w:t>
      </w:r>
      <w:r w:rsidR="00426006">
        <w:rPr>
          <w:rFonts w:eastAsia="Times New Roman" w:cs="Arial"/>
          <w:color w:val="000000"/>
          <w:lang w:val="en-US" w:eastAsia="da-DK"/>
        </w:rPr>
        <w:t>s</w:t>
      </w:r>
      <w:r>
        <w:rPr>
          <w:rFonts w:eastAsia="Times New Roman" w:cs="Arial"/>
          <w:color w:val="000000"/>
          <w:lang w:val="en-US" w:eastAsia="da-DK"/>
        </w:rPr>
        <w:t xml:space="preserve">. Science is systematically critical against belief and instinct, because their </w:t>
      </w:r>
      <w:r w:rsidRPr="00476F4A">
        <w:rPr>
          <w:rFonts w:eastAsia="Times New Roman" w:cs="Arial"/>
          <w:i/>
          <w:color w:val="000000"/>
          <w:lang w:val="en-US" w:eastAsia="da-DK"/>
        </w:rPr>
        <w:t>purpose</w:t>
      </w:r>
      <w:r>
        <w:rPr>
          <w:rFonts w:eastAsia="Times New Roman" w:cs="Arial"/>
          <w:color w:val="000000"/>
          <w:lang w:val="en-US" w:eastAsia="da-DK"/>
        </w:rPr>
        <w:t xml:space="preserve"> differs: theirs is that of the survival of the individual, that of science is the advance of </w:t>
      </w:r>
      <w:r w:rsidR="00426006">
        <w:rPr>
          <w:rFonts w:eastAsia="Times New Roman" w:cs="Arial"/>
          <w:color w:val="000000"/>
          <w:lang w:val="en-US" w:eastAsia="da-DK"/>
        </w:rPr>
        <w:t xml:space="preserve">collective </w:t>
      </w:r>
      <w:r>
        <w:rPr>
          <w:rFonts w:eastAsia="Times New Roman" w:cs="Arial"/>
          <w:color w:val="000000"/>
          <w:lang w:val="en-US" w:eastAsia="da-DK"/>
        </w:rPr>
        <w:t xml:space="preserve">knowledge in the limit. The sneaking skepticism of the former quote has vanished: now the difference is due to different purposes, to different </w:t>
      </w:r>
      <w:r w:rsidR="005E1119">
        <w:rPr>
          <w:rFonts w:eastAsia="Times New Roman" w:cs="Arial"/>
          <w:color w:val="000000"/>
          <w:lang w:val="en-US" w:eastAsia="da-DK"/>
        </w:rPr>
        <w:t xml:space="preserve">future action of the assertions </w:t>
      </w:r>
      <w:r w:rsidR="00426006">
        <w:rPr>
          <w:rFonts w:eastAsia="Times New Roman" w:cs="Arial"/>
          <w:color w:val="000000"/>
          <w:lang w:val="en-US" w:eastAsia="da-DK"/>
        </w:rPr>
        <w:t>in</w:t>
      </w:r>
      <w:r w:rsidR="005E1119">
        <w:rPr>
          <w:rFonts w:eastAsia="Times New Roman" w:cs="Arial"/>
          <w:color w:val="000000"/>
          <w:lang w:val="en-US" w:eastAsia="da-DK"/>
        </w:rPr>
        <w:t xml:space="preserve"> everyday belief and</w:t>
      </w:r>
      <w:r w:rsidR="00426006">
        <w:rPr>
          <w:rFonts w:eastAsia="Times New Roman" w:cs="Arial"/>
          <w:color w:val="000000"/>
          <w:lang w:val="en-US" w:eastAsia="da-DK"/>
        </w:rPr>
        <w:t xml:space="preserve"> in</w:t>
      </w:r>
      <w:r w:rsidR="005E1119">
        <w:rPr>
          <w:rFonts w:eastAsia="Times New Roman" w:cs="Arial"/>
          <w:color w:val="000000"/>
          <w:lang w:val="en-US" w:eastAsia="da-DK"/>
        </w:rPr>
        <w:t xml:space="preserve"> those of science. </w:t>
      </w:r>
    </w:p>
    <w:p w14:paraId="2507DF98" w14:textId="77777777" w:rsidR="00583D22" w:rsidRDefault="00583D22" w:rsidP="00583D22">
      <w:pPr>
        <w:spacing w:line="276" w:lineRule="auto"/>
        <w:jc w:val="both"/>
        <w:rPr>
          <w:rFonts w:eastAsia="Times New Roman" w:cs="Arial"/>
          <w:color w:val="000000"/>
          <w:lang w:val="en-US" w:eastAsia="da-DK"/>
        </w:rPr>
      </w:pPr>
    </w:p>
    <w:p w14:paraId="3A198989" w14:textId="2C01C1B3" w:rsidR="00583D22" w:rsidRDefault="004B4C29" w:rsidP="005E1119">
      <w:pPr>
        <w:spacing w:line="276" w:lineRule="auto"/>
        <w:jc w:val="both"/>
        <w:rPr>
          <w:rFonts w:eastAsia="Times New Roman" w:cs="Arial"/>
          <w:i/>
          <w:color w:val="000000"/>
          <w:lang w:val="en-US" w:eastAsia="da-DK"/>
        </w:rPr>
      </w:pPr>
      <w:r w:rsidRPr="005E1119">
        <w:rPr>
          <w:rFonts w:eastAsia="Times New Roman" w:cs="Arial"/>
          <w:i/>
          <w:color w:val="000000"/>
          <w:lang w:val="en-US" w:eastAsia="da-DK"/>
        </w:rPr>
        <w:t>The scope of assertive responsibility</w:t>
      </w:r>
    </w:p>
    <w:p w14:paraId="5A70B5C9" w14:textId="77777777" w:rsidR="00B855B5" w:rsidRDefault="00B855B5" w:rsidP="005E1119">
      <w:pPr>
        <w:spacing w:line="276" w:lineRule="auto"/>
        <w:jc w:val="both"/>
        <w:rPr>
          <w:rFonts w:eastAsia="Times New Roman" w:cs="Arial"/>
          <w:i/>
          <w:color w:val="000000"/>
          <w:lang w:val="en-US" w:eastAsia="da-DK"/>
        </w:rPr>
      </w:pPr>
    </w:p>
    <w:p w14:paraId="00BE12E8" w14:textId="7DBF31CD" w:rsidR="00583D22" w:rsidRPr="00426006" w:rsidRDefault="005E1119" w:rsidP="00583D22">
      <w:pPr>
        <w:spacing w:line="276" w:lineRule="auto"/>
        <w:jc w:val="both"/>
        <w:rPr>
          <w:rFonts w:eastAsia="Times New Roman" w:cstheme="minorHAnsi"/>
          <w:color w:val="000000"/>
          <w:lang w:val="en-US"/>
        </w:rPr>
      </w:pPr>
      <w:r>
        <w:rPr>
          <w:rFonts w:eastAsia="Times New Roman" w:cs="Arial"/>
          <w:color w:val="000000"/>
          <w:lang w:val="en-US" w:eastAsia="da-DK"/>
        </w:rPr>
        <w:t xml:space="preserve">The vast difference of </w:t>
      </w:r>
      <w:r w:rsidR="00B855B5">
        <w:rPr>
          <w:rFonts w:eastAsia="Times New Roman" w:cs="Arial"/>
          <w:color w:val="000000"/>
          <w:lang w:val="en-US" w:eastAsia="da-DK"/>
        </w:rPr>
        <w:t xml:space="preserve">the </w:t>
      </w:r>
      <w:r>
        <w:rPr>
          <w:rFonts w:eastAsia="Times New Roman" w:cs="Arial"/>
          <w:color w:val="000000"/>
          <w:lang w:val="en-US" w:eastAsia="da-DK"/>
        </w:rPr>
        <w:t xml:space="preserve">temporal horizons of instinctive belief and of </w:t>
      </w:r>
      <w:r w:rsidR="00426006">
        <w:rPr>
          <w:rFonts w:eastAsia="Times New Roman" w:cs="Arial"/>
          <w:color w:val="000000"/>
          <w:lang w:val="en-US" w:eastAsia="da-DK"/>
        </w:rPr>
        <w:t xml:space="preserve">the </w:t>
      </w:r>
      <w:r>
        <w:rPr>
          <w:rFonts w:eastAsia="Times New Roman" w:cs="Arial"/>
          <w:color w:val="000000"/>
          <w:lang w:val="en-US" w:eastAsia="da-DK"/>
        </w:rPr>
        <w:t>scien</w:t>
      </w:r>
      <w:r w:rsidR="00426006">
        <w:rPr>
          <w:rFonts w:eastAsia="Times New Roman" w:cs="Arial"/>
          <w:color w:val="000000"/>
          <w:lang w:val="en-US" w:eastAsia="da-DK"/>
        </w:rPr>
        <w:t>tific endeavor</w:t>
      </w:r>
      <w:r>
        <w:rPr>
          <w:rFonts w:eastAsia="Times New Roman" w:cs="Arial"/>
          <w:color w:val="000000"/>
          <w:lang w:val="en-US" w:eastAsia="da-DK"/>
        </w:rPr>
        <w:t xml:space="preserve"> is related to an un</w:t>
      </w:r>
      <w:r w:rsidR="00426006">
        <w:rPr>
          <w:rFonts w:eastAsia="Times New Roman" w:cs="Arial"/>
          <w:color w:val="000000"/>
          <w:lang w:val="en-US" w:eastAsia="da-DK"/>
        </w:rPr>
        <w:t>addressed</w:t>
      </w:r>
      <w:r>
        <w:rPr>
          <w:rFonts w:eastAsia="Times New Roman" w:cs="Arial"/>
          <w:color w:val="000000"/>
          <w:lang w:val="en-US" w:eastAsia="da-DK"/>
        </w:rPr>
        <w:t xml:space="preserve"> issue in the </w:t>
      </w:r>
      <w:r w:rsidR="00426006">
        <w:rPr>
          <w:rFonts w:eastAsia="Times New Roman" w:cs="Arial"/>
          <w:color w:val="000000"/>
          <w:lang w:val="en-US" w:eastAsia="da-DK"/>
        </w:rPr>
        <w:t xml:space="preserve">responsibility </w:t>
      </w:r>
      <w:r>
        <w:rPr>
          <w:rFonts w:eastAsia="Times New Roman" w:cs="Arial"/>
          <w:color w:val="000000"/>
          <w:lang w:val="en-US" w:eastAsia="da-DK"/>
        </w:rPr>
        <w:t xml:space="preserve">definition of assertions: how </w:t>
      </w:r>
      <w:r>
        <w:rPr>
          <w:rFonts w:eastAsia="Times New Roman" w:cs="Arial"/>
          <w:i/>
          <w:color w:val="000000"/>
          <w:lang w:val="en-US" w:eastAsia="da-DK"/>
        </w:rPr>
        <w:t>wide</w:t>
      </w:r>
      <w:r>
        <w:rPr>
          <w:rFonts w:eastAsia="Times New Roman" w:cs="Arial"/>
          <w:color w:val="000000"/>
          <w:lang w:val="en-US" w:eastAsia="da-DK"/>
        </w:rPr>
        <w:t xml:space="preserve"> is the scope of the responsibility one undertakes when uttering an assertion? Is it the literal truth of the claim of the asserted, or does it also comprise some or even all of its implications? If I claim that Brutus killed Caesar, it would seem strange if I refused thereby to have also assumed responsibility of the claim that Caesar was killed by Brutus. But if I claim the elementary axioms of arithmetic, do I thereby also assume responsibility for all theorems </w:t>
      </w:r>
      <w:r w:rsidRPr="00426006">
        <w:rPr>
          <w:rFonts w:eastAsia="Times New Roman" w:cstheme="minorHAnsi"/>
          <w:color w:val="000000"/>
          <w:lang w:val="en-US" w:eastAsia="da-DK"/>
        </w:rPr>
        <w:t xml:space="preserve">which may now, and in an indefinite future, be derived from them? Peirce actually </w:t>
      </w:r>
      <w:r w:rsidR="00426006">
        <w:rPr>
          <w:rFonts w:eastAsia="Times New Roman" w:cstheme="minorHAnsi"/>
          <w:color w:val="000000"/>
          <w:lang w:val="en-US" w:eastAsia="da-DK"/>
        </w:rPr>
        <w:t>picks</w:t>
      </w:r>
      <w:r w:rsidRPr="00426006">
        <w:rPr>
          <w:rFonts w:eastAsia="Times New Roman" w:cstheme="minorHAnsi"/>
          <w:color w:val="000000"/>
          <w:lang w:val="en-US" w:eastAsia="da-DK"/>
        </w:rPr>
        <w:t xml:space="preserve"> that </w:t>
      </w:r>
      <w:proofErr w:type="spellStart"/>
      <w:r w:rsidR="00131D4A">
        <w:rPr>
          <w:rFonts w:eastAsia="Times New Roman" w:cstheme="minorHAnsi"/>
          <w:color w:val="000000"/>
          <w:lang w:val="en-US" w:eastAsia="da-DK"/>
        </w:rPr>
        <w:t>Hilbertian</w:t>
      </w:r>
      <w:proofErr w:type="spellEnd"/>
      <w:r w:rsidR="00131D4A">
        <w:rPr>
          <w:rFonts w:eastAsia="Times New Roman" w:cstheme="minorHAnsi"/>
          <w:color w:val="000000"/>
          <w:lang w:val="en-US" w:eastAsia="da-DK"/>
        </w:rPr>
        <w:t xml:space="preserve"> </w:t>
      </w:r>
      <w:r w:rsidRPr="00426006">
        <w:rPr>
          <w:rFonts w:eastAsia="Times New Roman" w:cstheme="minorHAnsi"/>
          <w:color w:val="000000"/>
          <w:lang w:val="en-US" w:eastAsia="da-DK"/>
        </w:rPr>
        <w:t xml:space="preserve">example: </w:t>
      </w:r>
      <w:r w:rsidR="00351DD4" w:rsidRPr="00426006">
        <w:rPr>
          <w:rFonts w:cstheme="minorHAnsi"/>
          <w:lang w:val="en-US"/>
        </w:rPr>
        <w:t xml:space="preserve">"There is but one conclusion of </w:t>
      </w:r>
      <w:r w:rsidR="00351DD4" w:rsidRPr="00426006">
        <w:rPr>
          <w:rFonts w:cstheme="minorHAnsi"/>
          <w:color w:val="000000"/>
          <w:lang w:val="en-US"/>
        </w:rPr>
        <w:t xml:space="preserve">any consequence to be drawn by ordinary syllogism from given </w:t>
      </w:r>
      <w:proofErr w:type="spellStart"/>
      <w:r w:rsidR="00351DD4" w:rsidRPr="00426006">
        <w:rPr>
          <w:rFonts w:cstheme="minorHAnsi"/>
          <w:color w:val="000000"/>
          <w:lang w:val="en-US"/>
        </w:rPr>
        <w:t>premisses</w:t>
      </w:r>
      <w:proofErr w:type="spellEnd"/>
      <w:r w:rsidR="00351DD4" w:rsidRPr="00426006">
        <w:rPr>
          <w:rFonts w:cstheme="minorHAnsi"/>
          <w:color w:val="000000"/>
          <w:lang w:val="en-US"/>
        </w:rPr>
        <w:t xml:space="preserve">. Hence, it is that we fall into the habit of talking of </w:t>
      </w:r>
      <w:r w:rsidR="00351DD4" w:rsidRPr="00426006">
        <w:rPr>
          <w:rFonts w:cstheme="minorHAnsi"/>
          <w:i/>
          <w:color w:val="000000"/>
          <w:lang w:val="en-US"/>
        </w:rPr>
        <w:t>the</w:t>
      </w:r>
      <w:r w:rsidR="00351DD4" w:rsidRPr="00426006">
        <w:rPr>
          <w:rFonts w:cstheme="minorHAnsi"/>
          <w:color w:val="000000"/>
          <w:lang w:val="en-US"/>
        </w:rPr>
        <w:t xml:space="preserve"> conclusion. But in the logic of relatives there are conclusions of different orders, depending upon how much iteration takes place. What is the conclusion deducible from the very simple first principles of number? It is ridiculous to speak of </w:t>
      </w:r>
      <w:r w:rsidR="00351DD4" w:rsidRPr="00426006">
        <w:rPr>
          <w:rFonts w:cstheme="minorHAnsi"/>
          <w:i/>
          <w:color w:val="000000"/>
          <w:lang w:val="en-US"/>
        </w:rPr>
        <w:t>the</w:t>
      </w:r>
      <w:r w:rsidR="00351DD4" w:rsidRPr="00426006">
        <w:rPr>
          <w:rFonts w:cstheme="minorHAnsi"/>
          <w:color w:val="000000"/>
          <w:lang w:val="en-US"/>
        </w:rPr>
        <w:t xml:space="preserve"> conclusion. The conclusion is no less than the aggregate of all the theorems of higher arithmetic that have been discovered or that ever will be discovered." ("</w:t>
      </w:r>
      <w:r w:rsidR="00351DD4" w:rsidRPr="00426006">
        <w:rPr>
          <w:rFonts w:eastAsia="Times New Roman" w:cstheme="minorHAnsi"/>
          <w:color w:val="000000"/>
          <w:lang w:val="en-US"/>
        </w:rPr>
        <w:t>Detached Ideas, The First Rule of Logic", 1898: CP 5.579).</w:t>
      </w:r>
      <w:r w:rsidRPr="00426006">
        <w:rPr>
          <w:rFonts w:eastAsia="Times New Roman" w:cstheme="minorHAnsi"/>
          <w:color w:val="000000"/>
          <w:lang w:val="en-US"/>
        </w:rPr>
        <w:t xml:space="preserve"> The upshot of both the logic of relations and the axiomatic method in mathematics</w:t>
      </w:r>
      <w:r w:rsidR="00426006">
        <w:rPr>
          <w:rFonts w:eastAsia="Times New Roman" w:cstheme="minorHAnsi"/>
          <w:color w:val="000000"/>
          <w:lang w:val="en-US"/>
        </w:rPr>
        <w:t xml:space="preserve"> is</w:t>
      </w:r>
      <w:r w:rsidRPr="00426006">
        <w:rPr>
          <w:rFonts w:eastAsia="Times New Roman" w:cstheme="minorHAnsi"/>
          <w:color w:val="000000"/>
          <w:lang w:val="en-US"/>
        </w:rPr>
        <w:t xml:space="preserve"> that there is no such thing as </w:t>
      </w:r>
      <w:r w:rsidRPr="00426006">
        <w:rPr>
          <w:rFonts w:eastAsia="Times New Roman" w:cstheme="minorHAnsi"/>
          <w:i/>
          <w:color w:val="000000"/>
          <w:lang w:val="en-US"/>
        </w:rPr>
        <w:t>the</w:t>
      </w:r>
      <w:r w:rsidRPr="00426006">
        <w:rPr>
          <w:rFonts w:eastAsia="Times New Roman" w:cstheme="minorHAnsi"/>
          <w:color w:val="000000"/>
          <w:lang w:val="en-US"/>
        </w:rPr>
        <w:t xml:space="preserve"> conclusion of most </w:t>
      </w:r>
      <w:r w:rsidR="00426006">
        <w:rPr>
          <w:rFonts w:eastAsia="Times New Roman" w:cstheme="minorHAnsi"/>
          <w:color w:val="000000"/>
          <w:lang w:val="en-US"/>
        </w:rPr>
        <w:t>propositions</w:t>
      </w:r>
      <w:r w:rsidRPr="00426006">
        <w:rPr>
          <w:rFonts w:eastAsia="Times New Roman" w:cstheme="minorHAnsi"/>
          <w:color w:val="000000"/>
          <w:lang w:val="en-US"/>
        </w:rPr>
        <w:t>. Most often, there are several, even many, even an indefinite number of possible inferences to be drawn from an assertion. Which among these are covered by the utterer’s responsibility?</w:t>
      </w:r>
      <w:r w:rsidR="001E273D" w:rsidRPr="00426006">
        <w:rPr>
          <w:rFonts w:eastAsia="Times New Roman" w:cstheme="minorHAnsi"/>
          <w:color w:val="000000"/>
          <w:lang w:val="en-US"/>
        </w:rPr>
        <w:t xml:space="preserve"> The issue is connected to the classic conundrum of “logical omniscience”: why is it that a person knowing something, and knowing the rules of elementary logic, can be (and most often is) </w:t>
      </w:r>
      <w:r w:rsidR="00426006">
        <w:rPr>
          <w:rFonts w:eastAsia="Times New Roman" w:cstheme="minorHAnsi"/>
          <w:color w:val="000000"/>
          <w:lang w:val="en-US"/>
        </w:rPr>
        <w:t>unaware</w:t>
      </w:r>
      <w:r w:rsidR="001E273D" w:rsidRPr="00426006">
        <w:rPr>
          <w:rFonts w:eastAsia="Times New Roman" w:cstheme="minorHAnsi"/>
          <w:color w:val="000000"/>
          <w:lang w:val="en-US"/>
        </w:rPr>
        <w:t xml:space="preserve"> about the consequences of his or her </w:t>
      </w:r>
      <w:r w:rsidR="00426006">
        <w:rPr>
          <w:rFonts w:eastAsia="Times New Roman" w:cstheme="minorHAnsi"/>
          <w:color w:val="000000"/>
          <w:lang w:val="en-US"/>
        </w:rPr>
        <w:t xml:space="preserve">own </w:t>
      </w:r>
      <w:r w:rsidR="001E273D" w:rsidRPr="00426006">
        <w:rPr>
          <w:rFonts w:eastAsia="Times New Roman" w:cstheme="minorHAnsi"/>
          <w:color w:val="000000"/>
          <w:lang w:val="en-US"/>
        </w:rPr>
        <w:t>knowledge?</w:t>
      </w:r>
    </w:p>
    <w:p w14:paraId="16E8025C" w14:textId="77777777" w:rsidR="005E1119" w:rsidRPr="005E1119" w:rsidRDefault="005E1119" w:rsidP="00583D22">
      <w:pPr>
        <w:spacing w:line="276" w:lineRule="auto"/>
        <w:jc w:val="both"/>
        <w:rPr>
          <w:rFonts w:eastAsia="Times New Roman" w:cs="Arial"/>
          <w:color w:val="000000"/>
          <w:lang w:val="en-US" w:eastAsia="da-DK"/>
        </w:rPr>
      </w:pPr>
      <w:r w:rsidRPr="00426006">
        <w:rPr>
          <w:rFonts w:eastAsia="Times New Roman" w:cstheme="minorHAnsi"/>
          <w:color w:val="000000"/>
          <w:lang w:val="en-US" w:eastAsia="da-DK"/>
        </w:rPr>
        <w:lastRenderedPageBreak/>
        <w:tab/>
        <w:t>This question receives an answer from one of the main developments of Peirce’s eighth and final period in Bellucci’s enum</w:t>
      </w:r>
      <w:r>
        <w:rPr>
          <w:rFonts w:eastAsia="Times New Roman" w:cs="Arial"/>
          <w:color w:val="000000"/>
          <w:lang w:val="en-US" w:eastAsia="da-DK"/>
        </w:rPr>
        <w:t xml:space="preserve">eration of the phases of his semiotics, namely the distinction between types of “interpretant”, that is, of meaning of a sign. That distinction comes from Peirce’s correspondence with Lady Welby: </w:t>
      </w:r>
    </w:p>
    <w:p w14:paraId="5DAF401D" w14:textId="77777777" w:rsidR="00426006" w:rsidRDefault="005E1119" w:rsidP="00405B5F">
      <w:pPr>
        <w:spacing w:line="276" w:lineRule="auto"/>
        <w:rPr>
          <w:rFonts w:cs="Times New Roman"/>
          <w:lang w:val="en-US"/>
        </w:rPr>
      </w:pPr>
      <w:r>
        <w:rPr>
          <w:rFonts w:cs="Times New Roman"/>
          <w:lang w:val="en-US"/>
        </w:rPr>
        <w:t xml:space="preserve"> “</w:t>
      </w:r>
      <w:r w:rsidR="00583D22" w:rsidRPr="00C65885">
        <w:rPr>
          <w:rFonts w:cs="Times New Roman"/>
          <w:lang w:val="en-US"/>
        </w:rPr>
        <w:t xml:space="preserve">A little book by Lady Victoria </w:t>
      </w:r>
      <w:r w:rsidR="00583D22" w:rsidRPr="00426006">
        <w:rPr>
          <w:rFonts w:cs="Times New Roman"/>
          <w:color w:val="000000" w:themeColor="text1"/>
          <w:lang w:val="en-US"/>
        </w:rPr>
        <w:t xml:space="preserve">Welby has lately appeared, entitled "What is Meaning." The book has sundry merits, among them that of showing that there are three modes of meaning. But the best feature of it is that it presses home the question "What is Meaning." A word has meaning for us in so far as we are able to make use of it in communicating our knowledge to others and in getting at the knowledge that these others seek to communicate to us. That is the lowest grade of meaning. The meaning of a word is more fully the sum total of all the conditional predictions which the person who uses it intends to make himself responsible for or intends to deny. That conscious or quasi-conscious intention in using the word is the second grade of meaning. But besides the consequences to which the person who accepts a word knowingly commits himself to, there is a vast ocean of unforeseen consequences which the acceptance of the word is destined to bring about, not merely consequences </w:t>
      </w:r>
      <w:r w:rsidR="00583D22" w:rsidRPr="00C65885">
        <w:rPr>
          <w:rFonts w:cs="Times New Roman"/>
          <w:lang w:val="en-US"/>
        </w:rPr>
        <w:t>of knowing but perhaps revolutions of society. One cannot tell what power there may</w:t>
      </w:r>
      <w:r w:rsidR="00583D22" w:rsidRPr="00C65885">
        <w:rPr>
          <w:rFonts w:cs="Times New Roman"/>
          <w:color w:val="FF0000"/>
          <w:lang w:val="en-US"/>
        </w:rPr>
        <w:t xml:space="preserve"> </w:t>
      </w:r>
      <w:r w:rsidR="00583D22" w:rsidRPr="00C65885">
        <w:rPr>
          <w:rFonts w:cs="Times New Roman"/>
          <w:lang w:val="en-US"/>
        </w:rPr>
        <w:t>be in a word or a phrase to change the face of the world; and the sum of these</w:t>
      </w:r>
      <w:r w:rsidR="00583D22" w:rsidRPr="00C65885">
        <w:rPr>
          <w:rFonts w:cs="Times New Roman"/>
          <w:color w:val="FF0000"/>
          <w:lang w:val="en-US"/>
        </w:rPr>
        <w:t xml:space="preserve"> </w:t>
      </w:r>
      <w:r w:rsidR="00583D22" w:rsidRPr="00C65885">
        <w:rPr>
          <w:rFonts w:cs="Times New Roman"/>
          <w:lang w:val="en-US"/>
        </w:rPr>
        <w:t>consequences makes up the third grade of meaning.</w:t>
      </w:r>
      <w:r>
        <w:rPr>
          <w:rFonts w:cs="Times New Roman"/>
          <w:lang w:val="en-US"/>
        </w:rPr>
        <w:t>” (</w:t>
      </w:r>
      <w:r>
        <w:rPr>
          <w:rFonts w:eastAsia="Times New Roman" w:cstheme="minorHAnsi"/>
          <w:color w:val="000000"/>
          <w:lang w:val="en-US" w:eastAsia="da-DK"/>
        </w:rPr>
        <w:t>“</w:t>
      </w:r>
      <w:r w:rsidRPr="00C65885">
        <w:rPr>
          <w:rFonts w:cs="Times New Roman"/>
          <w:lang w:val="en-US"/>
        </w:rPr>
        <w:t>What Makes a Reasoning Sound?</w:t>
      </w:r>
      <w:r>
        <w:rPr>
          <w:rFonts w:cs="Times New Roman"/>
          <w:lang w:val="en-US"/>
        </w:rPr>
        <w:t>”</w:t>
      </w:r>
      <w:r w:rsidRPr="00C65885">
        <w:rPr>
          <w:rFonts w:cs="Times New Roman"/>
          <w:lang w:val="en-US"/>
        </w:rPr>
        <w:t xml:space="preserve"> Nov. 23.</w:t>
      </w:r>
      <w:r>
        <w:rPr>
          <w:rFonts w:cs="Times New Roman"/>
          <w:lang w:val="en-US"/>
        </w:rPr>
        <w:t xml:space="preserve"> 1903, </w:t>
      </w:r>
      <w:r w:rsidRPr="00C65885">
        <w:rPr>
          <w:rFonts w:cs="Times New Roman"/>
          <w:lang w:val="en-US"/>
        </w:rPr>
        <w:t>CP</w:t>
      </w:r>
      <w:r w:rsidRPr="00C65885">
        <w:rPr>
          <w:rFonts w:eastAsia="Times New Roman" w:cstheme="minorHAnsi"/>
          <w:color w:val="000000"/>
          <w:lang w:val="en-US" w:eastAsia="da-DK"/>
        </w:rPr>
        <w:t xml:space="preserve"> </w:t>
      </w:r>
      <w:r w:rsidRPr="00C65885">
        <w:rPr>
          <w:rFonts w:cs="Times New Roman"/>
          <w:lang w:val="en-US"/>
        </w:rPr>
        <w:t>8.176</w:t>
      </w:r>
      <w:r>
        <w:rPr>
          <w:rFonts w:cs="Times New Roman"/>
          <w:lang w:val="en-US"/>
        </w:rPr>
        <w:t>)</w:t>
      </w:r>
      <w:r w:rsidRPr="00C65885">
        <w:rPr>
          <w:rFonts w:cs="Times New Roman"/>
          <w:lang w:val="en-US"/>
        </w:rPr>
        <w:t xml:space="preserve"> </w:t>
      </w:r>
    </w:p>
    <w:p w14:paraId="273B82D3" w14:textId="77777777" w:rsidR="00426006" w:rsidRDefault="00426006" w:rsidP="00405B5F">
      <w:pPr>
        <w:spacing w:line="276" w:lineRule="auto"/>
        <w:rPr>
          <w:rFonts w:cs="Times New Roman"/>
          <w:lang w:val="en-US"/>
        </w:rPr>
      </w:pPr>
    </w:p>
    <w:p w14:paraId="31169233" w14:textId="3A293B29" w:rsidR="00E75A16" w:rsidRDefault="001E273D" w:rsidP="00405B5F">
      <w:pPr>
        <w:spacing w:line="276" w:lineRule="auto"/>
        <w:rPr>
          <w:rFonts w:cs="Times New Roman"/>
          <w:lang w:val="en-US"/>
        </w:rPr>
      </w:pPr>
      <w:r>
        <w:rPr>
          <w:rFonts w:cs="Times New Roman"/>
          <w:lang w:val="en-US"/>
        </w:rPr>
        <w:t>Welby’s triad of meanings becomes, in Peirce’s interpretation, one of the first versions of what later became the distinction between the initial, the dynamic and the final interpretant. Here, the first grade of meaning of an expression is its ability to communicate a piece of knowledge. The second grade is those implications of the assertion which the person intends to be held responsible for</w:t>
      </w:r>
      <w:r w:rsidR="00426006">
        <w:rPr>
          <w:rFonts w:cs="Times New Roman"/>
          <w:lang w:val="en-US"/>
        </w:rPr>
        <w:t>.</w:t>
      </w:r>
      <w:r>
        <w:rPr>
          <w:rFonts w:cs="Times New Roman"/>
          <w:lang w:val="en-US"/>
        </w:rPr>
        <w:t xml:space="preserve"> And the third is the total sum of the maybe infinite number of consequences the assertion would have in the limit. Here, a possible solution to the scope of responsibility is outlined: the utterer of </w:t>
      </w:r>
      <w:r w:rsidRPr="00426006">
        <w:rPr>
          <w:rFonts w:cs="Times New Roman"/>
          <w:color w:val="000000" w:themeColor="text1"/>
          <w:lang w:val="en-US"/>
        </w:rPr>
        <w:t>an assertion is responsible for all predictions of it</w:t>
      </w:r>
      <w:r w:rsidR="00426006" w:rsidRPr="00426006">
        <w:rPr>
          <w:rFonts w:cs="Times New Roman"/>
          <w:color w:val="000000" w:themeColor="text1"/>
          <w:lang w:val="en-US"/>
        </w:rPr>
        <w:t>,</w:t>
      </w:r>
      <w:r w:rsidRPr="00426006">
        <w:rPr>
          <w:rFonts w:cs="Times New Roman"/>
          <w:color w:val="000000" w:themeColor="text1"/>
          <w:lang w:val="en-US"/>
        </w:rPr>
        <w:t xml:space="preserve"> which that person </w:t>
      </w:r>
      <w:r w:rsidRPr="00426006">
        <w:rPr>
          <w:rFonts w:cs="Times New Roman"/>
          <w:i/>
          <w:color w:val="000000" w:themeColor="text1"/>
          <w:lang w:val="en-US"/>
        </w:rPr>
        <w:t>intends</w:t>
      </w:r>
      <w:r w:rsidR="00405B5F" w:rsidRPr="00426006">
        <w:rPr>
          <w:rFonts w:cs="Times New Roman"/>
          <w:color w:val="000000" w:themeColor="text1"/>
          <w:lang w:val="en-US"/>
        </w:rPr>
        <w:t xml:space="preserve">: </w:t>
      </w:r>
      <w:r w:rsidR="00405B5F" w:rsidRPr="00426006">
        <w:rPr>
          <w:rFonts w:eastAsia="Times New Roman" w:cstheme="minorHAnsi"/>
          <w:color w:val="000000" w:themeColor="text1"/>
          <w:lang w:val="en-US" w:eastAsia="da-DK"/>
        </w:rPr>
        <w:t>“A Proposition is nearly the same as an “Assertion.” The distinction which I use the two words to mark is that </w:t>
      </w:r>
      <w:r w:rsidR="00405B5F" w:rsidRPr="00426006">
        <w:rPr>
          <w:rFonts w:eastAsia="Times New Roman" w:cstheme="minorHAnsi"/>
          <w:color w:val="000000" w:themeColor="text1"/>
          <w:shd w:val="clear" w:color="auto" w:fill="FFFFFF"/>
          <w:lang w:val="en-US" w:eastAsia="da-DK"/>
        </w:rPr>
        <w:t>an Assertion includes no more than it is the intention of the Utterer to declare</w:t>
      </w:r>
      <w:r w:rsidR="00405B5F" w:rsidRPr="00426006">
        <w:rPr>
          <w:rFonts w:eastAsia="Times New Roman" w:cstheme="minorHAnsi"/>
          <w:color w:val="000000" w:themeColor="text1"/>
          <w:lang w:val="en-US" w:eastAsia="da-DK"/>
        </w:rPr>
        <w:t xml:space="preserve">, while the Proposition includes all that he does declare, which is inevitably considerably more than he intends.” (“The </w:t>
      </w:r>
      <w:r w:rsidR="00405B5F" w:rsidRPr="00B735F5">
        <w:rPr>
          <w:rFonts w:eastAsia="Times New Roman" w:cstheme="minorHAnsi"/>
          <w:color w:val="000000"/>
          <w:lang w:val="en-US" w:eastAsia="da-DK"/>
        </w:rPr>
        <w:t>Rationale of Reasoning</w:t>
      </w:r>
      <w:r w:rsidR="00405B5F">
        <w:rPr>
          <w:rFonts w:eastAsia="Times New Roman" w:cstheme="minorHAnsi"/>
          <w:color w:val="000000"/>
          <w:lang w:val="en-US" w:eastAsia="da-DK"/>
        </w:rPr>
        <w:t xml:space="preserve">”, </w:t>
      </w:r>
      <w:r w:rsidR="00405B5F" w:rsidRPr="00B735F5">
        <w:rPr>
          <w:rFonts w:eastAsia="Times New Roman" w:cstheme="minorHAnsi"/>
          <w:color w:val="000000"/>
          <w:lang w:val="en-US" w:eastAsia="da-DK"/>
        </w:rPr>
        <w:t>1910.11.25</w:t>
      </w:r>
      <w:r w:rsidR="00405B5F">
        <w:rPr>
          <w:rFonts w:eastAsia="Times New Roman" w:cstheme="minorHAnsi"/>
          <w:color w:val="000000"/>
          <w:lang w:val="en-US" w:eastAsia="da-DK"/>
        </w:rPr>
        <w:t xml:space="preserve">, </w:t>
      </w:r>
      <w:r w:rsidR="00405B5F" w:rsidRPr="00B735F5">
        <w:rPr>
          <w:rFonts w:eastAsia="Times New Roman" w:cstheme="minorHAnsi"/>
          <w:color w:val="000000"/>
          <w:lang w:val="en-US" w:eastAsia="da-DK"/>
        </w:rPr>
        <w:t>MS [R] 664:8</w:t>
      </w:r>
      <w:r w:rsidR="00405B5F">
        <w:rPr>
          <w:rFonts w:eastAsia="Times New Roman" w:cstheme="minorHAnsi"/>
          <w:color w:val="000000"/>
          <w:lang w:val="en-US" w:eastAsia="da-DK"/>
        </w:rPr>
        <w:t>). Here, Lady Welby’s second and third levels are used to distinguish the contents of an assertion and the corresponding proposition</w:t>
      </w:r>
      <w:r w:rsidR="008935F8">
        <w:rPr>
          <w:rFonts w:eastAsia="Times New Roman" w:cstheme="minorHAnsi"/>
          <w:color w:val="000000"/>
          <w:lang w:val="en-US" w:eastAsia="da-DK"/>
        </w:rPr>
        <w:t>, a bit like Gricean speaker’s meaning vs sentence meaning</w:t>
      </w:r>
      <w:r w:rsidR="00405B5F">
        <w:rPr>
          <w:rFonts w:eastAsia="Times New Roman" w:cstheme="minorHAnsi"/>
          <w:color w:val="000000"/>
          <w:lang w:val="en-US" w:eastAsia="da-DK"/>
        </w:rPr>
        <w:t xml:space="preserve">. The former, as an utterance </w:t>
      </w:r>
      <w:r w:rsidR="00405B5F" w:rsidRPr="008935F8">
        <w:rPr>
          <w:rFonts w:eastAsia="Times New Roman" w:cstheme="minorHAnsi"/>
          <w:i/>
          <w:iCs/>
          <w:color w:val="000000"/>
          <w:lang w:val="en-US" w:eastAsia="da-DK"/>
        </w:rPr>
        <w:t xml:space="preserve">hic et </w:t>
      </w:r>
      <w:proofErr w:type="spellStart"/>
      <w:r w:rsidR="00405B5F" w:rsidRPr="008935F8">
        <w:rPr>
          <w:rFonts w:eastAsia="Times New Roman" w:cstheme="minorHAnsi"/>
          <w:i/>
          <w:iCs/>
          <w:color w:val="000000"/>
          <w:lang w:val="en-US" w:eastAsia="da-DK"/>
        </w:rPr>
        <w:t>nunc</w:t>
      </w:r>
      <w:proofErr w:type="spellEnd"/>
      <w:r w:rsidR="00405B5F">
        <w:rPr>
          <w:rFonts w:eastAsia="Times New Roman" w:cstheme="minorHAnsi"/>
          <w:color w:val="000000"/>
          <w:lang w:val="en-US" w:eastAsia="da-DK"/>
        </w:rPr>
        <w:t xml:space="preserve">, is tied to the intention of the utterer, while the latter, as a general claim beyond particular situations, is not tied to any </w:t>
      </w:r>
      <w:r w:rsidR="00106B8B">
        <w:rPr>
          <w:rFonts w:eastAsia="Times New Roman" w:cstheme="minorHAnsi"/>
          <w:color w:val="000000"/>
          <w:lang w:val="en-US" w:eastAsia="da-DK"/>
        </w:rPr>
        <w:t xml:space="preserve">single </w:t>
      </w:r>
      <w:r w:rsidR="00405B5F">
        <w:rPr>
          <w:rFonts w:eastAsia="Times New Roman" w:cstheme="minorHAnsi"/>
          <w:color w:val="000000"/>
          <w:lang w:val="en-US" w:eastAsia="da-DK"/>
        </w:rPr>
        <w:t>utterance of it and potentially involves more than intended by the utterer. Such a</w:t>
      </w:r>
      <w:r>
        <w:rPr>
          <w:rFonts w:cs="Times New Roman"/>
          <w:lang w:val="en-US"/>
        </w:rPr>
        <w:t xml:space="preserve"> solution may immediately sound tempting, until we realize that in the vast majority of cases, assertions do not make explicit what that intention is. It remains a psychological escape which an asserter in distress may cynically use by simply restricting his or her claim about which entailments were originally intended by the assertion.</w:t>
      </w:r>
      <w:r w:rsidR="008935F8">
        <w:rPr>
          <w:rFonts w:cs="Times New Roman"/>
          <w:lang w:val="en-US"/>
        </w:rPr>
        <w:t xml:space="preserve"> It is </w:t>
      </w:r>
      <w:r w:rsidR="00131D4A">
        <w:rPr>
          <w:rFonts w:cs="Times New Roman"/>
          <w:lang w:val="en-US"/>
        </w:rPr>
        <w:t>true</w:t>
      </w:r>
      <w:r w:rsidR="008935F8">
        <w:rPr>
          <w:rFonts w:cs="Times New Roman"/>
          <w:lang w:val="en-US"/>
        </w:rPr>
        <w:t xml:space="preserve"> that you may indeed often find such restriction attempts in the public sphere when an utterer is attacked for a</w:t>
      </w:r>
      <w:r w:rsidR="00131D4A">
        <w:rPr>
          <w:rFonts w:cs="Times New Roman"/>
          <w:lang w:val="en-US"/>
        </w:rPr>
        <w:t>n</w:t>
      </w:r>
      <w:r w:rsidR="008935F8">
        <w:rPr>
          <w:rFonts w:cs="Times New Roman"/>
          <w:lang w:val="en-US"/>
        </w:rPr>
        <w:t xml:space="preserve"> assertion uttered, and the distinction is </w:t>
      </w:r>
      <w:proofErr w:type="spellStart"/>
      <w:r w:rsidR="008935F8">
        <w:rPr>
          <w:rFonts w:cs="Times New Roman"/>
          <w:lang w:val="en-US"/>
        </w:rPr>
        <w:t xml:space="preserve">pertinent </w:t>
      </w:r>
      <w:proofErr w:type="spellEnd"/>
      <w:r w:rsidR="008935F8">
        <w:rPr>
          <w:rFonts w:cs="Times New Roman"/>
          <w:lang w:val="en-US"/>
        </w:rPr>
        <w:t xml:space="preserve">to the extent that </w:t>
      </w:r>
      <w:r w:rsidR="00913D32">
        <w:rPr>
          <w:rFonts w:cs="Times New Roman"/>
          <w:lang w:val="en-US"/>
        </w:rPr>
        <w:t xml:space="preserve">it is correct </w:t>
      </w:r>
      <w:r w:rsidR="00913D32">
        <w:rPr>
          <w:rFonts w:cs="Times New Roman"/>
          <w:lang w:val="en-US"/>
        </w:rPr>
        <w:lastRenderedPageBreak/>
        <w:t>there</w:t>
      </w:r>
      <w:r w:rsidR="008935F8">
        <w:rPr>
          <w:rFonts w:cs="Times New Roman"/>
          <w:lang w:val="en-US"/>
        </w:rPr>
        <w:t xml:space="preserve"> is a </w:t>
      </w:r>
      <w:r w:rsidR="00913D32">
        <w:rPr>
          <w:rFonts w:cs="Times New Roman"/>
          <w:lang w:val="en-US"/>
        </w:rPr>
        <w:t xml:space="preserve">possible </w:t>
      </w:r>
      <w:r w:rsidR="008935F8">
        <w:rPr>
          <w:rFonts w:cs="Times New Roman"/>
          <w:lang w:val="en-US"/>
        </w:rPr>
        <w:t xml:space="preserve">tension between implications realized by an utterer and the sum total of possible implications, cf. logical omniscience. </w:t>
      </w:r>
      <w:r w:rsidR="00405B5F">
        <w:rPr>
          <w:rFonts w:cs="Times New Roman"/>
          <w:lang w:val="en-US"/>
        </w:rPr>
        <w:t>The distinction</w:t>
      </w:r>
      <w:r w:rsidR="00913D32">
        <w:rPr>
          <w:rFonts w:cs="Times New Roman"/>
          <w:lang w:val="en-US"/>
        </w:rPr>
        <w:t>, however,</w:t>
      </w:r>
      <w:r w:rsidR="00405B5F">
        <w:rPr>
          <w:rFonts w:cs="Times New Roman"/>
          <w:lang w:val="en-US"/>
        </w:rPr>
        <w:t xml:space="preserve"> gives us no clear picture of what the responsibility of any particular assertion covers. Rather, the distinction opens the scope for unending quarrels between asserters and their interpreters where the latter may ascribe the former more encompassing intentions than the former are willing to admit. “I did not mean to imply that …”</w:t>
      </w:r>
    </w:p>
    <w:p w14:paraId="49F3752F" w14:textId="77777777" w:rsidR="00106B8B" w:rsidRDefault="00106B8B" w:rsidP="00131D4A">
      <w:pPr>
        <w:spacing w:line="276" w:lineRule="auto"/>
        <w:ind w:firstLine="1304"/>
        <w:rPr>
          <w:rFonts w:cs="Times New Roman"/>
          <w:lang w:val="en-US"/>
        </w:rPr>
      </w:pPr>
      <w:r>
        <w:rPr>
          <w:rFonts w:cs="Times New Roman"/>
          <w:lang w:val="en-US"/>
        </w:rPr>
        <w:t xml:space="preserve">This becomes evident if we compare Welby’s second meaning with Peirce’s later second interpretant, </w:t>
      </w:r>
      <w:proofErr w:type="gramStart"/>
      <w:r>
        <w:rPr>
          <w:rFonts w:cs="Times New Roman"/>
          <w:lang w:val="en-US"/>
        </w:rPr>
        <w:t>the</w:t>
      </w:r>
      <w:r w:rsidRPr="00426006">
        <w:rPr>
          <w:lang w:val="en-US"/>
        </w:rPr>
        <w:t xml:space="preserve"> ”dynamic</w:t>
      </w:r>
      <w:proofErr w:type="gramEnd"/>
      <w:r w:rsidRPr="00426006">
        <w:rPr>
          <w:lang w:val="en-US"/>
        </w:rPr>
        <w:t xml:space="preserve"> interpretant” which is the</w:t>
      </w:r>
      <w:r>
        <w:rPr>
          <w:lang w:val="en-US"/>
        </w:rPr>
        <w:t xml:space="preserve"> sign’s effect</w:t>
      </w:r>
      <w:r w:rsidR="005B6706">
        <w:rPr>
          <w:lang w:val="en-US"/>
        </w:rPr>
        <w:t xml:space="preserve"> in an actual situation</w:t>
      </w:r>
      <w:r>
        <w:rPr>
          <w:lang w:val="en-US"/>
        </w:rPr>
        <w:t>, the</w:t>
      </w:r>
      <w:r w:rsidRPr="00426006">
        <w:rPr>
          <w:lang w:val="en-US"/>
        </w:rPr>
        <w:t xml:space="preserve"> meaning as actually understood by </w:t>
      </w:r>
      <w:r>
        <w:rPr>
          <w:lang w:val="en-US"/>
        </w:rPr>
        <w:t xml:space="preserve">a particular interpreter. Understood as a dynamic interpretant, the second Welby meaning would not amount simply to the utterer’s intention, but rather </w:t>
      </w:r>
      <w:r w:rsidR="005B6706">
        <w:rPr>
          <w:lang w:val="en-US"/>
        </w:rPr>
        <w:t xml:space="preserve">to </w:t>
      </w:r>
      <w:r>
        <w:rPr>
          <w:lang w:val="en-US"/>
        </w:rPr>
        <w:t xml:space="preserve">something like: </w:t>
      </w:r>
      <w:r w:rsidRPr="00426006">
        <w:rPr>
          <w:i/>
          <w:lang w:val="en-US"/>
        </w:rPr>
        <w:t>the intention of the utterer as understood by the interpreter.</w:t>
      </w:r>
      <w:r>
        <w:rPr>
          <w:i/>
          <w:lang w:val="en-US"/>
        </w:rPr>
        <w:t xml:space="preserve"> </w:t>
      </w:r>
      <w:r>
        <w:rPr>
          <w:lang w:val="en-US"/>
        </w:rPr>
        <w:t>This would make explicit the point that in contentious cases, the intention of how much assertive responsibility covers is exactly what utterer and interpreter may disagree about. It makes evident that the intention is not only for the utterer him- or herself to decide but is, in itself, a central part of dialogical negotiations between parties, both in friendly and in more inimical cases.</w:t>
      </w:r>
    </w:p>
    <w:p w14:paraId="1BE370EE" w14:textId="77777777" w:rsidR="00405B5F" w:rsidRDefault="00405B5F" w:rsidP="00405B5F">
      <w:pPr>
        <w:spacing w:line="276" w:lineRule="auto"/>
        <w:rPr>
          <w:rFonts w:eastAsia="Times New Roman" w:cstheme="minorHAnsi"/>
          <w:color w:val="000000"/>
          <w:lang w:val="en-US" w:eastAsia="da-DK"/>
        </w:rPr>
      </w:pPr>
    </w:p>
    <w:p w14:paraId="7F7020AA" w14:textId="77777777" w:rsidR="00405B5F" w:rsidRDefault="00405B5F" w:rsidP="00405B5F">
      <w:pPr>
        <w:spacing w:line="276" w:lineRule="auto"/>
        <w:rPr>
          <w:rFonts w:eastAsia="Times New Roman" w:cstheme="minorHAnsi"/>
          <w:i/>
          <w:color w:val="000000"/>
          <w:lang w:val="en-US" w:eastAsia="da-DK"/>
        </w:rPr>
      </w:pPr>
      <w:r w:rsidRPr="00405B5F">
        <w:rPr>
          <w:rFonts w:eastAsia="Times New Roman" w:cstheme="minorHAnsi"/>
          <w:i/>
          <w:color w:val="000000"/>
          <w:lang w:val="en-US" w:eastAsia="da-DK"/>
        </w:rPr>
        <w:t xml:space="preserve">Conclusion </w:t>
      </w:r>
    </w:p>
    <w:p w14:paraId="0BA22188" w14:textId="77777777" w:rsidR="00405B5F" w:rsidRPr="00405B5F" w:rsidRDefault="00405B5F" w:rsidP="00405B5F">
      <w:pPr>
        <w:spacing w:line="276" w:lineRule="auto"/>
        <w:rPr>
          <w:rFonts w:eastAsia="Times New Roman" w:cstheme="minorHAnsi"/>
          <w:i/>
          <w:color w:val="000000"/>
          <w:lang w:val="en-US" w:eastAsia="da-DK"/>
        </w:rPr>
      </w:pPr>
    </w:p>
    <w:p w14:paraId="65ED16FA" w14:textId="3CB85576" w:rsidR="00FB18D9" w:rsidRDefault="00405B5F" w:rsidP="00405B5F">
      <w:pPr>
        <w:spacing w:line="276" w:lineRule="auto"/>
        <w:rPr>
          <w:rFonts w:eastAsia="Times New Roman" w:cstheme="minorHAnsi"/>
          <w:color w:val="000000"/>
          <w:lang w:val="en-US" w:eastAsia="da-DK"/>
        </w:rPr>
      </w:pPr>
      <w:r>
        <w:rPr>
          <w:rFonts w:eastAsia="Times New Roman" w:cstheme="minorHAnsi"/>
          <w:color w:val="000000"/>
          <w:lang w:val="en-US" w:eastAsia="da-DK"/>
        </w:rPr>
        <w:t xml:space="preserve">Peirce’s Theories of Assertion – combining the self-reference of proposition signs, the assumption of responsibility on part of the utterer, and the purpose of spreading belief in the proposition (to others or to him- or herself), forms an important link between Peirce’s philosophy of logic and his theory of science. It is intimately connected to his </w:t>
      </w:r>
      <w:r w:rsidR="00581B86">
        <w:rPr>
          <w:rFonts w:eastAsia="Times New Roman" w:cstheme="minorHAnsi"/>
          <w:color w:val="000000"/>
          <w:lang w:val="en-US" w:eastAsia="da-DK"/>
        </w:rPr>
        <w:t>realism in both sense</w:t>
      </w:r>
      <w:r w:rsidR="00CD558D">
        <w:rPr>
          <w:rFonts w:eastAsia="Times New Roman" w:cstheme="minorHAnsi"/>
          <w:color w:val="000000"/>
          <w:lang w:val="en-US" w:eastAsia="da-DK"/>
        </w:rPr>
        <w:t>s</w:t>
      </w:r>
      <w:r w:rsidR="00581B86">
        <w:rPr>
          <w:rFonts w:eastAsia="Times New Roman" w:cstheme="minorHAnsi"/>
          <w:color w:val="000000"/>
          <w:lang w:val="en-US" w:eastAsia="da-DK"/>
        </w:rPr>
        <w:t xml:space="preserve"> of the word: the independent existence of the objects of science, and the basis in reality of many general predicates.</w:t>
      </w:r>
      <w:r w:rsidR="00131D4A">
        <w:rPr>
          <w:rStyle w:val="Slutnotehenvisning"/>
          <w:rFonts w:eastAsia="Times New Roman" w:cstheme="minorHAnsi"/>
          <w:color w:val="000000"/>
          <w:lang w:val="en-US" w:eastAsia="da-DK"/>
        </w:rPr>
        <w:endnoteReference w:id="11"/>
      </w:r>
      <w:r w:rsidR="00581B86">
        <w:rPr>
          <w:rFonts w:eastAsia="Times New Roman" w:cstheme="minorHAnsi"/>
          <w:color w:val="000000"/>
          <w:lang w:val="en-US" w:eastAsia="da-DK"/>
        </w:rPr>
        <w:t xml:space="preserve"> It is an important corollary, however, that one do</w:t>
      </w:r>
      <w:r w:rsidR="00CD558D">
        <w:rPr>
          <w:rFonts w:eastAsia="Times New Roman" w:cstheme="minorHAnsi"/>
          <w:color w:val="000000"/>
          <w:lang w:val="en-US" w:eastAsia="da-DK"/>
        </w:rPr>
        <w:t>es</w:t>
      </w:r>
      <w:r w:rsidR="00581B86">
        <w:rPr>
          <w:rFonts w:eastAsia="Times New Roman" w:cstheme="minorHAnsi"/>
          <w:color w:val="000000"/>
          <w:lang w:val="en-US" w:eastAsia="da-DK"/>
        </w:rPr>
        <w:t xml:space="preserve"> not have to accept these metaphysical commitments in order to see that the theory may be put to pragmatic use in an important sense. The responsibility part of the theory claimed that asserting something is to assume responsibility for the claim’s truth, implying willingness to accept penalties in case the assertion proves false. By this definition, we can scrutinize the social field for where such penalties are actually practiced.</w:t>
      </w:r>
      <w:r w:rsidR="00CD558D">
        <w:rPr>
          <w:rStyle w:val="Slutnotehenvisning"/>
          <w:rFonts w:eastAsia="Times New Roman" w:cstheme="minorHAnsi"/>
          <w:color w:val="000000"/>
          <w:lang w:val="en-US" w:eastAsia="da-DK"/>
        </w:rPr>
        <w:endnoteReference w:id="12"/>
      </w:r>
      <w:r w:rsidR="00581B86">
        <w:rPr>
          <w:rFonts w:eastAsia="Times New Roman" w:cstheme="minorHAnsi"/>
          <w:color w:val="000000"/>
          <w:lang w:val="en-US" w:eastAsia="da-DK"/>
        </w:rPr>
        <w:t xml:space="preserve"> When a journalist is sacked for not checking sources and publishing unwarranted claims, when an academic is relegated for having provided falsified evidence, when a draughtsman is threatened for claimed implications </w:t>
      </w:r>
      <w:r w:rsidR="00CD558D">
        <w:rPr>
          <w:rFonts w:eastAsia="Times New Roman" w:cstheme="minorHAnsi"/>
          <w:color w:val="000000"/>
          <w:lang w:val="en-US" w:eastAsia="da-DK"/>
        </w:rPr>
        <w:t>of</w:t>
      </w:r>
      <w:r w:rsidR="00581B86">
        <w:rPr>
          <w:rFonts w:eastAsia="Times New Roman" w:cstheme="minorHAnsi"/>
          <w:color w:val="000000"/>
          <w:lang w:val="en-US" w:eastAsia="da-DK"/>
        </w:rPr>
        <w:t xml:space="preserve"> a cartoon, and in many more cases, we see Peircean responsibility-for-assertion at work. The theory does not give us tools to settle such cases because they depend upon the facts referred to and the intended responsibility of the utterers, but it shows us </w:t>
      </w:r>
      <w:r w:rsidR="00355A22">
        <w:rPr>
          <w:rFonts w:eastAsia="Times New Roman" w:cstheme="minorHAnsi"/>
          <w:color w:val="000000"/>
          <w:lang w:val="en-US" w:eastAsia="da-DK"/>
        </w:rPr>
        <w:t>why</w:t>
      </w:r>
      <w:r w:rsidR="00581B86">
        <w:rPr>
          <w:rFonts w:eastAsia="Times New Roman" w:cstheme="minorHAnsi"/>
          <w:color w:val="000000"/>
          <w:lang w:val="en-US" w:eastAsia="da-DK"/>
        </w:rPr>
        <w:t xml:space="preserve"> struggles over the truth of assertions </w:t>
      </w:r>
      <w:r w:rsidR="00411B3A">
        <w:rPr>
          <w:rFonts w:eastAsia="Times New Roman" w:cstheme="minorHAnsi"/>
          <w:color w:val="000000"/>
          <w:lang w:val="en-US" w:eastAsia="da-DK"/>
        </w:rPr>
        <w:t>are</w:t>
      </w:r>
      <w:r w:rsidR="00581B86">
        <w:rPr>
          <w:rFonts w:eastAsia="Times New Roman" w:cstheme="minorHAnsi"/>
          <w:color w:val="000000"/>
          <w:lang w:val="en-US" w:eastAsia="da-DK"/>
        </w:rPr>
        <w:t xml:space="preserve"> om</w:t>
      </w:r>
      <w:r w:rsidR="00CD558D">
        <w:rPr>
          <w:rFonts w:eastAsia="Times New Roman" w:cstheme="minorHAnsi"/>
          <w:color w:val="000000"/>
          <w:lang w:val="en-US" w:eastAsia="da-DK"/>
        </w:rPr>
        <w:t>ni</w:t>
      </w:r>
      <w:r w:rsidR="00581B86">
        <w:rPr>
          <w:rFonts w:eastAsia="Times New Roman" w:cstheme="minorHAnsi"/>
          <w:color w:val="000000"/>
          <w:lang w:val="en-US" w:eastAsia="da-DK"/>
        </w:rPr>
        <w:t xml:space="preserve">present in the public sphere of modern societies. </w:t>
      </w:r>
      <w:r w:rsidR="00355A22">
        <w:rPr>
          <w:rFonts w:eastAsia="Times New Roman" w:cstheme="minorHAnsi"/>
          <w:color w:val="000000"/>
          <w:lang w:val="en-US" w:eastAsia="da-DK"/>
        </w:rPr>
        <w:t xml:space="preserve">In a period of infights over “fake news”, Peirce’s theories of assertions may give us a semiotic grasp of what is going on which differs radically from the truth nihilism of more conventionalist </w:t>
      </w:r>
      <w:r w:rsidR="00FB3711">
        <w:rPr>
          <w:rFonts w:eastAsia="Times New Roman" w:cstheme="minorHAnsi"/>
          <w:color w:val="000000"/>
          <w:lang w:val="en-US" w:eastAsia="da-DK"/>
        </w:rPr>
        <w:t xml:space="preserve">or constructivist </w:t>
      </w:r>
      <w:r w:rsidR="00355A22">
        <w:rPr>
          <w:rFonts w:eastAsia="Times New Roman" w:cstheme="minorHAnsi"/>
          <w:color w:val="000000"/>
          <w:lang w:val="en-US" w:eastAsia="da-DK"/>
        </w:rPr>
        <w:t>semiotics. I</w:t>
      </w:r>
      <w:r w:rsidR="00581B86">
        <w:rPr>
          <w:rFonts w:eastAsia="Times New Roman" w:cstheme="minorHAnsi"/>
          <w:color w:val="000000"/>
          <w:lang w:val="en-US" w:eastAsia="da-DK"/>
        </w:rPr>
        <w:t>t is hard to remain a relativist if one do</w:t>
      </w:r>
      <w:r w:rsidR="00CD558D">
        <w:rPr>
          <w:rFonts w:eastAsia="Times New Roman" w:cstheme="minorHAnsi"/>
          <w:color w:val="000000"/>
          <w:lang w:val="en-US" w:eastAsia="da-DK"/>
        </w:rPr>
        <w:t>es</w:t>
      </w:r>
      <w:r w:rsidR="00581B86">
        <w:rPr>
          <w:rFonts w:eastAsia="Times New Roman" w:cstheme="minorHAnsi"/>
          <w:color w:val="000000"/>
          <w:lang w:val="en-US" w:eastAsia="da-DK"/>
        </w:rPr>
        <w:t xml:space="preserve"> not want to dismiss the totality of such struggles</w:t>
      </w:r>
      <w:r w:rsidR="00CD558D">
        <w:rPr>
          <w:rFonts w:eastAsia="Times New Roman" w:cstheme="minorHAnsi"/>
          <w:color w:val="000000"/>
          <w:lang w:val="en-US" w:eastAsia="da-DK"/>
        </w:rPr>
        <w:t xml:space="preserve"> over assertions</w:t>
      </w:r>
      <w:r w:rsidR="00581B86">
        <w:rPr>
          <w:rFonts w:eastAsia="Times New Roman" w:cstheme="minorHAnsi"/>
          <w:color w:val="000000"/>
          <w:lang w:val="en-US" w:eastAsia="da-DK"/>
        </w:rPr>
        <w:t xml:space="preserve"> as mere wars of raw power. </w:t>
      </w:r>
    </w:p>
    <w:p w14:paraId="539753FA" w14:textId="77777777" w:rsidR="00FB18D9" w:rsidRDefault="00FB18D9" w:rsidP="00405B5F">
      <w:pPr>
        <w:spacing w:line="276" w:lineRule="auto"/>
        <w:rPr>
          <w:rFonts w:eastAsia="Times New Roman" w:cstheme="minorHAnsi"/>
          <w:color w:val="000000"/>
          <w:lang w:val="en-US" w:eastAsia="da-DK"/>
        </w:rPr>
      </w:pPr>
    </w:p>
    <w:p w14:paraId="6F7D91E2" w14:textId="77777777" w:rsidR="00FB18D9" w:rsidRDefault="00A80DB2" w:rsidP="00FB18D9">
      <w:pPr>
        <w:spacing w:line="276" w:lineRule="auto"/>
        <w:rPr>
          <w:rFonts w:eastAsia="Times New Roman" w:cstheme="minorHAnsi"/>
          <w:color w:val="000000"/>
          <w:lang w:val="en-US" w:eastAsia="da-DK"/>
        </w:rPr>
      </w:pPr>
      <w:r>
        <w:rPr>
          <w:rFonts w:eastAsia="Times New Roman" w:cstheme="minorHAnsi"/>
          <w:color w:val="000000"/>
          <w:lang w:val="en-US" w:eastAsia="da-DK"/>
        </w:rPr>
        <w:t>Literature</w:t>
      </w:r>
    </w:p>
    <w:p w14:paraId="3F5272CD" w14:textId="77777777" w:rsidR="00A80DB2" w:rsidRPr="00FB18D9" w:rsidRDefault="00A80DB2" w:rsidP="00FB18D9">
      <w:pPr>
        <w:spacing w:line="276" w:lineRule="auto"/>
        <w:rPr>
          <w:rFonts w:eastAsia="Times New Roman" w:cstheme="minorHAnsi"/>
          <w:color w:val="000000"/>
          <w:lang w:val="en-US" w:eastAsia="da-DK"/>
        </w:rPr>
      </w:pPr>
      <w:r w:rsidRPr="00A80DB2">
        <w:rPr>
          <w:rFonts w:cs="RealpagePLA3-Bold"/>
          <w:lang w:val="en-US"/>
        </w:rPr>
        <w:lastRenderedPageBreak/>
        <w:t xml:space="preserve">Bellucci, Francesco </w:t>
      </w:r>
      <w:r w:rsidRPr="00A80DB2">
        <w:rPr>
          <w:rFonts w:cs="TrebuchetMS"/>
          <w:lang w:val="en-US"/>
        </w:rPr>
        <w:t xml:space="preserve">2013 </w:t>
      </w:r>
      <w:r w:rsidRPr="00A80DB2">
        <w:rPr>
          <w:rFonts w:cs="Arial"/>
          <w:lang w:val="en-US"/>
        </w:rPr>
        <w:t>"Peirce's Continuous Predicates</w:t>
      </w:r>
      <w:r w:rsidRPr="00A80DB2">
        <w:rPr>
          <w:rFonts w:cs="TimesNewRomanPS-BoldItalicMT"/>
          <w:bCs/>
          <w:iCs/>
          <w:lang w:val="en-US"/>
        </w:rPr>
        <w:t xml:space="preserve">", </w:t>
      </w:r>
      <w:r w:rsidRPr="00A80DB2">
        <w:rPr>
          <w:rFonts w:cs="TimesNewRomanPS-BoldItalicMT"/>
          <w:bCs/>
          <w:i/>
          <w:iCs/>
          <w:lang w:val="en-US"/>
        </w:rPr>
        <w:t xml:space="preserve">Transactions of the Charles S. Peirce </w:t>
      </w:r>
      <w:r w:rsidRPr="00A80DB2">
        <w:rPr>
          <w:rFonts w:cs="TimesNewRomanPS-BoldItalicMT"/>
          <w:bCs/>
          <w:i/>
          <w:iCs/>
          <w:lang w:val="en-US"/>
        </w:rPr>
        <w:tab/>
        <w:t xml:space="preserve">Society, </w:t>
      </w:r>
      <w:r w:rsidRPr="00A80DB2">
        <w:rPr>
          <w:rFonts w:cs="TimesNewRomanPS-BoldItalicMT"/>
          <w:bCs/>
          <w:iCs/>
          <w:lang w:val="en-US"/>
        </w:rPr>
        <w:t xml:space="preserve">vol. 49, no. 2, </w:t>
      </w:r>
      <w:r w:rsidRPr="00A80DB2">
        <w:rPr>
          <w:rFonts w:cs="Arial"/>
          <w:lang w:val="en-US"/>
        </w:rPr>
        <w:t>178-202</w:t>
      </w:r>
    </w:p>
    <w:p w14:paraId="590B0B4C" w14:textId="77777777" w:rsidR="00A80DB2" w:rsidRPr="00A80DB2" w:rsidRDefault="00A80DB2" w:rsidP="00A80DB2">
      <w:pPr>
        <w:rPr>
          <w:rFonts w:eastAsia="Times New Roman" w:cs="Times New Roman"/>
          <w:lang w:val="en-US"/>
        </w:rPr>
      </w:pPr>
      <w:r w:rsidRPr="00A80DB2">
        <w:rPr>
          <w:rFonts w:cs="TrebuchetMS"/>
          <w:lang w:val="en-US"/>
        </w:rPr>
        <w:t>–</w:t>
      </w:r>
      <w:r w:rsidRPr="00A80DB2">
        <w:rPr>
          <w:rFonts w:cs="TrebuchetMS"/>
          <w:lang w:val="en-US"/>
        </w:rPr>
        <w:tab/>
      </w:r>
      <w:r w:rsidRPr="00A80DB2">
        <w:rPr>
          <w:rFonts w:cs="RealpagePLA3-Bold"/>
          <w:lang w:val="en-US"/>
        </w:rPr>
        <w:t xml:space="preserve"> 2014 </w:t>
      </w:r>
      <w:r w:rsidRPr="00A80DB2">
        <w:rPr>
          <w:rFonts w:cs="TrebuchetMS"/>
          <w:lang w:val="en-US"/>
        </w:rPr>
        <w:t>"</w:t>
      </w:r>
      <w:r w:rsidRPr="00A80DB2">
        <w:rPr>
          <w:rFonts w:cs="TimesNewRomanPS-BoldItalicMT"/>
          <w:bCs/>
          <w:iCs/>
          <w:lang w:val="en-US"/>
        </w:rPr>
        <w:t xml:space="preserve">Peirce and the Unity of the Proposition", </w:t>
      </w:r>
      <w:r w:rsidRPr="00A80DB2">
        <w:rPr>
          <w:rFonts w:cs="TimesNewRomanPS-BoldItalicMT"/>
          <w:bCs/>
          <w:i/>
          <w:iCs/>
          <w:lang w:val="en-US"/>
        </w:rPr>
        <w:t xml:space="preserve">Transactions of the Charles S. </w:t>
      </w:r>
      <w:r w:rsidRPr="00A80DB2">
        <w:rPr>
          <w:rFonts w:cs="TimesNewRomanPS-BoldItalicMT"/>
          <w:bCs/>
          <w:i/>
          <w:iCs/>
          <w:lang w:val="en-US"/>
        </w:rPr>
        <w:tab/>
        <w:t>Peirce Society,</w:t>
      </w:r>
      <w:r w:rsidRPr="00A80DB2">
        <w:rPr>
          <w:rFonts w:eastAsia="Times New Roman" w:cs="Times New Roman"/>
          <w:color w:val="333333"/>
          <w:shd w:val="clear" w:color="auto" w:fill="FFFFFF"/>
          <w:lang w:val="en-US"/>
        </w:rPr>
        <w:t xml:space="preserve"> vol. 50, no. 2: 201-219 </w:t>
      </w:r>
    </w:p>
    <w:p w14:paraId="17BD40DF" w14:textId="77777777" w:rsidR="00A80DB2" w:rsidRDefault="00A80DB2" w:rsidP="00A80DB2">
      <w:pPr>
        <w:widowControl w:val="0"/>
        <w:autoSpaceDE w:val="0"/>
        <w:autoSpaceDN w:val="0"/>
        <w:adjustRightInd w:val="0"/>
        <w:ind w:left="-57"/>
        <w:rPr>
          <w:rFonts w:cs="TimesNewRomanPSMT"/>
          <w:lang w:val="en-US"/>
        </w:rPr>
      </w:pPr>
      <w:r w:rsidRPr="00A80DB2">
        <w:rPr>
          <w:rFonts w:cs="TimesNewRomanPSMT"/>
          <w:lang w:val="en-US"/>
        </w:rPr>
        <w:t>–</w:t>
      </w:r>
      <w:r w:rsidRPr="00A80DB2">
        <w:rPr>
          <w:rFonts w:cs="TimesNewRomanPSMT"/>
          <w:lang w:val="en-US"/>
        </w:rPr>
        <w:tab/>
        <w:t xml:space="preserve">2015 "Exploring Peirce's Speculative Grammar: The Immediate Object of a Sign", </w:t>
      </w:r>
      <w:r w:rsidRPr="00A80DB2">
        <w:rPr>
          <w:rFonts w:cs="TimesNewRomanPSMT"/>
          <w:lang w:val="en-US"/>
        </w:rPr>
        <w:tab/>
      </w:r>
      <w:r w:rsidRPr="00A80DB2">
        <w:rPr>
          <w:rFonts w:cs="TimesNewRomanPSMT"/>
          <w:lang w:val="en-US"/>
        </w:rPr>
        <w:tab/>
      </w:r>
      <w:r w:rsidRPr="00A80DB2">
        <w:rPr>
          <w:rFonts w:cs="TimesNewRomanPSMT"/>
          <w:i/>
          <w:lang w:val="en-US"/>
        </w:rPr>
        <w:t>Sign Systems Studies</w:t>
      </w:r>
      <w:r w:rsidRPr="00A80DB2">
        <w:rPr>
          <w:rFonts w:cs="TimesNewRomanPSMT"/>
          <w:lang w:val="en-US"/>
        </w:rPr>
        <w:t xml:space="preserve"> 43(4), 399-415</w:t>
      </w:r>
    </w:p>
    <w:p w14:paraId="526E71D1" w14:textId="77777777" w:rsidR="00A8437F" w:rsidRPr="00E903B0" w:rsidRDefault="00A80DB2" w:rsidP="00AE6BA4">
      <w:pPr>
        <w:widowControl w:val="0"/>
        <w:autoSpaceDE w:val="0"/>
        <w:autoSpaceDN w:val="0"/>
        <w:adjustRightInd w:val="0"/>
        <w:ind w:left="1304" w:firstLine="60"/>
        <w:rPr>
          <w:rFonts w:cstheme="minorHAnsi"/>
          <w:lang w:val="en-US"/>
        </w:rPr>
      </w:pPr>
      <w:r w:rsidRPr="00A80DB2">
        <w:rPr>
          <w:lang w:val="en-US"/>
        </w:rPr>
        <w:t xml:space="preserve">2017:  </w:t>
      </w:r>
      <w:r w:rsidRPr="00A80DB2">
        <w:rPr>
          <w:i/>
          <w:lang w:val="en-US"/>
        </w:rPr>
        <w:t>Peirce's Speculative Gr</w:t>
      </w:r>
      <w:r w:rsidRPr="00E903B0">
        <w:rPr>
          <w:rFonts w:cstheme="minorHAnsi"/>
          <w:i/>
          <w:lang w:val="en-US"/>
        </w:rPr>
        <w:t>ammar. Logic as Semiotics</w:t>
      </w:r>
      <w:r w:rsidRPr="00E903B0">
        <w:rPr>
          <w:rFonts w:cstheme="minorHAnsi"/>
          <w:lang w:val="en-US"/>
        </w:rPr>
        <w:t>, N.Y. and London: Routledge</w:t>
      </w:r>
    </w:p>
    <w:p w14:paraId="721151B7" w14:textId="77777777" w:rsidR="00E903B0" w:rsidRPr="00E903B0" w:rsidRDefault="00E903B0" w:rsidP="00E903B0">
      <w:pPr>
        <w:autoSpaceDE w:val="0"/>
        <w:autoSpaceDN w:val="0"/>
        <w:adjustRightInd w:val="0"/>
        <w:rPr>
          <w:rFonts w:cstheme="minorHAnsi"/>
          <w:lang w:val="en-US"/>
        </w:rPr>
      </w:pPr>
      <w:r w:rsidRPr="00E903B0">
        <w:rPr>
          <w:rFonts w:cstheme="minorHAnsi"/>
          <w:lang w:val="en-US"/>
        </w:rPr>
        <w:t xml:space="preserve">Kant, Immanuel, 1784: „Was </w:t>
      </w:r>
      <w:proofErr w:type="spellStart"/>
      <w:r w:rsidRPr="00E903B0">
        <w:rPr>
          <w:rFonts w:cstheme="minorHAnsi"/>
          <w:lang w:val="en-US"/>
        </w:rPr>
        <w:t>ist</w:t>
      </w:r>
      <w:proofErr w:type="spellEnd"/>
      <w:r w:rsidRPr="00E903B0">
        <w:rPr>
          <w:rFonts w:cstheme="minorHAnsi"/>
          <w:lang w:val="en-US"/>
        </w:rPr>
        <w:t xml:space="preserve"> </w:t>
      </w:r>
      <w:proofErr w:type="gramStart"/>
      <w:r w:rsidRPr="00E903B0">
        <w:rPr>
          <w:rFonts w:cstheme="minorHAnsi"/>
          <w:lang w:val="en-US"/>
        </w:rPr>
        <w:t>Aufklärung?“</w:t>
      </w:r>
      <w:proofErr w:type="gramEnd"/>
      <w:r w:rsidRPr="00E903B0">
        <w:rPr>
          <w:rFonts w:cstheme="minorHAnsi"/>
          <w:lang w:val="en-US"/>
        </w:rPr>
        <w:t xml:space="preserve">, </w:t>
      </w:r>
      <w:proofErr w:type="spellStart"/>
      <w:r w:rsidRPr="00E903B0">
        <w:rPr>
          <w:rFonts w:cstheme="minorHAnsi"/>
          <w:i/>
          <w:lang w:val="en-US"/>
        </w:rPr>
        <w:t>Berlinische</w:t>
      </w:r>
      <w:proofErr w:type="spellEnd"/>
      <w:r w:rsidRPr="00E903B0">
        <w:rPr>
          <w:rFonts w:cstheme="minorHAnsi"/>
          <w:i/>
          <w:lang w:val="en-US"/>
        </w:rPr>
        <w:t xml:space="preserve"> </w:t>
      </w:r>
      <w:proofErr w:type="spellStart"/>
      <w:r w:rsidRPr="00E903B0">
        <w:rPr>
          <w:rFonts w:cstheme="minorHAnsi"/>
          <w:i/>
          <w:lang w:val="en-US"/>
        </w:rPr>
        <w:t>Monatsschrift</w:t>
      </w:r>
      <w:proofErr w:type="spellEnd"/>
      <w:r w:rsidRPr="00E903B0">
        <w:rPr>
          <w:rFonts w:cstheme="minorHAnsi"/>
          <w:lang w:val="en-US"/>
        </w:rPr>
        <w:t>,</w:t>
      </w:r>
      <w:r>
        <w:rPr>
          <w:rFonts w:cstheme="minorHAnsi"/>
          <w:lang w:val="en-US"/>
        </w:rPr>
        <w:t xml:space="preserve"> Vol.</w:t>
      </w:r>
      <w:r w:rsidRPr="00E903B0">
        <w:rPr>
          <w:rFonts w:cstheme="minorHAnsi"/>
          <w:lang w:val="en-US"/>
        </w:rPr>
        <w:t xml:space="preserve"> 4, 481–494; https://de.wikisource.org/wiki/Beantwortung_der_Frage:_Was_ist_Aufklärung%3F</w:t>
      </w:r>
    </w:p>
    <w:p w14:paraId="1D78BDD0" w14:textId="77777777" w:rsidR="0062101C" w:rsidRPr="00E903B0" w:rsidRDefault="00A80DB2" w:rsidP="00E903B0">
      <w:pPr>
        <w:widowControl w:val="0"/>
        <w:autoSpaceDE w:val="0"/>
        <w:autoSpaceDN w:val="0"/>
        <w:adjustRightInd w:val="0"/>
        <w:rPr>
          <w:rFonts w:cstheme="minorHAnsi"/>
          <w:lang w:val="en-US"/>
        </w:rPr>
      </w:pPr>
      <w:r w:rsidRPr="00E903B0">
        <w:rPr>
          <w:rFonts w:cstheme="minorHAnsi"/>
          <w:lang w:val="en-US"/>
        </w:rPr>
        <w:t xml:space="preserve">Murphey, Murray (1961) </w:t>
      </w:r>
      <w:r w:rsidRPr="00E903B0">
        <w:rPr>
          <w:rFonts w:cstheme="minorHAnsi"/>
          <w:i/>
          <w:lang w:val="en-US"/>
        </w:rPr>
        <w:t>The Development of Peirce's Philosophy</w:t>
      </w:r>
      <w:r w:rsidRPr="00E903B0">
        <w:rPr>
          <w:rFonts w:cstheme="minorHAnsi"/>
          <w:lang w:val="en-US"/>
        </w:rPr>
        <w:t>, Harvard Mass: Cambridge UP</w:t>
      </w:r>
    </w:p>
    <w:p w14:paraId="3C16906E" w14:textId="77777777" w:rsidR="00A80DB2" w:rsidRPr="0062101C" w:rsidRDefault="00A80DB2" w:rsidP="00FB18D9">
      <w:pPr>
        <w:widowControl w:val="0"/>
        <w:autoSpaceDE w:val="0"/>
        <w:autoSpaceDN w:val="0"/>
        <w:adjustRightInd w:val="0"/>
        <w:rPr>
          <w:rFonts w:cs="TimesNewRomanPSMT"/>
          <w:lang w:val="en-US"/>
        </w:rPr>
      </w:pPr>
      <w:r w:rsidRPr="00E903B0">
        <w:rPr>
          <w:rFonts w:cstheme="minorHAnsi"/>
          <w:lang w:val="en-US"/>
        </w:rPr>
        <w:t xml:space="preserve">Peirce, C. 1977 </w:t>
      </w:r>
      <w:r w:rsidRPr="00E903B0">
        <w:rPr>
          <w:rStyle w:val="a-size-extra-large"/>
          <w:rFonts w:cstheme="minorHAnsi"/>
          <w:i/>
          <w:color w:val="111111"/>
          <w:lang w:val="en-US"/>
        </w:rPr>
        <w:t>Semiotic &amp; Significs: The Correspondence Between Charles S. Peirce &amp; Victoria Lady W</w:t>
      </w:r>
      <w:r w:rsidRPr="00E903B0">
        <w:rPr>
          <w:rStyle w:val="a-size-extra-large"/>
          <w:rFonts w:cstheme="minorHAnsi"/>
          <w:i/>
          <w:color w:val="000000" w:themeColor="text1"/>
          <w:lang w:val="en-US"/>
        </w:rPr>
        <w:t>elby</w:t>
      </w:r>
      <w:r w:rsidRPr="00E903B0">
        <w:rPr>
          <w:rStyle w:val="apple-converted-space"/>
          <w:rFonts w:cstheme="minorHAnsi"/>
          <w:i/>
          <w:color w:val="000000" w:themeColor="text1"/>
          <w:lang w:val="en-US"/>
        </w:rPr>
        <w:t> </w:t>
      </w:r>
      <w:r w:rsidRPr="00E903B0">
        <w:rPr>
          <w:rFonts w:cstheme="minorHAnsi"/>
          <w:color w:val="000000" w:themeColor="text1"/>
          <w:lang w:val="en-US"/>
        </w:rPr>
        <w:t xml:space="preserve"> (eds.</w:t>
      </w:r>
      <w:r w:rsidRPr="00E903B0">
        <w:rPr>
          <w:rStyle w:val="apple-converted-space"/>
          <w:rFonts w:cstheme="minorHAnsi"/>
          <w:color w:val="000000" w:themeColor="text1"/>
          <w:lang w:val="en-US"/>
        </w:rPr>
        <w:t> </w:t>
      </w:r>
      <w:hyperlink r:id="rId7" w:history="1">
        <w:r w:rsidRPr="00E903B0">
          <w:rPr>
            <w:rStyle w:val="Hyperlink"/>
            <w:rFonts w:cstheme="minorHAnsi"/>
            <w:color w:val="000000" w:themeColor="text1"/>
            <w:u w:val="none"/>
            <w:lang w:val="en-US"/>
          </w:rPr>
          <w:t>Charles S. Hardwick</w:t>
        </w:r>
      </w:hyperlink>
      <w:r w:rsidRPr="00E903B0">
        <w:rPr>
          <w:rStyle w:val="apple-converted-space"/>
          <w:rFonts w:cstheme="minorHAnsi"/>
          <w:color w:val="000000" w:themeColor="text1"/>
          <w:lang w:val="en-US"/>
        </w:rPr>
        <w:t> </w:t>
      </w:r>
      <w:r w:rsidRPr="00E903B0">
        <w:rPr>
          <w:rStyle w:val="a-color-secondary"/>
          <w:rFonts w:cstheme="minorHAnsi"/>
          <w:color w:val="000000" w:themeColor="text1"/>
          <w:lang w:val="en-US"/>
        </w:rPr>
        <w:t xml:space="preserve">and </w:t>
      </w:r>
      <w:hyperlink r:id="rId8" w:history="1">
        <w:r w:rsidRPr="00E903B0">
          <w:rPr>
            <w:rStyle w:val="Hyperlink"/>
            <w:rFonts w:cstheme="minorHAnsi"/>
            <w:color w:val="000000" w:themeColor="text1"/>
            <w:u w:val="none"/>
            <w:lang w:val="en-US"/>
          </w:rPr>
          <w:t>James Cook</w:t>
        </w:r>
      </w:hyperlink>
      <w:r w:rsidRPr="00E903B0">
        <w:rPr>
          <w:rStyle w:val="apple-converted-space"/>
          <w:rFonts w:cstheme="minorHAnsi"/>
          <w:color w:val="000000" w:themeColor="text1"/>
          <w:lang w:val="en-US"/>
        </w:rPr>
        <w:t xml:space="preserve">), </w:t>
      </w:r>
      <w:r w:rsidRPr="0023108D">
        <w:rPr>
          <w:rStyle w:val="apple-converted-space"/>
          <w:rFonts w:cstheme="minorHAnsi"/>
          <w:color w:val="111111"/>
          <w:lang w:val="en-US"/>
        </w:rPr>
        <w:t>Bloomington: Indiana University Press</w:t>
      </w:r>
    </w:p>
    <w:p w14:paraId="48AFAAD2" w14:textId="77777777" w:rsidR="00A80DB2" w:rsidRPr="002862ED" w:rsidRDefault="00A80DB2" w:rsidP="00A80DB2">
      <w:pPr>
        <w:widowControl w:val="0"/>
        <w:autoSpaceDE w:val="0"/>
        <w:autoSpaceDN w:val="0"/>
        <w:adjustRightInd w:val="0"/>
        <w:rPr>
          <w:rFonts w:cstheme="minorHAnsi"/>
          <w:lang w:val="en-US"/>
        </w:rPr>
      </w:pPr>
      <w:r w:rsidRPr="0023108D">
        <w:rPr>
          <w:rFonts w:cstheme="minorHAnsi"/>
          <w:lang w:val="en-US"/>
        </w:rPr>
        <w:t xml:space="preserve">– 1982ff. </w:t>
      </w:r>
      <w:r w:rsidRPr="0023108D">
        <w:rPr>
          <w:rFonts w:cstheme="minorHAnsi"/>
          <w:i/>
          <w:lang w:val="en-US"/>
        </w:rPr>
        <w:t>Writings</w:t>
      </w:r>
      <w:r w:rsidRPr="0023108D">
        <w:rPr>
          <w:rFonts w:cstheme="minorHAnsi"/>
          <w:lang w:val="en-US"/>
        </w:rPr>
        <w:t xml:space="preserve"> vols. I</w:t>
      </w:r>
      <w:r w:rsidRPr="002862ED">
        <w:rPr>
          <w:rFonts w:cstheme="minorHAnsi"/>
          <w:lang w:val="en-US"/>
        </w:rPr>
        <w:t>-IV; VIII, Bloomington: Indiana University Press</w:t>
      </w:r>
    </w:p>
    <w:p w14:paraId="1639127C" w14:textId="77777777" w:rsidR="00A80DB2" w:rsidRPr="002862ED" w:rsidRDefault="00A80DB2" w:rsidP="00A80DB2">
      <w:pPr>
        <w:widowControl w:val="0"/>
        <w:autoSpaceDE w:val="0"/>
        <w:autoSpaceDN w:val="0"/>
        <w:adjustRightInd w:val="0"/>
        <w:rPr>
          <w:rFonts w:cstheme="minorHAnsi"/>
          <w:lang w:val="en-US"/>
        </w:rPr>
      </w:pPr>
      <w:r w:rsidRPr="002862ED">
        <w:rPr>
          <w:rFonts w:cstheme="minorHAnsi"/>
          <w:lang w:val="en-US"/>
        </w:rPr>
        <w:t xml:space="preserve">– 1992 </w:t>
      </w:r>
      <w:r w:rsidRPr="002862ED">
        <w:rPr>
          <w:rFonts w:cstheme="minorHAnsi"/>
          <w:i/>
          <w:lang w:val="en-US"/>
        </w:rPr>
        <w:t>The Essential Peirce</w:t>
      </w:r>
      <w:r w:rsidRPr="002862ED">
        <w:rPr>
          <w:rFonts w:cstheme="minorHAnsi"/>
          <w:lang w:val="en-US"/>
        </w:rPr>
        <w:t>, vol. I (1867-1893) (referred to as EPI)</w:t>
      </w:r>
    </w:p>
    <w:p w14:paraId="2686CA82" w14:textId="77777777" w:rsidR="00A80DB2" w:rsidRPr="002862ED" w:rsidRDefault="00A80DB2" w:rsidP="00A80DB2">
      <w:pPr>
        <w:rPr>
          <w:rFonts w:cstheme="minorHAnsi"/>
          <w:lang w:val="en-US"/>
        </w:rPr>
      </w:pPr>
      <w:r w:rsidRPr="002862ED">
        <w:rPr>
          <w:rFonts w:cstheme="minorHAnsi"/>
          <w:lang w:val="en-US"/>
        </w:rPr>
        <w:t xml:space="preserve">(eds. N. Houser and C. </w:t>
      </w:r>
      <w:proofErr w:type="spellStart"/>
      <w:r w:rsidRPr="002862ED">
        <w:rPr>
          <w:rFonts w:cstheme="minorHAnsi"/>
          <w:lang w:val="en-US"/>
        </w:rPr>
        <w:t>Kloesel</w:t>
      </w:r>
      <w:proofErr w:type="spellEnd"/>
      <w:r w:rsidRPr="002862ED">
        <w:rPr>
          <w:rFonts w:cstheme="minorHAnsi"/>
          <w:lang w:val="en-US"/>
        </w:rPr>
        <w:t>), Bloomington: Indiana University Press</w:t>
      </w:r>
    </w:p>
    <w:p w14:paraId="1C139E31" w14:textId="77777777" w:rsidR="00A80DB2" w:rsidRPr="0023108D" w:rsidRDefault="00A80DB2" w:rsidP="00A80DB2">
      <w:pPr>
        <w:widowControl w:val="0"/>
        <w:autoSpaceDE w:val="0"/>
        <w:autoSpaceDN w:val="0"/>
        <w:adjustRightInd w:val="0"/>
        <w:rPr>
          <w:rFonts w:cstheme="minorHAnsi"/>
          <w:lang w:val="en-US"/>
        </w:rPr>
      </w:pPr>
      <w:r>
        <w:rPr>
          <w:rFonts w:cstheme="minorHAnsi"/>
          <w:lang w:val="en-US"/>
        </w:rPr>
        <w:t>–</w:t>
      </w:r>
      <w:r w:rsidRPr="0023108D">
        <w:rPr>
          <w:rFonts w:cstheme="minorHAnsi"/>
          <w:lang w:val="en-US"/>
        </w:rPr>
        <w:t xml:space="preserve">1998. </w:t>
      </w:r>
      <w:r w:rsidRPr="0023108D">
        <w:rPr>
          <w:rFonts w:cstheme="minorHAnsi"/>
          <w:i/>
          <w:lang w:val="en-US"/>
        </w:rPr>
        <w:t xml:space="preserve">Collected </w:t>
      </w:r>
      <w:proofErr w:type="gramStart"/>
      <w:r w:rsidRPr="0023108D">
        <w:rPr>
          <w:rFonts w:cstheme="minorHAnsi"/>
          <w:i/>
          <w:lang w:val="en-US"/>
        </w:rPr>
        <w:t>Papers</w:t>
      </w:r>
      <w:r w:rsidRPr="0023108D">
        <w:rPr>
          <w:rFonts w:cstheme="minorHAnsi"/>
          <w:lang w:val="en-US"/>
        </w:rPr>
        <w:t xml:space="preserve">  [</w:t>
      </w:r>
      <w:proofErr w:type="gramEnd"/>
      <w:r w:rsidRPr="0023108D">
        <w:rPr>
          <w:rFonts w:cstheme="minorHAnsi"/>
          <w:lang w:val="en-US"/>
        </w:rPr>
        <w:t>CP, references given by volume and paragraph numbers], I-VIII, (ed. (ed. Hartshorne and Weiss; Burks) London: Thoemmes Press (1931-58)</w:t>
      </w:r>
    </w:p>
    <w:p w14:paraId="37A883C9" w14:textId="77777777" w:rsidR="00A80DB2" w:rsidRPr="002862ED" w:rsidRDefault="00A80DB2" w:rsidP="00A80DB2">
      <w:pPr>
        <w:widowControl w:val="0"/>
        <w:autoSpaceDE w:val="0"/>
        <w:autoSpaceDN w:val="0"/>
        <w:adjustRightInd w:val="0"/>
        <w:rPr>
          <w:rFonts w:cstheme="minorHAnsi"/>
          <w:lang w:val="en-US"/>
        </w:rPr>
      </w:pPr>
      <w:r w:rsidRPr="002862ED">
        <w:rPr>
          <w:rFonts w:cstheme="minorHAnsi"/>
          <w:lang w:val="en-US"/>
        </w:rPr>
        <w:t xml:space="preserve">– 1998a </w:t>
      </w:r>
      <w:r w:rsidRPr="002862ED">
        <w:rPr>
          <w:rFonts w:cstheme="minorHAnsi"/>
          <w:i/>
          <w:lang w:val="en-US"/>
        </w:rPr>
        <w:t xml:space="preserve">The Essential </w:t>
      </w:r>
      <w:proofErr w:type="gramStart"/>
      <w:r w:rsidRPr="002862ED">
        <w:rPr>
          <w:rFonts w:cstheme="minorHAnsi"/>
          <w:i/>
          <w:lang w:val="en-US"/>
        </w:rPr>
        <w:t>Peirce</w:t>
      </w:r>
      <w:r w:rsidRPr="002862ED">
        <w:rPr>
          <w:rFonts w:cstheme="minorHAnsi"/>
          <w:lang w:val="en-US"/>
        </w:rPr>
        <w:t xml:space="preserve"> ,</w:t>
      </w:r>
      <w:proofErr w:type="gramEnd"/>
      <w:r w:rsidRPr="002862ED">
        <w:rPr>
          <w:rFonts w:cstheme="minorHAnsi"/>
          <w:lang w:val="en-US"/>
        </w:rPr>
        <w:t xml:space="preserve"> vol. II (1893-1913) (referred to as EPII)</w:t>
      </w:r>
    </w:p>
    <w:p w14:paraId="56D48285" w14:textId="77777777" w:rsidR="00A80DB2" w:rsidRDefault="00A80DB2" w:rsidP="00A80DB2">
      <w:pPr>
        <w:rPr>
          <w:rFonts w:cstheme="minorHAnsi"/>
          <w:lang w:val="en-US"/>
        </w:rPr>
      </w:pPr>
      <w:r w:rsidRPr="002862ED">
        <w:rPr>
          <w:rFonts w:cstheme="minorHAnsi"/>
          <w:lang w:val="en-US"/>
        </w:rPr>
        <w:t xml:space="preserve">(eds. N. Houser and C. </w:t>
      </w:r>
      <w:proofErr w:type="spellStart"/>
      <w:r w:rsidRPr="002862ED">
        <w:rPr>
          <w:rFonts w:cstheme="minorHAnsi"/>
          <w:lang w:val="en-US"/>
        </w:rPr>
        <w:t>Kloesel</w:t>
      </w:r>
      <w:proofErr w:type="spellEnd"/>
      <w:r w:rsidRPr="002862ED">
        <w:rPr>
          <w:rFonts w:cstheme="minorHAnsi"/>
          <w:lang w:val="en-US"/>
        </w:rPr>
        <w:t>), Bloomington: Indiana University Press</w:t>
      </w:r>
    </w:p>
    <w:p w14:paraId="31A0139D" w14:textId="77777777" w:rsidR="00AE6BA4" w:rsidRPr="00AE6BA4" w:rsidRDefault="00AE6BA4" w:rsidP="00AE6BA4">
      <w:pPr>
        <w:rPr>
          <w:rFonts w:cstheme="minorHAnsi"/>
          <w:lang w:val="en-US"/>
        </w:rPr>
      </w:pPr>
      <w:r>
        <w:rPr>
          <w:rFonts w:cstheme="minorHAnsi"/>
          <w:lang w:val="en-US"/>
        </w:rPr>
        <w:t xml:space="preserve">-2020 </w:t>
      </w:r>
      <w:r>
        <w:rPr>
          <w:rFonts w:cstheme="minorHAnsi"/>
          <w:i/>
          <w:lang w:val="en-US"/>
        </w:rPr>
        <w:t xml:space="preserve">Selected Writings on Semiotics 1894-1912 </w:t>
      </w:r>
      <w:r>
        <w:rPr>
          <w:rFonts w:cstheme="minorHAnsi"/>
          <w:lang w:val="en-US"/>
        </w:rPr>
        <w:t>(ed. F. Bellucci), Berlin/Boston: Gruyter Mouton</w:t>
      </w:r>
    </w:p>
    <w:p w14:paraId="651D4C11" w14:textId="77777777" w:rsidR="00A80DB2" w:rsidRPr="002862ED" w:rsidRDefault="00A80DB2" w:rsidP="00A80DB2">
      <w:pPr>
        <w:autoSpaceDE w:val="0"/>
        <w:autoSpaceDN w:val="0"/>
        <w:adjustRightInd w:val="0"/>
        <w:rPr>
          <w:rFonts w:cstheme="minorHAnsi"/>
          <w:lang w:val="en-US"/>
        </w:rPr>
      </w:pPr>
      <w:r w:rsidRPr="002862ED">
        <w:rPr>
          <w:rFonts w:cstheme="minorHAnsi"/>
          <w:lang w:val="en-US"/>
        </w:rPr>
        <w:t>– Undated. Manuscripts at the Houghton Library referred to by Ms. numbers in the</w:t>
      </w:r>
    </w:p>
    <w:p w14:paraId="2FFC26CE" w14:textId="77777777" w:rsidR="00A80DB2" w:rsidRPr="00AE6BA4" w:rsidRDefault="00A80DB2" w:rsidP="00A80DB2">
      <w:pPr>
        <w:autoSpaceDE w:val="0"/>
        <w:autoSpaceDN w:val="0"/>
        <w:adjustRightInd w:val="0"/>
        <w:rPr>
          <w:rFonts w:cstheme="minorHAnsi"/>
          <w:i/>
          <w:lang w:val="en-US"/>
        </w:rPr>
      </w:pPr>
      <w:r w:rsidRPr="002862ED">
        <w:rPr>
          <w:rFonts w:cstheme="minorHAnsi"/>
          <w:lang w:val="en-US"/>
        </w:rPr>
        <w:t xml:space="preserve">Microfilm edition 1966 </w:t>
      </w:r>
      <w:r w:rsidRPr="00AE6BA4">
        <w:rPr>
          <w:rFonts w:cstheme="minorHAnsi"/>
          <w:i/>
          <w:lang w:val="en-US"/>
        </w:rPr>
        <w:t>The Charles S. Peirce Papers, Microfilm Edition, Thirty Reels</w:t>
      </w:r>
    </w:p>
    <w:p w14:paraId="7769859F" w14:textId="77777777" w:rsidR="00A80DB2" w:rsidRPr="002862ED" w:rsidRDefault="00A80DB2" w:rsidP="00A80DB2">
      <w:pPr>
        <w:autoSpaceDE w:val="0"/>
        <w:autoSpaceDN w:val="0"/>
        <w:adjustRightInd w:val="0"/>
        <w:rPr>
          <w:rFonts w:cstheme="minorHAnsi"/>
          <w:lang w:val="en-US"/>
        </w:rPr>
      </w:pPr>
      <w:r w:rsidRPr="00AE6BA4">
        <w:rPr>
          <w:rFonts w:cstheme="minorHAnsi"/>
          <w:i/>
          <w:lang w:val="en-US"/>
        </w:rPr>
        <w:t>with Two Supplementary Reels Later Added.</w:t>
      </w:r>
      <w:r w:rsidRPr="002862ED">
        <w:rPr>
          <w:rFonts w:cstheme="minorHAnsi"/>
          <w:lang w:val="en-US"/>
        </w:rPr>
        <w:t xml:space="preserve"> Cambridge: Harvard University Library</w:t>
      </w:r>
    </w:p>
    <w:p w14:paraId="26382E55" w14:textId="77777777" w:rsidR="00A80DB2" w:rsidRPr="0023108D" w:rsidRDefault="00A80DB2" w:rsidP="00AE6BA4">
      <w:pPr>
        <w:autoSpaceDE w:val="0"/>
        <w:autoSpaceDN w:val="0"/>
        <w:adjustRightInd w:val="0"/>
        <w:rPr>
          <w:rFonts w:cstheme="minorHAnsi"/>
          <w:lang w:val="en-US"/>
        </w:rPr>
      </w:pPr>
      <w:r w:rsidRPr="002862ED">
        <w:rPr>
          <w:rFonts w:cstheme="minorHAnsi"/>
          <w:lang w:val="en-US"/>
        </w:rPr>
        <w:t>Photographic Service</w:t>
      </w:r>
      <w:r w:rsidR="00AE6BA4">
        <w:rPr>
          <w:rFonts w:cstheme="minorHAnsi"/>
          <w:lang w:val="en-US"/>
        </w:rPr>
        <w:t xml:space="preserve"> (referred to as R)</w:t>
      </w:r>
      <w:r w:rsidRPr="002862ED">
        <w:rPr>
          <w:rFonts w:cstheme="minorHAnsi"/>
          <w:lang w:val="en-US"/>
        </w:rPr>
        <w:t xml:space="preserve">, numbers simultaneously referring to the </w:t>
      </w:r>
      <w:r w:rsidR="00AE6BA4">
        <w:rPr>
          <w:rFonts w:cstheme="minorHAnsi"/>
          <w:lang w:val="en-US"/>
        </w:rPr>
        <w:t xml:space="preserve">Richard </w:t>
      </w:r>
      <w:r w:rsidRPr="002862ED">
        <w:rPr>
          <w:rFonts w:cstheme="minorHAnsi"/>
          <w:lang w:val="en-US"/>
        </w:rPr>
        <w:t>Robin catalogue of the</w:t>
      </w:r>
      <w:r w:rsidR="00AE6BA4">
        <w:rPr>
          <w:rFonts w:cstheme="minorHAnsi"/>
          <w:lang w:val="en-US"/>
        </w:rPr>
        <w:t xml:space="preserve"> </w:t>
      </w:r>
      <w:r w:rsidRPr="002862ED">
        <w:rPr>
          <w:rFonts w:cstheme="minorHAnsi"/>
          <w:lang w:val="en-US"/>
        </w:rPr>
        <w:t xml:space="preserve">Mss. </w:t>
      </w:r>
      <w:r w:rsidR="00AE6BA4">
        <w:rPr>
          <w:rFonts w:cstheme="minorHAnsi"/>
          <w:lang w:val="en-US"/>
        </w:rPr>
        <w:t>(</w:t>
      </w:r>
      <w:r w:rsidRPr="002862ED">
        <w:rPr>
          <w:rFonts w:cstheme="minorHAnsi"/>
          <w:lang w:val="en-US"/>
        </w:rPr>
        <w:t>1967, 1971).</w:t>
      </w:r>
      <w:r w:rsidR="00AE6BA4">
        <w:rPr>
          <w:rFonts w:cstheme="minorHAnsi"/>
          <w:lang w:val="en-US"/>
        </w:rPr>
        <w:t xml:space="preserve"> Some of the Mss. are dated by Peirce, others not so.</w:t>
      </w:r>
    </w:p>
    <w:p w14:paraId="5456393C" w14:textId="77777777" w:rsidR="00A80DB2" w:rsidRPr="002862ED" w:rsidRDefault="00A80DB2" w:rsidP="00A80DB2">
      <w:pPr>
        <w:autoSpaceDE w:val="0"/>
        <w:autoSpaceDN w:val="0"/>
        <w:adjustRightInd w:val="0"/>
        <w:rPr>
          <w:rFonts w:cstheme="minorHAnsi"/>
          <w:lang w:val="en-US"/>
        </w:rPr>
      </w:pPr>
      <w:proofErr w:type="spellStart"/>
      <w:r w:rsidRPr="002862ED">
        <w:rPr>
          <w:rFonts w:cstheme="minorHAnsi"/>
          <w:lang w:val="en-US"/>
        </w:rPr>
        <w:t>Stjernfelt</w:t>
      </w:r>
      <w:proofErr w:type="spellEnd"/>
      <w:r w:rsidRPr="002862ED">
        <w:rPr>
          <w:rFonts w:cstheme="minorHAnsi"/>
          <w:lang w:val="en-US"/>
        </w:rPr>
        <w:t>, Frederik 2002 "</w:t>
      </w:r>
      <w:proofErr w:type="spellStart"/>
      <w:r w:rsidRPr="002862ED">
        <w:rPr>
          <w:rFonts w:cstheme="minorHAnsi"/>
          <w:lang w:val="en-US"/>
        </w:rPr>
        <w:t>Tractatus</w:t>
      </w:r>
      <w:proofErr w:type="spellEnd"/>
      <w:r w:rsidRPr="002862ED">
        <w:rPr>
          <w:rFonts w:cstheme="minorHAnsi"/>
          <w:lang w:val="en-US"/>
        </w:rPr>
        <w:t xml:space="preserve"> </w:t>
      </w:r>
      <w:proofErr w:type="spellStart"/>
      <w:r w:rsidRPr="002862ED">
        <w:rPr>
          <w:rFonts w:cstheme="minorHAnsi"/>
          <w:lang w:val="en-US"/>
        </w:rPr>
        <w:t>Hoffmeyerensis</w:t>
      </w:r>
      <w:proofErr w:type="spellEnd"/>
      <w:r w:rsidRPr="002862ED">
        <w:rPr>
          <w:rFonts w:cstheme="minorHAnsi"/>
          <w:lang w:val="en-US"/>
        </w:rPr>
        <w:t>: Biosemiotics as Expressed in 22 Basic</w:t>
      </w:r>
    </w:p>
    <w:p w14:paraId="0ADEA225" w14:textId="77777777" w:rsidR="00A80DB2" w:rsidRPr="002862ED" w:rsidRDefault="00A80DB2" w:rsidP="00A80DB2">
      <w:pPr>
        <w:autoSpaceDE w:val="0"/>
        <w:autoSpaceDN w:val="0"/>
        <w:adjustRightInd w:val="0"/>
        <w:rPr>
          <w:rFonts w:cstheme="minorHAnsi"/>
          <w:lang w:val="en-US"/>
        </w:rPr>
      </w:pPr>
      <w:r w:rsidRPr="002862ED">
        <w:rPr>
          <w:rFonts w:cstheme="minorHAnsi"/>
          <w:lang w:val="en-US"/>
        </w:rPr>
        <w:t xml:space="preserve">Hypotheses", in </w:t>
      </w:r>
      <w:r w:rsidRPr="002862ED">
        <w:rPr>
          <w:rFonts w:cstheme="minorHAnsi"/>
          <w:i/>
          <w:lang w:val="en-US"/>
        </w:rPr>
        <w:t>Sign Systems Studies</w:t>
      </w:r>
      <w:r w:rsidRPr="002862ED">
        <w:rPr>
          <w:rFonts w:cstheme="minorHAnsi"/>
          <w:lang w:val="en-US"/>
        </w:rPr>
        <w:t>, vol. 30, no. 1, 337-345</w:t>
      </w:r>
    </w:p>
    <w:p w14:paraId="19FF15C6" w14:textId="77777777" w:rsidR="00A80DB2" w:rsidRPr="002862ED" w:rsidRDefault="00A80DB2" w:rsidP="00A80DB2">
      <w:pPr>
        <w:autoSpaceDE w:val="0"/>
        <w:autoSpaceDN w:val="0"/>
        <w:adjustRightInd w:val="0"/>
        <w:rPr>
          <w:rFonts w:cstheme="minorHAnsi"/>
          <w:i/>
          <w:lang w:val="en-US"/>
        </w:rPr>
      </w:pPr>
      <w:r w:rsidRPr="002862ED">
        <w:rPr>
          <w:rFonts w:cstheme="minorHAnsi"/>
          <w:lang w:val="en-US"/>
        </w:rPr>
        <w:t xml:space="preserve">– 2007 </w:t>
      </w:r>
      <w:proofErr w:type="spellStart"/>
      <w:r w:rsidRPr="002862ED">
        <w:rPr>
          <w:rFonts w:cstheme="minorHAnsi"/>
          <w:i/>
          <w:lang w:val="en-US"/>
        </w:rPr>
        <w:t>Diagrammatology</w:t>
      </w:r>
      <w:proofErr w:type="spellEnd"/>
      <w:r w:rsidRPr="002862ED">
        <w:rPr>
          <w:rFonts w:cstheme="minorHAnsi"/>
          <w:i/>
          <w:lang w:val="en-US"/>
        </w:rPr>
        <w:t>. An Investigation on the Borderlines of Phenomenology,</w:t>
      </w:r>
    </w:p>
    <w:p w14:paraId="69F30679" w14:textId="77777777" w:rsidR="00A80DB2" w:rsidRPr="0023108D" w:rsidRDefault="00A80DB2" w:rsidP="00A80DB2">
      <w:pPr>
        <w:autoSpaceDE w:val="0"/>
        <w:autoSpaceDN w:val="0"/>
        <w:adjustRightInd w:val="0"/>
        <w:rPr>
          <w:rFonts w:cstheme="minorHAnsi"/>
          <w:color w:val="000000" w:themeColor="text1"/>
          <w:lang w:val="en-US"/>
        </w:rPr>
      </w:pPr>
      <w:r w:rsidRPr="002862ED">
        <w:rPr>
          <w:rFonts w:cstheme="minorHAnsi"/>
          <w:i/>
          <w:lang w:val="en-US"/>
        </w:rPr>
        <w:t xml:space="preserve">Ontology, and </w:t>
      </w:r>
      <w:r w:rsidRPr="0023108D">
        <w:rPr>
          <w:rFonts w:cstheme="minorHAnsi"/>
          <w:i/>
          <w:color w:val="000000" w:themeColor="text1"/>
          <w:lang w:val="en-US"/>
        </w:rPr>
        <w:t>Semiotics</w:t>
      </w:r>
      <w:r w:rsidRPr="0023108D">
        <w:rPr>
          <w:rFonts w:cstheme="minorHAnsi"/>
          <w:color w:val="000000" w:themeColor="text1"/>
          <w:lang w:val="en-US"/>
        </w:rPr>
        <w:t>, Dordrecht etc.: Springer</w:t>
      </w:r>
    </w:p>
    <w:p w14:paraId="2B4C3CFB" w14:textId="77777777" w:rsidR="00A80DB2" w:rsidRPr="00E870DC" w:rsidRDefault="00A80DB2" w:rsidP="00A80DB2">
      <w:pPr>
        <w:rPr>
          <w:rFonts w:eastAsia="Times New Roman" w:cstheme="minorHAnsi"/>
          <w:color w:val="000000" w:themeColor="text1"/>
          <w:lang w:val="en-US" w:eastAsia="da-DK"/>
        </w:rPr>
      </w:pPr>
      <w:r w:rsidRPr="0023108D">
        <w:rPr>
          <w:rFonts w:cstheme="minorHAnsi"/>
          <w:color w:val="000000" w:themeColor="text1"/>
          <w:lang w:val="en-US"/>
        </w:rPr>
        <w:t xml:space="preserve">–2012 </w:t>
      </w:r>
      <w:r>
        <w:rPr>
          <w:rFonts w:cstheme="minorHAnsi"/>
          <w:color w:val="000000" w:themeColor="text1"/>
          <w:lang w:val="en-US"/>
        </w:rPr>
        <w:t>“</w:t>
      </w:r>
      <w:hyperlink r:id="rId9" w:history="1">
        <w:r w:rsidRPr="0023108D">
          <w:rPr>
            <w:rFonts w:eastAsia="Times New Roman" w:cstheme="minorHAnsi"/>
            <w:color w:val="000000" w:themeColor="text1"/>
            <w:lang w:val="en-US" w:eastAsia="da-DK"/>
          </w:rPr>
          <w:t>The evolution of semiotic self-control</w:t>
        </w:r>
      </w:hyperlink>
      <w:r w:rsidRPr="0023108D">
        <w:rPr>
          <w:rFonts w:eastAsia="Times New Roman" w:cstheme="minorHAnsi"/>
          <w:color w:val="000000" w:themeColor="text1"/>
          <w:lang w:val="en-US" w:eastAsia="da-DK"/>
        </w:rPr>
        <w:t xml:space="preserve">”, in (eds. Deacon, T., </w:t>
      </w:r>
      <w:proofErr w:type="spellStart"/>
      <w:r w:rsidRPr="0023108D">
        <w:rPr>
          <w:rFonts w:eastAsia="Times New Roman" w:cstheme="minorHAnsi"/>
          <w:color w:val="000000" w:themeColor="text1"/>
          <w:lang w:val="en-US" w:eastAsia="da-DK"/>
        </w:rPr>
        <w:t>Schilhab</w:t>
      </w:r>
      <w:proofErr w:type="spellEnd"/>
      <w:r w:rsidRPr="0023108D">
        <w:rPr>
          <w:rFonts w:eastAsia="Times New Roman" w:cstheme="minorHAnsi"/>
          <w:color w:val="000000" w:themeColor="text1"/>
          <w:lang w:val="en-US" w:eastAsia="da-DK"/>
        </w:rPr>
        <w:t xml:space="preserve">, T. and </w:t>
      </w:r>
      <w:proofErr w:type="spellStart"/>
      <w:r w:rsidRPr="0023108D">
        <w:rPr>
          <w:rFonts w:eastAsia="Times New Roman" w:cstheme="minorHAnsi"/>
          <w:color w:val="000000" w:themeColor="text1"/>
          <w:lang w:val="en-US" w:eastAsia="da-DK"/>
        </w:rPr>
        <w:t>Stjernfelt</w:t>
      </w:r>
      <w:proofErr w:type="spellEnd"/>
      <w:r w:rsidRPr="0023108D">
        <w:rPr>
          <w:rFonts w:eastAsia="Times New Roman" w:cstheme="minorHAnsi"/>
          <w:color w:val="000000" w:themeColor="text1"/>
          <w:lang w:val="en-US" w:eastAsia="da-DK"/>
        </w:rPr>
        <w:t xml:space="preserve">, F.) </w:t>
      </w:r>
      <w:r w:rsidRPr="0023108D">
        <w:rPr>
          <w:rFonts w:eastAsia="Times New Roman" w:cstheme="minorHAnsi"/>
          <w:i/>
          <w:color w:val="000000" w:themeColor="text1"/>
          <w:lang w:val="en-US" w:eastAsia="da-DK"/>
        </w:rPr>
        <w:t xml:space="preserve">The </w:t>
      </w:r>
      <w:r>
        <w:rPr>
          <w:rFonts w:eastAsia="Times New Roman" w:cstheme="minorHAnsi"/>
          <w:i/>
          <w:color w:val="000000" w:themeColor="text1"/>
          <w:lang w:val="en-US" w:eastAsia="da-DK"/>
        </w:rPr>
        <w:t>S</w:t>
      </w:r>
      <w:r w:rsidRPr="002862ED">
        <w:rPr>
          <w:rFonts w:eastAsia="Times New Roman" w:cstheme="minorHAnsi"/>
          <w:i/>
          <w:color w:val="000000" w:themeColor="text1"/>
          <w:lang w:val="en-US" w:eastAsia="da-DK"/>
        </w:rPr>
        <w:t xml:space="preserve">ymbolic </w:t>
      </w:r>
      <w:r>
        <w:rPr>
          <w:rFonts w:eastAsia="Times New Roman" w:cstheme="minorHAnsi"/>
          <w:i/>
          <w:color w:val="000000" w:themeColor="text1"/>
          <w:lang w:val="en-US" w:eastAsia="da-DK"/>
        </w:rPr>
        <w:t>S</w:t>
      </w:r>
      <w:r w:rsidRPr="002862ED">
        <w:rPr>
          <w:rFonts w:eastAsia="Times New Roman" w:cstheme="minorHAnsi"/>
          <w:i/>
          <w:color w:val="000000" w:themeColor="text1"/>
          <w:lang w:val="en-US" w:eastAsia="da-DK"/>
        </w:rPr>
        <w:t xml:space="preserve">pecies </w:t>
      </w:r>
      <w:r>
        <w:rPr>
          <w:rFonts w:eastAsia="Times New Roman" w:cstheme="minorHAnsi"/>
          <w:i/>
          <w:color w:val="000000" w:themeColor="text1"/>
          <w:lang w:val="en-US" w:eastAsia="da-DK"/>
        </w:rPr>
        <w:t>E</w:t>
      </w:r>
      <w:r w:rsidRPr="002862ED">
        <w:rPr>
          <w:rFonts w:eastAsia="Times New Roman" w:cstheme="minorHAnsi"/>
          <w:i/>
          <w:color w:val="000000" w:themeColor="text1"/>
          <w:lang w:val="en-US" w:eastAsia="da-DK"/>
        </w:rPr>
        <w:t>volved</w:t>
      </w:r>
      <w:r w:rsidRPr="0023108D">
        <w:rPr>
          <w:rFonts w:eastAsia="Times New Roman" w:cstheme="minorHAnsi"/>
          <w:color w:val="000000" w:themeColor="text1"/>
          <w:lang w:val="en-US" w:eastAsia="da-DK"/>
        </w:rPr>
        <w:t xml:space="preserve">, Dordrecht: Springer, </w:t>
      </w:r>
      <w:r w:rsidRPr="00D021C9">
        <w:rPr>
          <w:rFonts w:eastAsia="Times New Roman" w:cstheme="minorHAnsi"/>
          <w:color w:val="000000" w:themeColor="text1"/>
          <w:lang w:val="en-US" w:eastAsia="da-DK"/>
        </w:rPr>
        <w:t>39-63</w:t>
      </w:r>
    </w:p>
    <w:p w14:paraId="26CC27AD" w14:textId="77777777" w:rsidR="00A80DB2" w:rsidRPr="002862ED" w:rsidRDefault="00A80DB2" w:rsidP="00A80DB2">
      <w:pPr>
        <w:autoSpaceDE w:val="0"/>
        <w:autoSpaceDN w:val="0"/>
        <w:adjustRightInd w:val="0"/>
        <w:rPr>
          <w:rFonts w:cstheme="minorHAnsi"/>
          <w:lang w:val="en-US"/>
        </w:rPr>
      </w:pPr>
      <w:r w:rsidRPr="0023108D">
        <w:rPr>
          <w:rFonts w:cstheme="minorHAnsi"/>
          <w:color w:val="000000" w:themeColor="text1"/>
          <w:lang w:val="en-US"/>
        </w:rPr>
        <w:t xml:space="preserve">– 2014 </w:t>
      </w:r>
      <w:r w:rsidRPr="0023108D">
        <w:rPr>
          <w:rFonts w:cstheme="minorHAnsi"/>
          <w:i/>
          <w:color w:val="000000" w:themeColor="text1"/>
          <w:lang w:val="en-US"/>
        </w:rPr>
        <w:t xml:space="preserve">Natural </w:t>
      </w:r>
      <w:r w:rsidRPr="002862ED">
        <w:rPr>
          <w:rFonts w:cstheme="minorHAnsi"/>
          <w:i/>
          <w:lang w:val="en-US"/>
        </w:rPr>
        <w:t xml:space="preserve">Propositions: The Actuality of Peirce's Doctrine of </w:t>
      </w:r>
      <w:proofErr w:type="spellStart"/>
      <w:r w:rsidRPr="002862ED">
        <w:rPr>
          <w:rFonts w:cstheme="minorHAnsi"/>
          <w:i/>
          <w:lang w:val="en-US"/>
        </w:rPr>
        <w:t>Dicisigns</w:t>
      </w:r>
      <w:proofErr w:type="spellEnd"/>
      <w:r w:rsidRPr="002862ED">
        <w:rPr>
          <w:rFonts w:cstheme="minorHAnsi"/>
          <w:lang w:val="en-US"/>
        </w:rPr>
        <w:t>, Boston:</w:t>
      </w:r>
      <w:r w:rsidR="006D539B">
        <w:rPr>
          <w:rFonts w:cstheme="minorHAnsi"/>
          <w:lang w:val="en-US"/>
        </w:rPr>
        <w:t xml:space="preserve"> </w:t>
      </w:r>
      <w:r w:rsidRPr="002862ED">
        <w:rPr>
          <w:rFonts w:cstheme="minorHAnsi"/>
          <w:lang w:val="en-US"/>
        </w:rPr>
        <w:t>Docent Press</w:t>
      </w:r>
    </w:p>
    <w:p w14:paraId="011ADE0F" w14:textId="77777777" w:rsidR="00A80DB2" w:rsidRPr="00D021C9" w:rsidRDefault="00A80DB2" w:rsidP="00A80DB2">
      <w:pPr>
        <w:rPr>
          <w:lang w:val="en-US"/>
        </w:rPr>
      </w:pPr>
      <w:r w:rsidRPr="002862ED">
        <w:rPr>
          <w:lang w:val="en-US"/>
        </w:rPr>
        <w:t xml:space="preserve">– </w:t>
      </w:r>
      <w:r w:rsidRPr="00D021C9">
        <w:rPr>
          <w:lang w:val="en-US"/>
        </w:rPr>
        <w:t>2015a "</w:t>
      </w:r>
      <w:proofErr w:type="spellStart"/>
      <w:r w:rsidRPr="00D021C9">
        <w:rPr>
          <w:lang w:val="en-US"/>
        </w:rPr>
        <w:t>Dicisigns</w:t>
      </w:r>
      <w:proofErr w:type="spellEnd"/>
      <w:r w:rsidRPr="00D021C9">
        <w:rPr>
          <w:lang w:val="en-US"/>
        </w:rPr>
        <w:t xml:space="preserve">", in </w:t>
      </w:r>
      <w:proofErr w:type="spellStart"/>
      <w:r w:rsidRPr="00D021C9">
        <w:rPr>
          <w:i/>
          <w:lang w:val="en-US"/>
        </w:rPr>
        <w:t>Synthese</w:t>
      </w:r>
      <w:proofErr w:type="spellEnd"/>
      <w:r w:rsidRPr="00D021C9">
        <w:rPr>
          <w:lang w:val="en-US"/>
        </w:rPr>
        <w:t xml:space="preserve"> 192 (4), 1019-1054</w:t>
      </w:r>
    </w:p>
    <w:p w14:paraId="7EC5A07D" w14:textId="77777777" w:rsidR="00A80DB2" w:rsidRPr="00D021C9" w:rsidRDefault="00A80DB2" w:rsidP="00A80DB2">
      <w:pPr>
        <w:rPr>
          <w:lang w:val="en-US"/>
        </w:rPr>
      </w:pPr>
      <w:r w:rsidRPr="00D021C9">
        <w:rPr>
          <w:lang w:val="en-US"/>
        </w:rPr>
        <w:t xml:space="preserve">– 2015b "Iconicity of Logic - and the roots of the “iconicity” concept", in </w:t>
      </w:r>
      <w:proofErr w:type="spellStart"/>
      <w:r w:rsidRPr="00D021C9">
        <w:rPr>
          <w:lang w:val="en-US"/>
        </w:rPr>
        <w:t>Hiraga</w:t>
      </w:r>
      <w:proofErr w:type="spellEnd"/>
      <w:r w:rsidRPr="00D021C9">
        <w:rPr>
          <w:lang w:val="en-US"/>
        </w:rPr>
        <w:t>, M. et</w:t>
      </w:r>
    </w:p>
    <w:p w14:paraId="7EAAE0B5" w14:textId="77777777" w:rsidR="00A80DB2" w:rsidRPr="00FB3711" w:rsidRDefault="00A80DB2" w:rsidP="00A80DB2">
      <w:pPr>
        <w:rPr>
          <w:lang w:val="en-US"/>
        </w:rPr>
      </w:pPr>
      <w:r w:rsidRPr="00D021C9">
        <w:rPr>
          <w:lang w:val="en-US"/>
        </w:rPr>
        <w:t>al. (eds.) Iconicity: East Meets West (Iconicity in Language and Literature), Amsterdam: John</w:t>
      </w:r>
    </w:p>
    <w:p w14:paraId="7C7B6A86" w14:textId="77777777" w:rsidR="00A80DB2" w:rsidRPr="00FB3711" w:rsidRDefault="00A80DB2" w:rsidP="00A80DB2">
      <w:pPr>
        <w:rPr>
          <w:color w:val="000000" w:themeColor="text1"/>
          <w:lang w:val="en-US"/>
        </w:rPr>
      </w:pPr>
      <w:r w:rsidRPr="00FB3711">
        <w:rPr>
          <w:lang w:val="en-US"/>
        </w:rPr>
        <w:t>Benjamins, 35-56</w:t>
      </w:r>
    </w:p>
    <w:p w14:paraId="25B290BD" w14:textId="77777777" w:rsidR="00A80DB2" w:rsidRPr="00D021C9" w:rsidRDefault="00A80DB2" w:rsidP="00A80DB2">
      <w:pPr>
        <w:rPr>
          <w:color w:val="000000" w:themeColor="text1"/>
          <w:lang w:val="en-US"/>
        </w:rPr>
      </w:pPr>
      <w:r w:rsidRPr="00FB3711">
        <w:rPr>
          <w:color w:val="000000" w:themeColor="text1"/>
          <w:lang w:val="en-US"/>
        </w:rPr>
        <w:t>–2016 ”</w:t>
      </w:r>
      <w:proofErr w:type="spellStart"/>
      <w:r w:rsidRPr="00FB3711">
        <w:rPr>
          <w:color w:val="000000" w:themeColor="text1"/>
        </w:rPr>
        <w:fldChar w:fldCharType="begin"/>
      </w:r>
      <w:r w:rsidRPr="00FB3711">
        <w:rPr>
          <w:color w:val="000000" w:themeColor="text1"/>
          <w:lang w:val="en-US"/>
        </w:rPr>
        <w:instrText xml:space="preserve"> HYPERLINK "https://vbn.aau.dk/da/publications/dicisigns-and-habits-implicit-propositions-and-habit-taking-in-pe" </w:instrText>
      </w:r>
      <w:r w:rsidRPr="00FB3711">
        <w:rPr>
          <w:color w:val="000000" w:themeColor="text1"/>
        </w:rPr>
        <w:fldChar w:fldCharType="separate"/>
      </w:r>
      <w:r w:rsidRPr="00FB3711">
        <w:rPr>
          <w:rStyle w:val="Hyperlink"/>
          <w:color w:val="000000" w:themeColor="text1"/>
          <w:u w:val="none"/>
          <w:lang w:val="en-US"/>
        </w:rPr>
        <w:t>Dicisigns</w:t>
      </w:r>
      <w:proofErr w:type="spellEnd"/>
      <w:r w:rsidRPr="00FB3711">
        <w:rPr>
          <w:rStyle w:val="Hyperlink"/>
          <w:color w:val="000000" w:themeColor="text1"/>
          <w:u w:val="none"/>
          <w:lang w:val="en-US"/>
        </w:rPr>
        <w:t xml:space="preserve"> and habits: Implicit propositions and habit-taking in Peirce’s pragmatism</w:t>
      </w:r>
      <w:r w:rsidRPr="00FB3711">
        <w:rPr>
          <w:color w:val="000000" w:themeColor="text1"/>
        </w:rPr>
        <w:fldChar w:fldCharType="end"/>
      </w:r>
      <w:r w:rsidRPr="002862ED">
        <w:rPr>
          <w:color w:val="000000" w:themeColor="text1"/>
          <w:lang w:val="en-US"/>
        </w:rPr>
        <w:t>”, in Consensus on Peirce’s concept of Habit: Before and beyond consciousness. </w:t>
      </w:r>
      <w:r w:rsidRPr="00D021C9">
        <w:rPr>
          <w:color w:val="000000" w:themeColor="text1"/>
          <w:lang w:val="en-US"/>
        </w:rPr>
        <w:t xml:space="preserve">West, D. &amp; Anderson, M. (red.). cham </w:t>
      </w:r>
      <w:proofErr w:type="spellStart"/>
      <w:r w:rsidRPr="00D021C9">
        <w:rPr>
          <w:color w:val="000000" w:themeColor="text1"/>
          <w:lang w:val="en-US"/>
        </w:rPr>
        <w:t>switzerland</w:t>
      </w:r>
      <w:proofErr w:type="spellEnd"/>
      <w:r w:rsidRPr="00D021C9">
        <w:rPr>
          <w:color w:val="000000" w:themeColor="text1"/>
          <w:lang w:val="en-US"/>
        </w:rPr>
        <w:t>: </w:t>
      </w:r>
      <w:hyperlink r:id="rId10" w:history="1">
        <w:r w:rsidRPr="00FB3711">
          <w:rPr>
            <w:rStyle w:val="Hyperlink"/>
            <w:color w:val="000000" w:themeColor="text1"/>
            <w:u w:val="none"/>
            <w:lang w:val="en-US"/>
          </w:rPr>
          <w:t>Springer</w:t>
        </w:r>
      </w:hyperlink>
      <w:r w:rsidRPr="00D021C9">
        <w:rPr>
          <w:color w:val="000000" w:themeColor="text1"/>
          <w:lang w:val="en-US"/>
        </w:rPr>
        <w:t>, 241-64 </w:t>
      </w:r>
    </w:p>
    <w:p w14:paraId="4E677874" w14:textId="77777777" w:rsidR="00A80DB2" w:rsidRPr="002862ED" w:rsidRDefault="00A80DB2" w:rsidP="00A80DB2">
      <w:pPr>
        <w:rPr>
          <w:rFonts w:eastAsia="Times New Roman" w:cstheme="minorHAnsi"/>
          <w:color w:val="000000" w:themeColor="text1"/>
          <w:lang w:val="en-US" w:eastAsia="da-DK"/>
        </w:rPr>
      </w:pPr>
      <w:r w:rsidRPr="002862ED">
        <w:rPr>
          <w:lang w:val="en-US"/>
        </w:rPr>
        <w:t xml:space="preserve">— 2018 “A Peirce for the 21st Century”, review of Bellucci, Peirce’s Speculative Grammar, in </w:t>
      </w:r>
      <w:r w:rsidRPr="002862ED">
        <w:rPr>
          <w:i/>
          <w:lang w:val="en-US"/>
        </w:rPr>
        <w:t>Sign System Studies</w:t>
      </w:r>
      <w:r w:rsidRPr="002862ED">
        <w:rPr>
          <w:lang w:val="en-US"/>
        </w:rPr>
        <w:t xml:space="preserve">, </w:t>
      </w:r>
      <w:r w:rsidRPr="002862ED">
        <w:rPr>
          <w:rFonts w:eastAsia="Times New Roman" w:cstheme="minorHAnsi"/>
          <w:color w:val="000000" w:themeColor="text1"/>
          <w:lang w:val="en-US" w:eastAsia="da-DK"/>
        </w:rPr>
        <w:t>46</w:t>
      </w:r>
      <w:r w:rsidRPr="002862ED">
        <w:rPr>
          <w:rFonts w:eastAsia="Times New Roman" w:cstheme="minorHAnsi"/>
          <w:color w:val="000000" w:themeColor="text1"/>
          <w:shd w:val="clear" w:color="auto" w:fill="FFFFFF"/>
          <w:lang w:val="en-US" w:eastAsia="da-DK"/>
        </w:rPr>
        <w:t>, </w:t>
      </w:r>
      <w:r w:rsidRPr="002862ED">
        <w:rPr>
          <w:rFonts w:eastAsia="Times New Roman" w:cstheme="minorHAnsi"/>
          <w:color w:val="000000" w:themeColor="text1"/>
          <w:lang w:val="en-US" w:eastAsia="da-DK"/>
        </w:rPr>
        <w:t>4</w:t>
      </w:r>
      <w:r w:rsidRPr="002862ED">
        <w:rPr>
          <w:rFonts w:eastAsia="Times New Roman" w:cstheme="minorHAnsi"/>
          <w:color w:val="000000" w:themeColor="text1"/>
          <w:shd w:val="clear" w:color="auto" w:fill="FFFFFF"/>
          <w:lang w:val="en-US" w:eastAsia="da-DK"/>
        </w:rPr>
        <w:t>, </w:t>
      </w:r>
      <w:r w:rsidRPr="002862ED">
        <w:rPr>
          <w:rFonts w:eastAsia="Times New Roman" w:cstheme="minorHAnsi"/>
          <w:color w:val="000000" w:themeColor="text1"/>
          <w:lang w:val="en-US" w:eastAsia="da-DK"/>
        </w:rPr>
        <w:t>590-616</w:t>
      </w:r>
    </w:p>
    <w:p w14:paraId="7284D327" w14:textId="77777777" w:rsidR="00A80DB2" w:rsidRPr="002862ED" w:rsidRDefault="00A80DB2" w:rsidP="00A80DB2">
      <w:pPr>
        <w:rPr>
          <w:rFonts w:cstheme="minorHAnsi"/>
          <w:color w:val="000000" w:themeColor="text1"/>
          <w:lang w:val="en-US"/>
        </w:rPr>
      </w:pPr>
      <w:r w:rsidRPr="002862ED">
        <w:rPr>
          <w:rFonts w:cstheme="minorHAnsi"/>
          <w:color w:val="000000" w:themeColor="text1"/>
          <w:lang w:val="en-US"/>
        </w:rPr>
        <w:t xml:space="preserve">– 2019a "The Identity of Sweet Molly Malone: </w:t>
      </w:r>
      <w:proofErr w:type="spellStart"/>
      <w:r w:rsidRPr="002862ED">
        <w:rPr>
          <w:rFonts w:cstheme="minorHAnsi"/>
          <w:color w:val="000000" w:themeColor="text1"/>
          <w:lang w:val="en-US"/>
        </w:rPr>
        <w:t>Dicent</w:t>
      </w:r>
      <w:proofErr w:type="spellEnd"/>
      <w:r w:rsidRPr="002862ED">
        <w:rPr>
          <w:rFonts w:cstheme="minorHAnsi"/>
          <w:color w:val="000000" w:themeColor="text1"/>
          <w:lang w:val="en-US"/>
        </w:rPr>
        <w:t xml:space="preserve"> Indexical </w:t>
      </w:r>
      <w:proofErr w:type="spellStart"/>
      <w:r w:rsidRPr="002862ED">
        <w:rPr>
          <w:rFonts w:cstheme="minorHAnsi"/>
          <w:color w:val="000000" w:themeColor="text1"/>
          <w:lang w:val="en-US"/>
        </w:rPr>
        <w:t>Legisigns</w:t>
      </w:r>
      <w:proofErr w:type="spellEnd"/>
      <w:r w:rsidRPr="002862ED">
        <w:rPr>
          <w:rFonts w:cstheme="minorHAnsi"/>
          <w:color w:val="000000" w:themeColor="text1"/>
          <w:lang w:val="en-US"/>
        </w:rPr>
        <w:t xml:space="preserve"> – a New</w:t>
      </w:r>
    </w:p>
    <w:p w14:paraId="6CA57747" w14:textId="77777777" w:rsidR="00A80DB2" w:rsidRPr="00D021C9" w:rsidRDefault="00A80DB2" w:rsidP="00A80DB2">
      <w:pPr>
        <w:rPr>
          <w:rFonts w:eastAsia="Times New Roman" w:cstheme="minorHAnsi"/>
          <w:color w:val="000000" w:themeColor="text1"/>
          <w:lang w:val="en-US" w:eastAsia="da-DK"/>
        </w:rPr>
      </w:pPr>
      <w:r w:rsidRPr="002862ED">
        <w:rPr>
          <w:rFonts w:cstheme="minorHAnsi"/>
          <w:color w:val="000000" w:themeColor="text1"/>
          <w:lang w:val="en-US"/>
        </w:rPr>
        <w:t xml:space="preserve">Element in the Periodic Table of Semiotics?", </w:t>
      </w:r>
      <w:hyperlink r:id="rId11" w:history="1">
        <w:r w:rsidRPr="002862ED">
          <w:rPr>
            <w:rFonts w:eastAsia="Times New Roman" w:cstheme="minorHAnsi"/>
            <w:i/>
            <w:color w:val="000000" w:themeColor="text1"/>
            <w:lang w:val="en-US" w:eastAsia="da-DK"/>
          </w:rPr>
          <w:t>Transactions of the Charles S. Peirce Society.</w:t>
        </w:r>
      </w:hyperlink>
      <w:r w:rsidRPr="002862ED">
        <w:rPr>
          <w:rFonts w:eastAsia="Times New Roman" w:cstheme="minorHAnsi"/>
          <w:color w:val="000000" w:themeColor="text1"/>
          <w:shd w:val="clear" w:color="auto" w:fill="FFFFFF"/>
          <w:lang w:val="en-US" w:eastAsia="da-DK"/>
        </w:rPr>
        <w:t> </w:t>
      </w:r>
      <w:r w:rsidRPr="00D021C9">
        <w:rPr>
          <w:rFonts w:eastAsia="Times New Roman" w:cstheme="minorHAnsi"/>
          <w:color w:val="000000" w:themeColor="text1"/>
          <w:lang w:val="en-US" w:eastAsia="da-DK"/>
        </w:rPr>
        <w:t>55</w:t>
      </w:r>
      <w:r w:rsidRPr="00D021C9">
        <w:rPr>
          <w:rFonts w:eastAsia="Times New Roman" w:cstheme="minorHAnsi"/>
          <w:color w:val="000000" w:themeColor="text1"/>
          <w:shd w:val="clear" w:color="auto" w:fill="FFFFFF"/>
          <w:lang w:val="en-US" w:eastAsia="da-DK"/>
        </w:rPr>
        <w:t>, </w:t>
      </w:r>
      <w:r w:rsidRPr="00D021C9">
        <w:rPr>
          <w:rFonts w:eastAsia="Times New Roman" w:cstheme="minorHAnsi"/>
          <w:color w:val="000000" w:themeColor="text1"/>
          <w:lang w:val="en-US" w:eastAsia="da-DK"/>
        </w:rPr>
        <w:t>2</w:t>
      </w:r>
      <w:r w:rsidRPr="00D021C9">
        <w:rPr>
          <w:rFonts w:eastAsia="Times New Roman" w:cstheme="minorHAnsi"/>
          <w:color w:val="000000" w:themeColor="text1"/>
          <w:shd w:val="clear" w:color="auto" w:fill="FFFFFF"/>
          <w:lang w:val="en-US" w:eastAsia="da-DK"/>
        </w:rPr>
        <w:t>,</w:t>
      </w:r>
      <w:r w:rsidRPr="00D021C9">
        <w:rPr>
          <w:rFonts w:eastAsia="Times New Roman" w:cstheme="minorHAnsi"/>
          <w:color w:val="000000" w:themeColor="text1"/>
          <w:lang w:val="en-US" w:eastAsia="da-DK"/>
        </w:rPr>
        <w:t xml:space="preserve"> 175-184</w:t>
      </w:r>
    </w:p>
    <w:p w14:paraId="22DDBF3A" w14:textId="77777777" w:rsidR="00A80DB2" w:rsidRPr="00FB3711" w:rsidRDefault="00A80DB2" w:rsidP="00A80DB2">
      <w:pPr>
        <w:rPr>
          <w:rFonts w:cstheme="minorHAnsi"/>
          <w:lang w:val="en-US"/>
        </w:rPr>
      </w:pPr>
      <w:r w:rsidRPr="00D021C9">
        <w:rPr>
          <w:rFonts w:cstheme="minorHAnsi"/>
          <w:color w:val="000000" w:themeColor="text1"/>
          <w:lang w:val="en-US"/>
        </w:rPr>
        <w:lastRenderedPageBreak/>
        <w:t xml:space="preserve">–2019b “Co-localization as the Syntax of Elementary Propositions: An Amazing Peircean Idea and </w:t>
      </w:r>
      <w:r w:rsidRPr="00FB3711">
        <w:rPr>
          <w:rFonts w:cstheme="minorHAnsi"/>
          <w:color w:val="000000" w:themeColor="text1"/>
          <w:lang w:val="en-US"/>
        </w:rPr>
        <w:t xml:space="preserve">Some Implications for the Semiotics of Truth”, in </w:t>
      </w:r>
      <w:r w:rsidRPr="00FB3711">
        <w:rPr>
          <w:rFonts w:cstheme="minorHAnsi"/>
          <w:i/>
          <w:color w:val="000000" w:themeColor="text1"/>
          <w:lang w:val="en-US"/>
        </w:rPr>
        <w:t>Bloomsbury Companion to Contemporary Peircean Semiotics</w:t>
      </w:r>
      <w:r w:rsidRPr="00FB3711">
        <w:rPr>
          <w:rFonts w:cstheme="minorHAnsi"/>
          <w:color w:val="000000" w:themeColor="text1"/>
          <w:lang w:val="en-US"/>
        </w:rPr>
        <w:t xml:space="preserve">, ed. </w:t>
      </w:r>
      <w:r w:rsidRPr="00FB3711">
        <w:rPr>
          <w:rFonts w:cstheme="minorHAnsi"/>
          <w:lang w:val="en-US"/>
        </w:rPr>
        <w:t xml:space="preserve">Tony </w:t>
      </w:r>
      <w:proofErr w:type="spellStart"/>
      <w:r w:rsidRPr="00FB3711">
        <w:rPr>
          <w:rFonts w:cstheme="minorHAnsi"/>
          <w:lang w:val="en-US"/>
        </w:rPr>
        <w:t>Jappy</w:t>
      </w:r>
      <w:proofErr w:type="spellEnd"/>
      <w:r w:rsidRPr="00FB3711">
        <w:rPr>
          <w:rFonts w:cstheme="minorHAnsi"/>
          <w:lang w:val="en-US"/>
        </w:rPr>
        <w:t>. London: Bloomsbury Academic.</w:t>
      </w:r>
    </w:p>
    <w:p w14:paraId="2FFDE538" w14:textId="1EFB686D" w:rsidR="00A80DB2" w:rsidRPr="00FB3711" w:rsidRDefault="00131D4A" w:rsidP="00FB3711">
      <w:pPr>
        <w:autoSpaceDE w:val="0"/>
        <w:autoSpaceDN w:val="0"/>
        <w:adjustRightInd w:val="0"/>
        <w:rPr>
          <w:rFonts w:cstheme="minorHAnsi"/>
        </w:rPr>
      </w:pPr>
      <w:r w:rsidRPr="00FB3711">
        <w:rPr>
          <w:rFonts w:eastAsia="Times New Roman" w:cstheme="minorHAnsi"/>
          <w:color w:val="000000"/>
          <w:lang w:val="en-US" w:eastAsia="da-DK"/>
        </w:rPr>
        <w:softHyphen/>
        <w:t>2021 “</w:t>
      </w:r>
      <w:r w:rsidRPr="00FB3711">
        <w:rPr>
          <w:rFonts w:cstheme="minorHAnsi"/>
          <w:lang w:val="en-US"/>
        </w:rPr>
        <w:t xml:space="preserve">Peirce as a </w:t>
      </w:r>
      <w:proofErr w:type="spellStart"/>
      <w:r w:rsidRPr="00FB3711">
        <w:rPr>
          <w:rFonts w:cstheme="minorHAnsi"/>
          <w:lang w:val="en-US"/>
        </w:rPr>
        <w:t>Truthmaker</w:t>
      </w:r>
      <w:proofErr w:type="spellEnd"/>
      <w:r w:rsidRPr="00FB3711">
        <w:rPr>
          <w:rFonts w:cstheme="minorHAnsi"/>
          <w:lang w:val="en-US"/>
        </w:rPr>
        <w:t xml:space="preserve"> Realist</w:t>
      </w:r>
      <w:r w:rsidR="00FB3711" w:rsidRPr="00FB3711">
        <w:rPr>
          <w:rFonts w:cstheme="minorHAnsi"/>
          <w:lang w:val="en-US"/>
        </w:rPr>
        <w:t>:</w:t>
      </w:r>
      <w:r w:rsidR="00FB3711">
        <w:rPr>
          <w:rFonts w:cstheme="minorHAnsi"/>
          <w:lang w:val="en-US"/>
        </w:rPr>
        <w:t xml:space="preserve"> </w:t>
      </w:r>
      <w:r w:rsidRPr="00FB3711">
        <w:rPr>
          <w:rFonts w:cstheme="minorHAnsi"/>
          <w:lang w:val="en-US"/>
        </w:rPr>
        <w:t>Propositional realism as backbone</w:t>
      </w:r>
      <w:r w:rsidR="00FB3711">
        <w:rPr>
          <w:rFonts w:cstheme="minorHAnsi"/>
          <w:lang w:val="en-US"/>
        </w:rPr>
        <w:t xml:space="preserve"> </w:t>
      </w:r>
      <w:r w:rsidRPr="00FB3711">
        <w:rPr>
          <w:rFonts w:cstheme="minorHAnsi"/>
          <w:lang w:val="en-US"/>
        </w:rPr>
        <w:t>of Peircean metaphysics</w:t>
      </w:r>
      <w:r w:rsidR="00FB3711" w:rsidRPr="00FB3711">
        <w:rPr>
          <w:rFonts w:cstheme="minorHAnsi"/>
          <w:lang w:val="en-US"/>
        </w:rPr>
        <w:t xml:space="preserve">”, in </w:t>
      </w:r>
      <w:proofErr w:type="spellStart"/>
      <w:r w:rsidR="00FB3711" w:rsidRPr="00FB3711">
        <w:rPr>
          <w:rFonts w:cstheme="minorHAnsi"/>
          <w:i/>
          <w:iCs/>
          <w:lang w:val="en-US"/>
        </w:rPr>
        <w:t>Blityri</w:t>
      </w:r>
      <w:proofErr w:type="spellEnd"/>
      <w:r w:rsidR="00FB3711" w:rsidRPr="00FB3711">
        <w:rPr>
          <w:rFonts w:cstheme="minorHAnsi"/>
          <w:i/>
          <w:iCs/>
          <w:lang w:val="en-US"/>
        </w:rPr>
        <w:t>.</w:t>
      </w:r>
      <w:r w:rsidR="00FB3711" w:rsidRPr="00FB3711">
        <w:rPr>
          <w:rFonts w:cstheme="minorHAnsi"/>
          <w:lang w:val="en-US"/>
        </w:rPr>
        <w:t xml:space="preserve"> </w:t>
      </w:r>
      <w:proofErr w:type="spellStart"/>
      <w:r w:rsidR="00FB3711" w:rsidRPr="00FB3711">
        <w:rPr>
          <w:rFonts w:cstheme="minorHAnsi"/>
          <w:i/>
          <w:iCs/>
        </w:rPr>
        <w:t>Studi</w:t>
      </w:r>
      <w:proofErr w:type="spellEnd"/>
      <w:r w:rsidR="00FB3711" w:rsidRPr="00FB3711">
        <w:rPr>
          <w:rFonts w:cstheme="minorHAnsi"/>
          <w:i/>
          <w:iCs/>
        </w:rPr>
        <w:t xml:space="preserve"> di </w:t>
      </w:r>
      <w:proofErr w:type="spellStart"/>
      <w:r w:rsidR="00FB3711" w:rsidRPr="00FB3711">
        <w:rPr>
          <w:rFonts w:cstheme="minorHAnsi"/>
          <w:i/>
          <w:iCs/>
        </w:rPr>
        <w:t>storia</w:t>
      </w:r>
      <w:proofErr w:type="spellEnd"/>
      <w:r w:rsidR="00FB3711" w:rsidRPr="00FB3711">
        <w:rPr>
          <w:rFonts w:cstheme="minorHAnsi"/>
          <w:i/>
          <w:iCs/>
        </w:rPr>
        <w:t xml:space="preserve"> delle </w:t>
      </w:r>
      <w:proofErr w:type="spellStart"/>
      <w:r w:rsidR="00FB3711" w:rsidRPr="00FB3711">
        <w:rPr>
          <w:rFonts w:cstheme="minorHAnsi"/>
          <w:i/>
          <w:iCs/>
        </w:rPr>
        <w:t>idee</w:t>
      </w:r>
      <w:proofErr w:type="spellEnd"/>
      <w:r w:rsidR="00FB3711" w:rsidRPr="00FB3711">
        <w:rPr>
          <w:rFonts w:cstheme="minorHAnsi"/>
          <w:i/>
          <w:iCs/>
        </w:rPr>
        <w:t xml:space="preserve"> </w:t>
      </w:r>
      <w:proofErr w:type="spellStart"/>
      <w:r w:rsidR="00FB3711" w:rsidRPr="00FB3711">
        <w:rPr>
          <w:rFonts w:cstheme="minorHAnsi"/>
          <w:i/>
          <w:iCs/>
        </w:rPr>
        <w:t>sui</w:t>
      </w:r>
      <w:proofErr w:type="spellEnd"/>
      <w:r w:rsidR="00FB3711" w:rsidRPr="00FB3711">
        <w:rPr>
          <w:rFonts w:cstheme="minorHAnsi"/>
          <w:i/>
          <w:iCs/>
        </w:rPr>
        <w:t xml:space="preserve"> </w:t>
      </w:r>
      <w:proofErr w:type="spellStart"/>
      <w:r w:rsidR="00FB3711" w:rsidRPr="00FB3711">
        <w:rPr>
          <w:rFonts w:cstheme="minorHAnsi"/>
          <w:i/>
          <w:iCs/>
        </w:rPr>
        <w:t>segni</w:t>
      </w:r>
      <w:proofErr w:type="spellEnd"/>
      <w:r w:rsidR="00FB3711" w:rsidRPr="00FB3711">
        <w:rPr>
          <w:rFonts w:cstheme="minorHAnsi"/>
          <w:i/>
          <w:iCs/>
        </w:rPr>
        <w:t xml:space="preserve"> e le </w:t>
      </w:r>
      <w:proofErr w:type="spellStart"/>
      <w:r w:rsidR="00FB3711" w:rsidRPr="00FB3711">
        <w:rPr>
          <w:rFonts w:cstheme="minorHAnsi"/>
          <w:i/>
          <w:iCs/>
        </w:rPr>
        <w:t>lingue</w:t>
      </w:r>
      <w:proofErr w:type="spellEnd"/>
      <w:r w:rsidR="00FB3711" w:rsidRPr="00FB3711">
        <w:rPr>
          <w:rFonts w:cstheme="minorHAnsi"/>
        </w:rPr>
        <w:t>, IX, 2, 123-36</w:t>
      </w:r>
    </w:p>
    <w:p w14:paraId="3A4F6452" w14:textId="77777777" w:rsidR="00B854EA" w:rsidRPr="00FB3711" w:rsidRDefault="00B854EA" w:rsidP="00E75A16">
      <w:pPr>
        <w:spacing w:line="276" w:lineRule="auto"/>
        <w:jc w:val="both"/>
        <w:rPr>
          <w:rFonts w:eastAsia="Times New Roman" w:cstheme="minorHAnsi"/>
          <w:color w:val="000000" w:themeColor="text1"/>
          <w:lang w:eastAsia="da-DK"/>
        </w:rPr>
      </w:pPr>
    </w:p>
    <w:p w14:paraId="12C86280" w14:textId="77777777" w:rsidR="00B854EA" w:rsidRPr="00FB3711" w:rsidRDefault="00B854EA" w:rsidP="00E75A16">
      <w:pPr>
        <w:spacing w:line="276" w:lineRule="auto"/>
        <w:jc w:val="both"/>
        <w:rPr>
          <w:rFonts w:eastAsia="Times New Roman" w:cstheme="minorHAnsi"/>
          <w:color w:val="000000" w:themeColor="text1"/>
          <w:lang w:eastAsia="da-DK"/>
        </w:rPr>
      </w:pPr>
    </w:p>
    <w:p w14:paraId="2C7791A2" w14:textId="77777777" w:rsidR="00E27727" w:rsidRPr="00FB3711" w:rsidRDefault="00E27727" w:rsidP="002862ED">
      <w:pPr>
        <w:sectPr w:rsidR="00E27727" w:rsidRPr="00FB3711" w:rsidSect="0005209B">
          <w:endnotePr>
            <w:numFmt w:val="decimal"/>
          </w:endnotePr>
          <w:pgSz w:w="11900" w:h="16840"/>
          <w:pgMar w:top="1701" w:right="1134" w:bottom="1701" w:left="1134" w:header="708" w:footer="708" w:gutter="0"/>
          <w:cols w:space="708"/>
          <w:docGrid w:linePitch="360"/>
        </w:sectPr>
      </w:pPr>
    </w:p>
    <w:p w14:paraId="021AB21F" w14:textId="77777777" w:rsidR="00A55447" w:rsidRPr="00FB3711" w:rsidRDefault="009534FE" w:rsidP="002862ED">
      <w:r w:rsidRPr="00FB3711">
        <w:t xml:space="preserve"> </w:t>
      </w:r>
    </w:p>
    <w:sectPr w:rsidR="00A55447" w:rsidRPr="00FB3711" w:rsidSect="0005209B">
      <w:type w:val="continuous"/>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5C4DA" w14:textId="77777777" w:rsidR="00671AB7" w:rsidRDefault="00671AB7" w:rsidP="0005209B">
      <w:r>
        <w:separator/>
      </w:r>
    </w:p>
  </w:endnote>
  <w:endnote w:type="continuationSeparator" w:id="0">
    <w:p w14:paraId="6779E9A8" w14:textId="77777777" w:rsidR="00671AB7" w:rsidRDefault="00671AB7" w:rsidP="0005209B">
      <w:r>
        <w:continuationSeparator/>
      </w:r>
    </w:p>
  </w:endnote>
  <w:endnote w:id="1">
    <w:p w14:paraId="7CF51890" w14:textId="77777777" w:rsidR="00405B5F" w:rsidRPr="00E97BDF" w:rsidRDefault="00405B5F" w:rsidP="00E97BDF">
      <w:pPr>
        <w:jc w:val="both"/>
        <w:rPr>
          <w:rFonts w:eastAsia="Times New Roman" w:cstheme="minorHAnsi"/>
          <w:color w:val="000000" w:themeColor="text1"/>
          <w:sz w:val="20"/>
          <w:szCs w:val="20"/>
          <w:lang w:val="en-US" w:eastAsia="da-DK"/>
        </w:rPr>
      </w:pPr>
      <w:r w:rsidRPr="00E97BDF">
        <w:rPr>
          <w:rStyle w:val="Slutnotehenvisning"/>
          <w:color w:val="000000" w:themeColor="text1"/>
          <w:sz w:val="20"/>
          <w:szCs w:val="20"/>
        </w:rPr>
        <w:endnoteRef/>
      </w:r>
      <w:r w:rsidRPr="00E97BDF">
        <w:rPr>
          <w:color w:val="000000" w:themeColor="text1"/>
          <w:sz w:val="20"/>
          <w:szCs w:val="20"/>
          <w:lang w:val="en-US"/>
        </w:rPr>
        <w:t xml:space="preserve"> CP 5.543; variant in </w:t>
      </w:r>
      <w:r w:rsidRPr="00E97BDF">
        <w:rPr>
          <w:rFonts w:eastAsia="Times New Roman" w:cstheme="minorHAnsi"/>
          <w:color w:val="000000" w:themeColor="text1"/>
          <w:sz w:val="20"/>
          <w:szCs w:val="20"/>
          <w:lang w:val="en-US" w:eastAsia="da-DK"/>
        </w:rPr>
        <w:t>MS [R] 599, 5:</w:t>
      </w:r>
      <w:r w:rsidRPr="00E97BDF">
        <w:rPr>
          <w:rFonts w:eastAsia="Times New Roman" w:cstheme="minorHAnsi"/>
          <w:color w:val="000000" w:themeColor="text1"/>
          <w:sz w:val="20"/>
          <w:szCs w:val="20"/>
          <w:shd w:val="clear" w:color="auto" w:fill="FFFFFF"/>
          <w:lang w:val="en-US" w:eastAsia="da-DK"/>
        </w:rPr>
        <w:t xml:space="preserve"> “An </w:t>
      </w:r>
      <w:r w:rsidRPr="00E97BDF">
        <w:rPr>
          <w:rFonts w:eastAsia="Times New Roman" w:cstheme="minorHAnsi"/>
          <w:i/>
          <w:iCs/>
          <w:color w:val="000000" w:themeColor="text1"/>
          <w:sz w:val="20"/>
          <w:szCs w:val="20"/>
          <w:shd w:val="clear" w:color="auto" w:fill="FFFFFF"/>
          <w:lang w:val="en-US" w:eastAsia="da-DK"/>
        </w:rPr>
        <w:t>assertion</w:t>
      </w:r>
      <w:r w:rsidRPr="00E97BDF">
        <w:rPr>
          <w:rFonts w:eastAsia="Times New Roman" w:cstheme="minorHAnsi"/>
          <w:color w:val="000000" w:themeColor="text1"/>
          <w:sz w:val="20"/>
          <w:szCs w:val="20"/>
          <w:shd w:val="clear" w:color="auto" w:fill="FFFFFF"/>
          <w:lang w:val="en-US" w:eastAsia="da-DK"/>
        </w:rPr>
        <w:t> is an act by which a person makes himself responsible for the truth of a proposition</w:t>
      </w:r>
      <w:r w:rsidRPr="00E97BDF">
        <w:rPr>
          <w:rFonts w:eastAsia="Times New Roman" w:cstheme="minorHAnsi"/>
          <w:color w:val="000000" w:themeColor="text1"/>
          <w:sz w:val="20"/>
          <w:szCs w:val="20"/>
          <w:lang w:val="en-US" w:eastAsia="da-DK"/>
        </w:rPr>
        <w:t>.”</w:t>
      </w:r>
    </w:p>
  </w:endnote>
  <w:endnote w:id="2">
    <w:p w14:paraId="61BC501C" w14:textId="77777777" w:rsidR="008C2766" w:rsidRPr="008C2766" w:rsidRDefault="008C2766">
      <w:pPr>
        <w:pStyle w:val="Slutnotetekst"/>
        <w:rPr>
          <w:lang w:val="en-US"/>
        </w:rPr>
      </w:pPr>
      <w:r>
        <w:rPr>
          <w:rStyle w:val="Slutnotehenvisning"/>
        </w:rPr>
        <w:endnoteRef/>
      </w:r>
      <w:r w:rsidRPr="008C2766">
        <w:rPr>
          <w:lang w:val="en-US"/>
        </w:rPr>
        <w:t xml:space="preserve"> </w:t>
      </w:r>
      <w:r>
        <w:rPr>
          <w:lang w:val="en-US"/>
        </w:rPr>
        <w:t xml:space="preserve">It is a classic problem of picture theories of propositions like Russell’s or Wittgenstein’s how to account for false or mendacious propositions. It would not be wrong to call Peirce’s theory of propositions a picture theory, but it makes room for false propositions due to its distinction between </w:t>
      </w:r>
      <w:r w:rsidR="00A80DB2">
        <w:rPr>
          <w:lang w:val="en-US"/>
        </w:rPr>
        <w:t xml:space="preserve">the </w:t>
      </w:r>
      <w:r>
        <w:rPr>
          <w:lang w:val="en-US"/>
        </w:rPr>
        <w:t>reference and signification</w:t>
      </w:r>
      <w:r w:rsidR="00A80DB2">
        <w:rPr>
          <w:lang w:val="en-US"/>
        </w:rPr>
        <w:t xml:space="preserve"> of the proposition</w:t>
      </w:r>
      <w:r>
        <w:rPr>
          <w:lang w:val="en-US"/>
        </w:rPr>
        <w:t xml:space="preserve">, and for lies with its distinction between assertion and assent. </w:t>
      </w:r>
    </w:p>
  </w:endnote>
  <w:endnote w:id="3">
    <w:p w14:paraId="105A2F7F" w14:textId="77777777" w:rsidR="00405B5F" w:rsidRPr="00E61629" w:rsidRDefault="00405B5F" w:rsidP="00F3630E">
      <w:pPr>
        <w:pStyle w:val="Slutnotetekst"/>
        <w:rPr>
          <w:lang w:val="en-US"/>
        </w:rPr>
      </w:pPr>
      <w:r w:rsidRPr="00E97BDF">
        <w:rPr>
          <w:rStyle w:val="Slutnotehenvisning"/>
        </w:rPr>
        <w:endnoteRef/>
      </w:r>
      <w:r w:rsidRPr="00E97BDF">
        <w:rPr>
          <w:lang w:val="en-US"/>
        </w:rPr>
        <w:t xml:space="preserve"> Even far into his period </w:t>
      </w:r>
      <w:r w:rsidRPr="00E61629">
        <w:rPr>
          <w:lang w:val="en-US"/>
        </w:rPr>
        <w:t xml:space="preserve">of technically defining “assertion”, Peirce may still use the term in the non-technical way as a synonym of “proposition”, e.g. </w:t>
      </w:r>
      <w:proofErr w:type="gramStart"/>
      <w:r w:rsidRPr="00E61629">
        <w:rPr>
          <w:rFonts w:eastAsia="Times New Roman" w:cstheme="minorHAnsi"/>
          <w:color w:val="000000"/>
          <w:lang w:val="en-US" w:eastAsia="da-DK"/>
        </w:rPr>
        <w:t>in ”On</w:t>
      </w:r>
      <w:proofErr w:type="gramEnd"/>
      <w:r w:rsidRPr="00E61629">
        <w:rPr>
          <w:rFonts w:eastAsia="Times New Roman" w:cstheme="minorHAnsi"/>
          <w:color w:val="000000"/>
          <w:lang w:val="en-US" w:eastAsia="da-DK"/>
        </w:rPr>
        <w:t xml:space="preserve"> Logical Graphs”, 1903, CP 4.354</w:t>
      </w:r>
    </w:p>
  </w:endnote>
  <w:endnote w:id="4">
    <w:p w14:paraId="391F2C25" w14:textId="0F10A586" w:rsidR="00325FB1" w:rsidRPr="00325FB1" w:rsidRDefault="00325FB1">
      <w:pPr>
        <w:pStyle w:val="Slutnotetekst"/>
        <w:rPr>
          <w:lang w:val="en-US"/>
        </w:rPr>
      </w:pPr>
      <w:r>
        <w:rPr>
          <w:rStyle w:val="Slutnotehenvisning"/>
        </w:rPr>
        <w:endnoteRef/>
      </w:r>
      <w:r w:rsidRPr="00325FB1">
        <w:rPr>
          <w:lang w:val="en-US"/>
        </w:rPr>
        <w:t xml:space="preserve"> </w:t>
      </w:r>
      <w:r>
        <w:rPr>
          <w:lang w:val="en-US"/>
        </w:rPr>
        <w:t>In a parallel draft</w:t>
      </w:r>
      <w:r w:rsidRPr="00C556E5">
        <w:rPr>
          <w:lang w:val="en-US"/>
        </w:rPr>
        <w:t>, Peirce expands the copula to inc</w:t>
      </w:r>
      <w:r>
        <w:rPr>
          <w:lang w:val="en-US"/>
        </w:rPr>
        <w:t>lude, more generally, the “asserting verb” (</w:t>
      </w:r>
      <w:r w:rsidR="008935F8">
        <w:rPr>
          <w:lang w:val="en-US"/>
        </w:rPr>
        <w:t xml:space="preserve">MS </w:t>
      </w:r>
      <w:r>
        <w:rPr>
          <w:lang w:val="en-US"/>
        </w:rPr>
        <w:t>R 787, 1896)</w:t>
      </w:r>
    </w:p>
  </w:endnote>
  <w:endnote w:id="5">
    <w:p w14:paraId="6EDCCF22" w14:textId="77777777" w:rsidR="00E61629" w:rsidRPr="00E61629" w:rsidRDefault="00E61629" w:rsidP="00F3630E">
      <w:pPr>
        <w:jc w:val="both"/>
        <w:rPr>
          <w:rFonts w:eastAsia="Times New Roman" w:cstheme="minorHAnsi"/>
          <w:color w:val="000000"/>
          <w:sz w:val="20"/>
          <w:szCs w:val="20"/>
          <w:lang w:val="en-US" w:eastAsia="da-DK"/>
        </w:rPr>
      </w:pPr>
      <w:r w:rsidRPr="00E61629">
        <w:rPr>
          <w:rStyle w:val="Slutnotehenvisning"/>
          <w:sz w:val="20"/>
          <w:szCs w:val="20"/>
        </w:rPr>
        <w:endnoteRef/>
      </w:r>
      <w:r w:rsidRPr="00E61629">
        <w:rPr>
          <w:sz w:val="20"/>
          <w:szCs w:val="20"/>
          <w:lang w:val="en-US"/>
        </w:rPr>
        <w:t xml:space="preserve"> This tripartition poses some problems, couched in the non-technical terms of “compulsion” and “occasion”. Is the triad simply identical with 1) subject, 2) predicate; 3) an early version of the immediate object? Or is it rather a new, illocutionary trichotomy so that 1) “the enforced idea” is the whole of the proposition; while 2) is the act of claiming the proposition in a certain situation, and 3) the situation-bound intention of the utterer?  In the latter case, it is a new analysis of the pragmatics of asserting. </w:t>
      </w:r>
    </w:p>
  </w:endnote>
  <w:endnote w:id="6">
    <w:p w14:paraId="608DFF83" w14:textId="73356452" w:rsidR="00934568" w:rsidRPr="00934568" w:rsidRDefault="00934568">
      <w:pPr>
        <w:pStyle w:val="Slutnotetekst"/>
        <w:rPr>
          <w:lang w:val="en-US"/>
        </w:rPr>
      </w:pPr>
      <w:r>
        <w:rPr>
          <w:rStyle w:val="Slutnotehenvisning"/>
        </w:rPr>
        <w:endnoteRef/>
      </w:r>
      <w:r w:rsidRPr="00934568">
        <w:rPr>
          <w:lang w:val="en-US"/>
        </w:rPr>
        <w:t xml:space="preserve"> </w:t>
      </w:r>
      <w:r>
        <w:rPr>
          <w:lang w:val="en-US"/>
        </w:rPr>
        <w:t>The weathercock-type example mentioned here would develop into the subtype of “informational index” (as opposed to non-informational indices) and “</w:t>
      </w:r>
      <w:proofErr w:type="spellStart"/>
      <w:r>
        <w:rPr>
          <w:lang w:val="en-US"/>
        </w:rPr>
        <w:t>dicent</w:t>
      </w:r>
      <w:proofErr w:type="spellEnd"/>
      <w:r>
        <w:rPr>
          <w:lang w:val="en-US"/>
        </w:rPr>
        <w:t xml:space="preserve"> indexical </w:t>
      </w:r>
      <w:proofErr w:type="spellStart"/>
      <w:r>
        <w:rPr>
          <w:lang w:val="en-US"/>
        </w:rPr>
        <w:t>sinsign</w:t>
      </w:r>
      <w:proofErr w:type="spellEnd"/>
      <w:r>
        <w:rPr>
          <w:lang w:val="en-US"/>
        </w:rPr>
        <w:t xml:space="preserve">” (in the 1903 ten-signs system) in the development of the </w:t>
      </w:r>
      <w:r>
        <w:rPr>
          <w:i/>
          <w:iCs/>
          <w:lang w:val="en-US"/>
        </w:rPr>
        <w:t>Syllabus</w:t>
      </w:r>
      <w:r>
        <w:rPr>
          <w:lang w:val="en-US"/>
        </w:rPr>
        <w:t xml:space="preserve"> a couple of years later.</w:t>
      </w:r>
    </w:p>
  </w:endnote>
  <w:endnote w:id="7">
    <w:p w14:paraId="28034DCE" w14:textId="77777777" w:rsidR="00F3630E" w:rsidRPr="00F3630E" w:rsidRDefault="00F3630E" w:rsidP="00F3630E">
      <w:pPr>
        <w:pStyle w:val="Slutnotetekst"/>
        <w:rPr>
          <w:lang w:val="en-US"/>
        </w:rPr>
      </w:pPr>
      <w:r>
        <w:rPr>
          <w:rStyle w:val="Slutnotehenvisning"/>
        </w:rPr>
        <w:endnoteRef/>
      </w:r>
      <w:r w:rsidRPr="00F3630E">
        <w:rPr>
          <w:lang w:val="en-US"/>
        </w:rPr>
        <w:t xml:space="preserve"> </w:t>
      </w:r>
      <w:r>
        <w:rPr>
          <w:lang w:val="en-US"/>
        </w:rPr>
        <w:t xml:space="preserve">The </w:t>
      </w:r>
      <w:r>
        <w:rPr>
          <w:i/>
          <w:lang w:val="en-US"/>
        </w:rPr>
        <w:t xml:space="preserve">Syllabus </w:t>
      </w:r>
      <w:r w:rsidR="00A80DB2">
        <w:rPr>
          <w:lang w:val="en-US"/>
        </w:rPr>
        <w:t>D</w:t>
      </w:r>
      <w:r>
        <w:rPr>
          <w:lang w:val="en-US"/>
        </w:rPr>
        <w:t xml:space="preserve">eduction of the </w:t>
      </w:r>
      <w:proofErr w:type="spellStart"/>
      <w:r>
        <w:rPr>
          <w:lang w:val="en-US"/>
        </w:rPr>
        <w:t>Dicisign</w:t>
      </w:r>
      <w:proofErr w:type="spellEnd"/>
      <w:r>
        <w:rPr>
          <w:lang w:val="en-US"/>
        </w:rPr>
        <w:t xml:space="preserve">, see </w:t>
      </w:r>
      <w:proofErr w:type="spellStart"/>
      <w:r>
        <w:rPr>
          <w:lang w:val="en-US"/>
        </w:rPr>
        <w:t>Stjernfelt</w:t>
      </w:r>
      <w:proofErr w:type="spellEnd"/>
      <w:r>
        <w:rPr>
          <w:lang w:val="en-US"/>
        </w:rPr>
        <w:t xml:space="preserve"> 2014, </w:t>
      </w:r>
      <w:proofErr w:type="spellStart"/>
      <w:r>
        <w:rPr>
          <w:lang w:val="en-US"/>
        </w:rPr>
        <w:t>ch.</w:t>
      </w:r>
      <w:proofErr w:type="spellEnd"/>
      <w:r>
        <w:rPr>
          <w:lang w:val="en-US"/>
        </w:rPr>
        <w:t xml:space="preserve"> 3; Bellucci</w:t>
      </w:r>
      <w:r w:rsidR="003A60F0">
        <w:rPr>
          <w:lang w:val="en-US"/>
        </w:rPr>
        <w:t xml:space="preserve"> 2013, 2014</w:t>
      </w:r>
      <w:r w:rsidR="00C40A0D">
        <w:rPr>
          <w:lang w:val="en-US"/>
        </w:rPr>
        <w:t xml:space="preserve"> and</w:t>
      </w:r>
      <w:r>
        <w:rPr>
          <w:lang w:val="en-US"/>
        </w:rPr>
        <w:t xml:space="preserve"> 2017, </w:t>
      </w:r>
      <w:proofErr w:type="spellStart"/>
      <w:r>
        <w:rPr>
          <w:lang w:val="en-US"/>
        </w:rPr>
        <w:t>ch.</w:t>
      </w:r>
      <w:proofErr w:type="spellEnd"/>
      <w:r>
        <w:rPr>
          <w:lang w:val="en-US"/>
        </w:rPr>
        <w:t xml:space="preserve"> </w:t>
      </w:r>
      <w:r w:rsidR="00A80DB2">
        <w:rPr>
          <w:lang w:val="en-US"/>
        </w:rPr>
        <w:t>7.</w:t>
      </w:r>
    </w:p>
  </w:endnote>
  <w:endnote w:id="8">
    <w:p w14:paraId="21CC9475" w14:textId="77777777" w:rsidR="00A80DB2" w:rsidRPr="00A80DB2" w:rsidRDefault="00A80DB2">
      <w:pPr>
        <w:pStyle w:val="Slutnotetekst"/>
        <w:rPr>
          <w:lang w:val="en-US"/>
        </w:rPr>
      </w:pPr>
      <w:r>
        <w:rPr>
          <w:rStyle w:val="Slutnotehenvisning"/>
        </w:rPr>
        <w:endnoteRef/>
      </w:r>
      <w:r w:rsidRPr="00A80DB2">
        <w:rPr>
          <w:lang w:val="en-US"/>
        </w:rPr>
        <w:t xml:space="preserve"> </w:t>
      </w:r>
      <w:r>
        <w:rPr>
          <w:lang w:val="en-US"/>
        </w:rPr>
        <w:t xml:space="preserve">A further elaboration of the latter, see </w:t>
      </w:r>
      <w:proofErr w:type="spellStart"/>
      <w:r>
        <w:rPr>
          <w:lang w:val="en-US"/>
        </w:rPr>
        <w:t>Stjernfelt</w:t>
      </w:r>
      <w:proofErr w:type="spellEnd"/>
      <w:r>
        <w:rPr>
          <w:lang w:val="en-US"/>
        </w:rPr>
        <w:t xml:space="preserve"> 2019b</w:t>
      </w:r>
    </w:p>
  </w:endnote>
  <w:endnote w:id="9">
    <w:p w14:paraId="4067FDF5" w14:textId="77777777" w:rsidR="00405B5F" w:rsidRPr="00ED3EA9" w:rsidRDefault="00405B5F" w:rsidP="00AE6BA4">
      <w:pPr>
        <w:pStyle w:val="Slutnotetekst"/>
        <w:rPr>
          <w:lang w:val="en-US"/>
        </w:rPr>
      </w:pPr>
      <w:r w:rsidRPr="00E61629">
        <w:rPr>
          <w:rStyle w:val="Slutnotehenvisning"/>
        </w:rPr>
        <w:endnoteRef/>
      </w:r>
      <w:r w:rsidRPr="00E61629">
        <w:rPr>
          <w:lang w:val="en-US"/>
        </w:rPr>
        <w:t xml:space="preserve"> See </w:t>
      </w:r>
      <w:proofErr w:type="spellStart"/>
      <w:r w:rsidRPr="00E61629">
        <w:rPr>
          <w:lang w:val="en-US"/>
        </w:rPr>
        <w:t>Stjernfelt</w:t>
      </w:r>
      <w:proofErr w:type="spellEnd"/>
      <w:r w:rsidRPr="00E61629">
        <w:rPr>
          <w:lang w:val="en-US"/>
        </w:rPr>
        <w:t xml:space="preserve"> 2016 for a more detailed</w:t>
      </w:r>
      <w:r>
        <w:rPr>
          <w:lang w:val="en-US"/>
        </w:rPr>
        <w:t xml:space="preserve"> account of Peirce’s problems with awareness of habits. </w:t>
      </w:r>
    </w:p>
  </w:endnote>
  <w:endnote w:id="10">
    <w:p w14:paraId="70867558" w14:textId="77777777" w:rsidR="003A60F0" w:rsidRPr="003A60F0" w:rsidRDefault="003A60F0" w:rsidP="00AE6BA4">
      <w:pPr>
        <w:pStyle w:val="Slutnotetekst"/>
        <w:rPr>
          <w:lang w:val="en-US"/>
        </w:rPr>
      </w:pPr>
      <w:r>
        <w:rPr>
          <w:rStyle w:val="Slutnotehenvisning"/>
        </w:rPr>
        <w:endnoteRef/>
      </w:r>
      <w:r w:rsidRPr="003A60F0">
        <w:rPr>
          <w:lang w:val="en-US"/>
        </w:rPr>
        <w:t xml:space="preserve"> Peirce’s notion of self-control, see </w:t>
      </w:r>
      <w:proofErr w:type="spellStart"/>
      <w:r w:rsidRPr="003A60F0">
        <w:rPr>
          <w:lang w:val="en-US"/>
        </w:rPr>
        <w:t>Stjernfelt</w:t>
      </w:r>
      <w:proofErr w:type="spellEnd"/>
      <w:r w:rsidRPr="003A60F0">
        <w:rPr>
          <w:lang w:val="en-US"/>
        </w:rPr>
        <w:t xml:space="preserve"> 2012, 2014, and 2016.</w:t>
      </w:r>
    </w:p>
  </w:endnote>
  <w:endnote w:id="11">
    <w:p w14:paraId="2F4B2CCF" w14:textId="73E1AA4C" w:rsidR="00131D4A" w:rsidRPr="00131D4A" w:rsidRDefault="00131D4A">
      <w:pPr>
        <w:pStyle w:val="Slutnotetekst"/>
        <w:rPr>
          <w:lang w:val="en-US"/>
        </w:rPr>
      </w:pPr>
      <w:r>
        <w:rPr>
          <w:rStyle w:val="Slutnotehenvisning"/>
        </w:rPr>
        <w:endnoteRef/>
      </w:r>
      <w:r w:rsidRPr="00131D4A">
        <w:rPr>
          <w:lang w:val="en-US"/>
        </w:rPr>
        <w:t xml:space="preserve"> </w:t>
      </w:r>
      <w:r>
        <w:rPr>
          <w:lang w:val="en-US"/>
        </w:rPr>
        <w:t xml:space="preserve">Cf. </w:t>
      </w:r>
      <w:proofErr w:type="spellStart"/>
      <w:r>
        <w:rPr>
          <w:lang w:val="en-US"/>
        </w:rPr>
        <w:t>Stjernfelt</w:t>
      </w:r>
      <w:proofErr w:type="spellEnd"/>
      <w:r>
        <w:rPr>
          <w:lang w:val="en-US"/>
        </w:rPr>
        <w:t xml:space="preserve"> 2021</w:t>
      </w:r>
    </w:p>
  </w:endnote>
  <w:endnote w:id="12">
    <w:p w14:paraId="7150ACE6" w14:textId="77777777" w:rsidR="00CD558D" w:rsidRPr="00CD558D" w:rsidRDefault="00CD558D" w:rsidP="00AE6BA4">
      <w:pPr>
        <w:pStyle w:val="Slutnotetekst"/>
        <w:rPr>
          <w:lang w:val="en-US"/>
        </w:rPr>
      </w:pPr>
      <w:r>
        <w:rPr>
          <w:rStyle w:val="Slutnotehenvisning"/>
        </w:rPr>
        <w:endnoteRef/>
      </w:r>
      <w:r w:rsidRPr="00CD558D">
        <w:rPr>
          <w:lang w:val="en-US"/>
        </w:rPr>
        <w:t xml:space="preserve"> In </w:t>
      </w:r>
      <w:proofErr w:type="spellStart"/>
      <w:r w:rsidRPr="00CD558D">
        <w:rPr>
          <w:lang w:val="en-US"/>
        </w:rPr>
        <w:t>Stjernfelt</w:t>
      </w:r>
      <w:proofErr w:type="spellEnd"/>
      <w:r w:rsidRPr="00CD558D">
        <w:rPr>
          <w:lang w:val="en-US"/>
        </w:rPr>
        <w:t xml:space="preserve"> 2014</w:t>
      </w:r>
      <w:r>
        <w:rPr>
          <w:lang w:val="en-US"/>
        </w:rPr>
        <w:t xml:space="preserve"> (ch.7),</w:t>
      </w:r>
      <w:r w:rsidRPr="00CD558D">
        <w:rPr>
          <w:lang w:val="en-US"/>
        </w:rPr>
        <w:t xml:space="preserve"> I use the defi</w:t>
      </w:r>
      <w:r>
        <w:rPr>
          <w:lang w:val="en-US"/>
        </w:rPr>
        <w:t xml:space="preserve">nition in this way on a couple of examples to substantiate my claim that many multimodal expressions are actually asserted propositions </w:t>
      </w:r>
      <w:r w:rsidR="00AE6BA4">
        <w:rPr>
          <w:lang w:val="en-US"/>
        </w:rPr>
        <w:t>which can be seen from the fact that</w:t>
      </w:r>
      <w:r>
        <w:rPr>
          <w:lang w:val="en-US"/>
        </w:rPr>
        <w:t xml:space="preserve"> severe penalties may befall those uttering them in case of falsity or fraud.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ealpagePLA3-Bold">
    <w:altName w:val="Cambria"/>
    <w:panose1 w:val="020B0604020202020204"/>
    <w:charset w:val="4D"/>
    <w:family w:val="swiss"/>
    <w:notTrueType/>
    <w:pitch w:val="default"/>
    <w:sig w:usb0="00000003" w:usb1="00000000" w:usb2="00000000" w:usb3="00000000" w:csb0="00000001" w:csb1="00000000"/>
  </w:font>
  <w:font w:name="TrebuchetMS">
    <w:panose1 w:val="020B0603020202020204"/>
    <w:charset w:val="00"/>
    <w:family w:val="auto"/>
    <w:pitch w:val="variable"/>
    <w:sig w:usb0="00000287" w:usb1="00000000" w:usb2="00000000" w:usb3="00000000" w:csb0="0000009F" w:csb1="00000000"/>
  </w:font>
  <w:font w:name="TimesNewRomanPS-BoldItalicMT">
    <w:panose1 w:val="02020703060505090304"/>
    <w:charset w:val="00"/>
    <w:family w:val="auto"/>
    <w:pitch w:val="variable"/>
    <w:sig w:usb0="E0000AFF" w:usb1="00007843" w:usb2="00000001" w:usb3="00000000" w:csb0="000001BF" w:csb1="00000000"/>
  </w:font>
  <w:font w:name="TimesNewRomanPSMT">
    <w:altName w:val="Times New Roman"/>
    <w:panose1 w:val="02020603050405020304"/>
    <w:charset w:val="00"/>
    <w:family w:val="auto"/>
    <w:pitch w:val="variable"/>
    <w:sig w:usb0="E0002AE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86874" w14:textId="77777777" w:rsidR="00671AB7" w:rsidRDefault="00671AB7" w:rsidP="0005209B">
      <w:r>
        <w:separator/>
      </w:r>
    </w:p>
  </w:footnote>
  <w:footnote w:type="continuationSeparator" w:id="0">
    <w:p w14:paraId="2B2F9A7E" w14:textId="77777777" w:rsidR="00671AB7" w:rsidRDefault="00671AB7" w:rsidP="000520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F50FB"/>
    <w:multiLevelType w:val="hybridMultilevel"/>
    <w:tmpl w:val="71A2B2C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45F3B8C"/>
    <w:multiLevelType w:val="hybridMultilevel"/>
    <w:tmpl w:val="420A033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9296535"/>
    <w:multiLevelType w:val="hybridMultilevel"/>
    <w:tmpl w:val="321CC80A"/>
    <w:lvl w:ilvl="0" w:tplc="A4B087C0">
      <w:start w:val="1903"/>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2735E37"/>
    <w:multiLevelType w:val="hybridMultilevel"/>
    <w:tmpl w:val="CE2E5CAE"/>
    <w:lvl w:ilvl="0" w:tplc="46105B10">
      <w:start w:val="1903"/>
      <w:numFmt w:val="bullet"/>
      <w:lvlText w:val="–"/>
      <w:lvlJc w:val="left"/>
      <w:pPr>
        <w:ind w:left="1664" w:hanging="360"/>
      </w:pPr>
      <w:rPr>
        <w:rFonts w:ascii="Calibri" w:eastAsiaTheme="minorHAnsi" w:hAnsi="Calibri" w:cs="Calibri"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4" w15:restartNumberingAfterBreak="0">
    <w:nsid w:val="2E5B226C"/>
    <w:multiLevelType w:val="hybridMultilevel"/>
    <w:tmpl w:val="933870D4"/>
    <w:lvl w:ilvl="0" w:tplc="749AC96A">
      <w:start w:val="2017"/>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5181FAF"/>
    <w:multiLevelType w:val="hybridMultilevel"/>
    <w:tmpl w:val="60F05F18"/>
    <w:lvl w:ilvl="0" w:tplc="BFFA7860">
      <w:start w:val="39"/>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7722995"/>
    <w:multiLevelType w:val="hybridMultilevel"/>
    <w:tmpl w:val="31424012"/>
    <w:lvl w:ilvl="0" w:tplc="CE2ADD94">
      <w:start w:val="1903"/>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07D7167"/>
    <w:multiLevelType w:val="hybridMultilevel"/>
    <w:tmpl w:val="6C48A36E"/>
    <w:lvl w:ilvl="0" w:tplc="B3CAF1D8">
      <w:start w:val="1903"/>
      <w:numFmt w:val="bullet"/>
      <w:lvlText w:val="–"/>
      <w:lvlJc w:val="left"/>
      <w:pPr>
        <w:ind w:left="1664" w:hanging="360"/>
      </w:pPr>
      <w:rPr>
        <w:rFonts w:ascii="Calibri" w:eastAsiaTheme="minorHAnsi" w:hAnsi="Calibri" w:cs="Calibri"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8" w15:restartNumberingAfterBreak="0">
    <w:nsid w:val="60EA2AAC"/>
    <w:multiLevelType w:val="hybridMultilevel"/>
    <w:tmpl w:val="13BC8F0C"/>
    <w:lvl w:ilvl="0" w:tplc="374A613E">
      <w:start w:val="1903"/>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B794A2B"/>
    <w:multiLevelType w:val="hybridMultilevel"/>
    <w:tmpl w:val="7070D99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7660060F"/>
    <w:multiLevelType w:val="hybridMultilevel"/>
    <w:tmpl w:val="ADAE74F4"/>
    <w:lvl w:ilvl="0" w:tplc="C0F02D50">
      <w:start w:val="1903"/>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B04133C"/>
    <w:multiLevelType w:val="hybridMultilevel"/>
    <w:tmpl w:val="2392256E"/>
    <w:lvl w:ilvl="0" w:tplc="36560416">
      <w:start w:val="1903"/>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8"/>
  </w:num>
  <w:num w:numId="5">
    <w:abstractNumId w:val="6"/>
  </w:num>
  <w:num w:numId="6">
    <w:abstractNumId w:val="10"/>
  </w:num>
  <w:num w:numId="7">
    <w:abstractNumId w:val="2"/>
  </w:num>
  <w:num w:numId="8">
    <w:abstractNumId w:val="11"/>
  </w:num>
  <w:num w:numId="9">
    <w:abstractNumId w:val="5"/>
  </w:num>
  <w:num w:numId="10">
    <w:abstractNumId w:val="7"/>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proofState w:spelling="clean" w:grammar="clean"/>
  <w:defaultTabStop w:val="1304"/>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67A"/>
    <w:rsid w:val="00006B7E"/>
    <w:rsid w:val="00032549"/>
    <w:rsid w:val="000410F9"/>
    <w:rsid w:val="0005209B"/>
    <w:rsid w:val="00057C01"/>
    <w:rsid w:val="0008323B"/>
    <w:rsid w:val="000A47F8"/>
    <w:rsid w:val="00106B8B"/>
    <w:rsid w:val="00124221"/>
    <w:rsid w:val="00131D4A"/>
    <w:rsid w:val="00144295"/>
    <w:rsid w:val="00152A63"/>
    <w:rsid w:val="00167D4F"/>
    <w:rsid w:val="001E273D"/>
    <w:rsid w:val="00220F55"/>
    <w:rsid w:val="00221065"/>
    <w:rsid w:val="0023108D"/>
    <w:rsid w:val="002862ED"/>
    <w:rsid w:val="002B61CA"/>
    <w:rsid w:val="002E1034"/>
    <w:rsid w:val="00325D02"/>
    <w:rsid w:val="00325FB1"/>
    <w:rsid w:val="00340903"/>
    <w:rsid w:val="00351DD4"/>
    <w:rsid w:val="00355A22"/>
    <w:rsid w:val="0036742D"/>
    <w:rsid w:val="00373251"/>
    <w:rsid w:val="00390924"/>
    <w:rsid w:val="003A60F0"/>
    <w:rsid w:val="003C0B0E"/>
    <w:rsid w:val="003D1394"/>
    <w:rsid w:val="00405B5F"/>
    <w:rsid w:val="00411B3A"/>
    <w:rsid w:val="00426006"/>
    <w:rsid w:val="00463DB9"/>
    <w:rsid w:val="00464B39"/>
    <w:rsid w:val="00476F4A"/>
    <w:rsid w:val="004B4C29"/>
    <w:rsid w:val="004D45B3"/>
    <w:rsid w:val="004E0DCF"/>
    <w:rsid w:val="004E6071"/>
    <w:rsid w:val="004F367A"/>
    <w:rsid w:val="00514F3B"/>
    <w:rsid w:val="005316AE"/>
    <w:rsid w:val="00546CF4"/>
    <w:rsid w:val="00553CC8"/>
    <w:rsid w:val="0056593C"/>
    <w:rsid w:val="00581B86"/>
    <w:rsid w:val="00583D22"/>
    <w:rsid w:val="005B6706"/>
    <w:rsid w:val="005D7247"/>
    <w:rsid w:val="005E1119"/>
    <w:rsid w:val="0060014A"/>
    <w:rsid w:val="0062101C"/>
    <w:rsid w:val="00630770"/>
    <w:rsid w:val="00631233"/>
    <w:rsid w:val="006511E7"/>
    <w:rsid w:val="00671AB7"/>
    <w:rsid w:val="00677815"/>
    <w:rsid w:val="006D539B"/>
    <w:rsid w:val="00700E7B"/>
    <w:rsid w:val="00773BAE"/>
    <w:rsid w:val="007B33F0"/>
    <w:rsid w:val="007E15E5"/>
    <w:rsid w:val="0081101B"/>
    <w:rsid w:val="008142CA"/>
    <w:rsid w:val="0085137E"/>
    <w:rsid w:val="00887772"/>
    <w:rsid w:val="008935F8"/>
    <w:rsid w:val="008A467A"/>
    <w:rsid w:val="008C2766"/>
    <w:rsid w:val="00913D32"/>
    <w:rsid w:val="009222AC"/>
    <w:rsid w:val="00934568"/>
    <w:rsid w:val="009534FE"/>
    <w:rsid w:val="00962D85"/>
    <w:rsid w:val="009817D9"/>
    <w:rsid w:val="009A60A6"/>
    <w:rsid w:val="009A6BAA"/>
    <w:rsid w:val="009B76DF"/>
    <w:rsid w:val="00A0155A"/>
    <w:rsid w:val="00A07F6F"/>
    <w:rsid w:val="00A55447"/>
    <w:rsid w:val="00A56C48"/>
    <w:rsid w:val="00A80DB2"/>
    <w:rsid w:val="00A8437F"/>
    <w:rsid w:val="00A9250D"/>
    <w:rsid w:val="00AB5BAB"/>
    <w:rsid w:val="00AC4DCF"/>
    <w:rsid w:val="00AE6BA4"/>
    <w:rsid w:val="00B04D52"/>
    <w:rsid w:val="00B05EE3"/>
    <w:rsid w:val="00B1711E"/>
    <w:rsid w:val="00B312CD"/>
    <w:rsid w:val="00B31F7B"/>
    <w:rsid w:val="00B35E89"/>
    <w:rsid w:val="00B723A5"/>
    <w:rsid w:val="00B80524"/>
    <w:rsid w:val="00B854EA"/>
    <w:rsid w:val="00B855B5"/>
    <w:rsid w:val="00BF371A"/>
    <w:rsid w:val="00C05F51"/>
    <w:rsid w:val="00C40A0D"/>
    <w:rsid w:val="00C556E5"/>
    <w:rsid w:val="00C829F5"/>
    <w:rsid w:val="00C961DE"/>
    <w:rsid w:val="00CB0DAE"/>
    <w:rsid w:val="00CD558D"/>
    <w:rsid w:val="00CD7A63"/>
    <w:rsid w:val="00DC56A1"/>
    <w:rsid w:val="00DC6783"/>
    <w:rsid w:val="00DE2B94"/>
    <w:rsid w:val="00E27727"/>
    <w:rsid w:val="00E50BAA"/>
    <w:rsid w:val="00E61629"/>
    <w:rsid w:val="00E62FD9"/>
    <w:rsid w:val="00E75A16"/>
    <w:rsid w:val="00E870DC"/>
    <w:rsid w:val="00E903B0"/>
    <w:rsid w:val="00E9525B"/>
    <w:rsid w:val="00E97BDF"/>
    <w:rsid w:val="00ED3EA9"/>
    <w:rsid w:val="00F3630E"/>
    <w:rsid w:val="00F97644"/>
    <w:rsid w:val="00FB18D9"/>
    <w:rsid w:val="00FB3711"/>
    <w:rsid w:val="00FF19B7"/>
    <w:rsid w:val="00FF40D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4F00E98E"/>
  <w15:chartTrackingRefBased/>
  <w15:docId w15:val="{BBDACEA7-50F9-B749-9A77-471C9B845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D4A"/>
  </w:style>
  <w:style w:type="paragraph" w:styleId="Overskrift1">
    <w:name w:val="heading 1"/>
    <w:basedOn w:val="Normal"/>
    <w:next w:val="Normal"/>
    <w:link w:val="Overskrift1Tegn"/>
    <w:uiPriority w:val="9"/>
    <w:qFormat/>
    <w:rsid w:val="0023108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link w:val="Overskrift2Tegn"/>
    <w:uiPriority w:val="9"/>
    <w:qFormat/>
    <w:rsid w:val="002862ED"/>
    <w:pPr>
      <w:spacing w:before="100" w:beforeAutospacing="1" w:after="100" w:afterAutospacing="1"/>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F367A"/>
    <w:pPr>
      <w:ind w:left="720"/>
      <w:contextualSpacing/>
    </w:pPr>
  </w:style>
  <w:style w:type="paragraph" w:styleId="Slutnotetekst">
    <w:name w:val="endnote text"/>
    <w:basedOn w:val="Normal"/>
    <w:link w:val="SlutnotetekstTegn"/>
    <w:uiPriority w:val="99"/>
    <w:semiHidden/>
    <w:unhideWhenUsed/>
    <w:rsid w:val="0005209B"/>
    <w:rPr>
      <w:sz w:val="20"/>
      <w:szCs w:val="20"/>
    </w:rPr>
  </w:style>
  <w:style w:type="character" w:customStyle="1" w:styleId="SlutnotetekstTegn">
    <w:name w:val="Slutnotetekst Tegn"/>
    <w:basedOn w:val="Standardskrifttypeiafsnit"/>
    <w:link w:val="Slutnotetekst"/>
    <w:uiPriority w:val="99"/>
    <w:semiHidden/>
    <w:rsid w:val="0005209B"/>
    <w:rPr>
      <w:sz w:val="20"/>
      <w:szCs w:val="20"/>
    </w:rPr>
  </w:style>
  <w:style w:type="character" w:styleId="Slutnotehenvisning">
    <w:name w:val="endnote reference"/>
    <w:basedOn w:val="Standardskrifttypeiafsnit"/>
    <w:uiPriority w:val="99"/>
    <w:semiHidden/>
    <w:unhideWhenUsed/>
    <w:rsid w:val="0005209B"/>
    <w:rPr>
      <w:vertAlign w:val="superscript"/>
    </w:rPr>
  </w:style>
  <w:style w:type="character" w:customStyle="1" w:styleId="apple-converted-space">
    <w:name w:val="apple-converted-space"/>
    <w:basedOn w:val="Standardskrifttypeiafsnit"/>
    <w:rsid w:val="00773BAE"/>
  </w:style>
  <w:style w:type="character" w:customStyle="1" w:styleId="colora">
    <w:name w:val="colora"/>
    <w:basedOn w:val="Standardskrifttypeiafsnit"/>
    <w:rsid w:val="00773BAE"/>
  </w:style>
  <w:style w:type="paragraph" w:styleId="NormalWeb">
    <w:name w:val="Normal (Web)"/>
    <w:basedOn w:val="Normal"/>
    <w:uiPriority w:val="99"/>
    <w:semiHidden/>
    <w:unhideWhenUsed/>
    <w:rsid w:val="00773BAE"/>
    <w:pPr>
      <w:spacing w:before="100" w:beforeAutospacing="1" w:after="100" w:afterAutospacing="1"/>
    </w:pPr>
    <w:rPr>
      <w:rFonts w:ascii="Times New Roman" w:eastAsia="Times New Roman" w:hAnsi="Times New Roman" w:cs="Times New Roman"/>
      <w:lang w:eastAsia="da-DK"/>
    </w:rPr>
  </w:style>
  <w:style w:type="character" w:customStyle="1" w:styleId="highlight">
    <w:name w:val="highlight"/>
    <w:basedOn w:val="Standardskrifttypeiafsnit"/>
    <w:rsid w:val="00773BAE"/>
  </w:style>
  <w:style w:type="character" w:styleId="Fremhv">
    <w:name w:val="Emphasis"/>
    <w:basedOn w:val="Standardskrifttypeiafsnit"/>
    <w:uiPriority w:val="20"/>
    <w:qFormat/>
    <w:rsid w:val="00773BAE"/>
    <w:rPr>
      <w:i/>
      <w:iCs/>
    </w:rPr>
  </w:style>
  <w:style w:type="paragraph" w:customStyle="1" w:styleId="articlereferences">
    <w:name w:val="article references"/>
    <w:basedOn w:val="Normal"/>
    <w:rsid w:val="002862ED"/>
    <w:pPr>
      <w:ind w:left="360" w:hanging="360"/>
      <w:jc w:val="both"/>
    </w:pPr>
    <w:rPr>
      <w:rFonts w:ascii="Times New Roman" w:eastAsia="Times New Roman" w:hAnsi="Times New Roman" w:cs="Times New Roman"/>
      <w:noProof/>
      <w:szCs w:val="20"/>
      <w:lang w:val="en-US"/>
    </w:rPr>
  </w:style>
  <w:style w:type="character" w:customStyle="1" w:styleId="Overskrift2Tegn">
    <w:name w:val="Overskrift 2 Tegn"/>
    <w:basedOn w:val="Standardskrifttypeiafsnit"/>
    <w:link w:val="Overskrift2"/>
    <w:uiPriority w:val="9"/>
    <w:rsid w:val="002862ED"/>
    <w:rPr>
      <w:rFonts w:ascii="Times New Roman" w:eastAsia="Times New Roman" w:hAnsi="Times New Roman" w:cs="Times New Roman"/>
      <w:b/>
      <w:bCs/>
      <w:sz w:val="36"/>
      <w:szCs w:val="36"/>
      <w:lang w:eastAsia="da-DK"/>
    </w:rPr>
  </w:style>
  <w:style w:type="character" w:styleId="Hyperlink">
    <w:name w:val="Hyperlink"/>
    <w:basedOn w:val="Standardskrifttypeiafsnit"/>
    <w:uiPriority w:val="99"/>
    <w:unhideWhenUsed/>
    <w:rsid w:val="002862ED"/>
    <w:rPr>
      <w:color w:val="0000FF"/>
      <w:u w:val="single"/>
    </w:rPr>
  </w:style>
  <w:style w:type="character" w:customStyle="1" w:styleId="Dato1">
    <w:name w:val="Dato1"/>
    <w:basedOn w:val="Standardskrifttypeiafsnit"/>
    <w:rsid w:val="002862ED"/>
  </w:style>
  <w:style w:type="character" w:customStyle="1" w:styleId="pages">
    <w:name w:val="pages"/>
    <w:basedOn w:val="Standardskrifttypeiafsnit"/>
    <w:rsid w:val="002862ED"/>
  </w:style>
  <w:style w:type="character" w:styleId="BesgtLink">
    <w:name w:val="FollowedHyperlink"/>
    <w:basedOn w:val="Standardskrifttypeiafsnit"/>
    <w:uiPriority w:val="99"/>
    <w:semiHidden/>
    <w:unhideWhenUsed/>
    <w:rsid w:val="002862ED"/>
    <w:rPr>
      <w:color w:val="954F72" w:themeColor="followedHyperlink"/>
      <w:u w:val="single"/>
    </w:rPr>
  </w:style>
  <w:style w:type="character" w:customStyle="1" w:styleId="journal">
    <w:name w:val="journal"/>
    <w:basedOn w:val="Standardskrifttypeiafsnit"/>
    <w:rsid w:val="002862ED"/>
  </w:style>
  <w:style w:type="character" w:customStyle="1" w:styleId="volume">
    <w:name w:val="volume"/>
    <w:basedOn w:val="Standardskrifttypeiafsnit"/>
    <w:rsid w:val="002862ED"/>
  </w:style>
  <w:style w:type="character" w:customStyle="1" w:styleId="journalnumber">
    <w:name w:val="journalnumber"/>
    <w:basedOn w:val="Standardskrifttypeiafsnit"/>
    <w:rsid w:val="002862ED"/>
  </w:style>
  <w:style w:type="character" w:customStyle="1" w:styleId="Overskrift1Tegn">
    <w:name w:val="Overskrift 1 Tegn"/>
    <w:basedOn w:val="Standardskrifttypeiafsnit"/>
    <w:link w:val="Overskrift1"/>
    <w:uiPriority w:val="9"/>
    <w:rsid w:val="0023108D"/>
    <w:rPr>
      <w:rFonts w:asciiTheme="majorHAnsi" w:eastAsiaTheme="majorEastAsia" w:hAnsiTheme="majorHAnsi" w:cstheme="majorBidi"/>
      <w:color w:val="2F5496" w:themeColor="accent1" w:themeShade="BF"/>
      <w:sz w:val="32"/>
      <w:szCs w:val="32"/>
    </w:rPr>
  </w:style>
  <w:style w:type="character" w:customStyle="1" w:styleId="a-size-extra-large">
    <w:name w:val="a-size-extra-large"/>
    <w:basedOn w:val="Standardskrifttypeiafsnit"/>
    <w:rsid w:val="0023108D"/>
  </w:style>
  <w:style w:type="character" w:customStyle="1" w:styleId="a-size-large">
    <w:name w:val="a-size-large"/>
    <w:basedOn w:val="Standardskrifttypeiafsnit"/>
    <w:rsid w:val="0023108D"/>
  </w:style>
  <w:style w:type="character" w:customStyle="1" w:styleId="author">
    <w:name w:val="author"/>
    <w:basedOn w:val="Standardskrifttypeiafsnit"/>
    <w:rsid w:val="0023108D"/>
  </w:style>
  <w:style w:type="character" w:customStyle="1" w:styleId="a-color-secondary">
    <w:name w:val="a-color-secondary"/>
    <w:basedOn w:val="Standardskrifttypeiafsnit"/>
    <w:rsid w:val="0023108D"/>
  </w:style>
  <w:style w:type="paragraph" w:styleId="Fodnotetekst">
    <w:name w:val="footnote text"/>
    <w:basedOn w:val="Normal"/>
    <w:link w:val="FodnotetekstTegn"/>
    <w:uiPriority w:val="99"/>
    <w:semiHidden/>
    <w:unhideWhenUsed/>
    <w:rsid w:val="00C556E5"/>
    <w:rPr>
      <w:sz w:val="20"/>
      <w:szCs w:val="20"/>
    </w:rPr>
  </w:style>
  <w:style w:type="character" w:customStyle="1" w:styleId="FodnotetekstTegn">
    <w:name w:val="Fodnotetekst Tegn"/>
    <w:basedOn w:val="Standardskrifttypeiafsnit"/>
    <w:link w:val="Fodnotetekst"/>
    <w:uiPriority w:val="99"/>
    <w:semiHidden/>
    <w:rsid w:val="00C556E5"/>
    <w:rPr>
      <w:sz w:val="20"/>
      <w:szCs w:val="20"/>
    </w:rPr>
  </w:style>
  <w:style w:type="character" w:styleId="Fodnotehenvisning">
    <w:name w:val="footnote reference"/>
    <w:basedOn w:val="Standardskrifttypeiafsnit"/>
    <w:uiPriority w:val="99"/>
    <w:semiHidden/>
    <w:unhideWhenUsed/>
    <w:rsid w:val="00C556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77137">
      <w:bodyDiv w:val="1"/>
      <w:marLeft w:val="0"/>
      <w:marRight w:val="0"/>
      <w:marTop w:val="0"/>
      <w:marBottom w:val="0"/>
      <w:divBdr>
        <w:top w:val="none" w:sz="0" w:space="0" w:color="auto"/>
        <w:left w:val="none" w:sz="0" w:space="0" w:color="auto"/>
        <w:bottom w:val="none" w:sz="0" w:space="0" w:color="auto"/>
        <w:right w:val="none" w:sz="0" w:space="0" w:color="auto"/>
      </w:divBdr>
    </w:div>
    <w:div w:id="239949823">
      <w:bodyDiv w:val="1"/>
      <w:marLeft w:val="0"/>
      <w:marRight w:val="0"/>
      <w:marTop w:val="0"/>
      <w:marBottom w:val="0"/>
      <w:divBdr>
        <w:top w:val="none" w:sz="0" w:space="0" w:color="auto"/>
        <w:left w:val="none" w:sz="0" w:space="0" w:color="auto"/>
        <w:bottom w:val="none" w:sz="0" w:space="0" w:color="auto"/>
        <w:right w:val="none" w:sz="0" w:space="0" w:color="auto"/>
      </w:divBdr>
    </w:div>
    <w:div w:id="415713736">
      <w:bodyDiv w:val="1"/>
      <w:marLeft w:val="0"/>
      <w:marRight w:val="0"/>
      <w:marTop w:val="0"/>
      <w:marBottom w:val="0"/>
      <w:divBdr>
        <w:top w:val="none" w:sz="0" w:space="0" w:color="auto"/>
        <w:left w:val="none" w:sz="0" w:space="0" w:color="auto"/>
        <w:bottom w:val="none" w:sz="0" w:space="0" w:color="auto"/>
        <w:right w:val="none" w:sz="0" w:space="0" w:color="auto"/>
      </w:divBdr>
    </w:div>
    <w:div w:id="1060978903">
      <w:bodyDiv w:val="1"/>
      <w:marLeft w:val="0"/>
      <w:marRight w:val="0"/>
      <w:marTop w:val="0"/>
      <w:marBottom w:val="0"/>
      <w:divBdr>
        <w:top w:val="none" w:sz="0" w:space="0" w:color="auto"/>
        <w:left w:val="none" w:sz="0" w:space="0" w:color="auto"/>
        <w:bottom w:val="none" w:sz="0" w:space="0" w:color="auto"/>
        <w:right w:val="none" w:sz="0" w:space="0" w:color="auto"/>
      </w:divBdr>
      <w:divsChild>
        <w:div w:id="135799595">
          <w:marLeft w:val="0"/>
          <w:marRight w:val="0"/>
          <w:marTop w:val="0"/>
          <w:marBottom w:val="0"/>
          <w:divBdr>
            <w:top w:val="none" w:sz="0" w:space="0" w:color="auto"/>
            <w:left w:val="none" w:sz="0" w:space="0" w:color="auto"/>
            <w:bottom w:val="none" w:sz="0" w:space="0" w:color="auto"/>
            <w:right w:val="none" w:sz="0" w:space="0" w:color="auto"/>
          </w:divBdr>
          <w:divsChild>
            <w:div w:id="251817642">
              <w:marLeft w:val="0"/>
              <w:marRight w:val="0"/>
              <w:marTop w:val="0"/>
              <w:marBottom w:val="0"/>
              <w:divBdr>
                <w:top w:val="none" w:sz="0" w:space="0" w:color="auto"/>
                <w:left w:val="none" w:sz="0" w:space="0" w:color="auto"/>
                <w:bottom w:val="none" w:sz="0" w:space="0" w:color="auto"/>
                <w:right w:val="none" w:sz="0" w:space="0" w:color="auto"/>
              </w:divBdr>
            </w:div>
          </w:divsChild>
        </w:div>
        <w:div w:id="1487475972">
          <w:marLeft w:val="0"/>
          <w:marRight w:val="0"/>
          <w:marTop w:val="0"/>
          <w:marBottom w:val="0"/>
          <w:divBdr>
            <w:top w:val="none" w:sz="0" w:space="0" w:color="auto"/>
            <w:left w:val="none" w:sz="0" w:space="0" w:color="auto"/>
            <w:bottom w:val="none" w:sz="0" w:space="0" w:color="auto"/>
            <w:right w:val="none" w:sz="0" w:space="0" w:color="auto"/>
          </w:divBdr>
          <w:divsChild>
            <w:div w:id="111752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17243">
      <w:bodyDiv w:val="1"/>
      <w:marLeft w:val="0"/>
      <w:marRight w:val="0"/>
      <w:marTop w:val="0"/>
      <w:marBottom w:val="0"/>
      <w:divBdr>
        <w:top w:val="none" w:sz="0" w:space="0" w:color="auto"/>
        <w:left w:val="none" w:sz="0" w:space="0" w:color="auto"/>
        <w:bottom w:val="none" w:sz="0" w:space="0" w:color="auto"/>
        <w:right w:val="none" w:sz="0" w:space="0" w:color="auto"/>
      </w:divBdr>
      <w:divsChild>
        <w:div w:id="1580167505">
          <w:marLeft w:val="0"/>
          <w:marRight w:val="0"/>
          <w:marTop w:val="0"/>
          <w:marBottom w:val="240"/>
          <w:divBdr>
            <w:top w:val="none" w:sz="0" w:space="0" w:color="auto"/>
            <w:left w:val="none" w:sz="0" w:space="0" w:color="auto"/>
            <w:bottom w:val="none" w:sz="0" w:space="0" w:color="auto"/>
            <w:right w:val="none" w:sz="0" w:space="0" w:color="auto"/>
          </w:divBdr>
          <w:divsChild>
            <w:div w:id="1326978666">
              <w:marLeft w:val="0"/>
              <w:marRight w:val="0"/>
              <w:marTop w:val="0"/>
              <w:marBottom w:val="0"/>
              <w:divBdr>
                <w:top w:val="none" w:sz="0" w:space="0" w:color="auto"/>
                <w:left w:val="none" w:sz="0" w:space="0" w:color="auto"/>
                <w:bottom w:val="none" w:sz="0" w:space="0" w:color="auto"/>
                <w:right w:val="none" w:sz="0" w:space="0" w:color="auto"/>
              </w:divBdr>
            </w:div>
          </w:divsChild>
        </w:div>
        <w:div w:id="1942956902">
          <w:marLeft w:val="0"/>
          <w:marRight w:val="0"/>
          <w:marTop w:val="0"/>
          <w:marBottom w:val="0"/>
          <w:divBdr>
            <w:top w:val="none" w:sz="0" w:space="0" w:color="auto"/>
            <w:left w:val="none" w:sz="0" w:space="0" w:color="auto"/>
            <w:bottom w:val="none" w:sz="0" w:space="0" w:color="auto"/>
            <w:right w:val="none" w:sz="0" w:space="0" w:color="auto"/>
          </w:divBdr>
          <w:divsChild>
            <w:div w:id="1298027389">
              <w:marLeft w:val="1740"/>
              <w:marRight w:val="0"/>
              <w:marTop w:val="0"/>
              <w:marBottom w:val="240"/>
              <w:divBdr>
                <w:top w:val="none" w:sz="0" w:space="0" w:color="auto"/>
                <w:left w:val="none" w:sz="0" w:space="0" w:color="auto"/>
                <w:bottom w:val="none" w:sz="0" w:space="0" w:color="auto"/>
                <w:right w:val="none" w:sz="0" w:space="0" w:color="auto"/>
              </w:divBdr>
            </w:div>
          </w:divsChild>
        </w:div>
        <w:div w:id="331565626">
          <w:marLeft w:val="0"/>
          <w:marRight w:val="0"/>
          <w:marTop w:val="0"/>
          <w:marBottom w:val="0"/>
          <w:divBdr>
            <w:top w:val="none" w:sz="0" w:space="0" w:color="auto"/>
            <w:left w:val="none" w:sz="0" w:space="0" w:color="auto"/>
            <w:bottom w:val="none" w:sz="0" w:space="0" w:color="auto"/>
            <w:right w:val="none" w:sz="0" w:space="0" w:color="auto"/>
          </w:divBdr>
          <w:divsChild>
            <w:div w:id="1946115796">
              <w:marLeft w:val="1740"/>
              <w:marRight w:val="0"/>
              <w:marTop w:val="0"/>
              <w:marBottom w:val="240"/>
              <w:divBdr>
                <w:top w:val="none" w:sz="0" w:space="0" w:color="auto"/>
                <w:left w:val="none" w:sz="0" w:space="0" w:color="auto"/>
                <w:bottom w:val="none" w:sz="0" w:space="0" w:color="auto"/>
                <w:right w:val="none" w:sz="0" w:space="0" w:color="auto"/>
              </w:divBdr>
            </w:div>
          </w:divsChild>
        </w:div>
        <w:div w:id="313460731">
          <w:marLeft w:val="0"/>
          <w:marRight w:val="0"/>
          <w:marTop w:val="0"/>
          <w:marBottom w:val="0"/>
          <w:divBdr>
            <w:top w:val="none" w:sz="0" w:space="0" w:color="auto"/>
            <w:left w:val="none" w:sz="0" w:space="0" w:color="auto"/>
            <w:bottom w:val="none" w:sz="0" w:space="0" w:color="auto"/>
            <w:right w:val="none" w:sz="0" w:space="0" w:color="auto"/>
          </w:divBdr>
          <w:divsChild>
            <w:div w:id="827332707">
              <w:marLeft w:val="1740"/>
              <w:marRight w:val="0"/>
              <w:marTop w:val="0"/>
              <w:marBottom w:val="240"/>
              <w:divBdr>
                <w:top w:val="none" w:sz="0" w:space="0" w:color="auto"/>
                <w:left w:val="none" w:sz="0" w:space="0" w:color="auto"/>
                <w:bottom w:val="none" w:sz="0" w:space="0" w:color="auto"/>
                <w:right w:val="none" w:sz="0" w:space="0" w:color="auto"/>
              </w:divBdr>
            </w:div>
          </w:divsChild>
        </w:div>
        <w:div w:id="1065833640">
          <w:marLeft w:val="0"/>
          <w:marRight w:val="0"/>
          <w:marTop w:val="0"/>
          <w:marBottom w:val="0"/>
          <w:divBdr>
            <w:top w:val="none" w:sz="0" w:space="0" w:color="auto"/>
            <w:left w:val="none" w:sz="0" w:space="0" w:color="auto"/>
            <w:bottom w:val="none" w:sz="0" w:space="0" w:color="auto"/>
            <w:right w:val="none" w:sz="0" w:space="0" w:color="auto"/>
          </w:divBdr>
          <w:divsChild>
            <w:div w:id="656610230">
              <w:marLeft w:val="1740"/>
              <w:marRight w:val="0"/>
              <w:marTop w:val="0"/>
              <w:marBottom w:val="240"/>
              <w:divBdr>
                <w:top w:val="none" w:sz="0" w:space="0" w:color="auto"/>
                <w:left w:val="none" w:sz="0" w:space="0" w:color="auto"/>
                <w:bottom w:val="none" w:sz="0" w:space="0" w:color="auto"/>
                <w:right w:val="none" w:sz="0" w:space="0" w:color="auto"/>
              </w:divBdr>
            </w:div>
          </w:divsChild>
        </w:div>
      </w:divsChild>
    </w:div>
    <w:div w:id="1678194677">
      <w:bodyDiv w:val="1"/>
      <w:marLeft w:val="0"/>
      <w:marRight w:val="0"/>
      <w:marTop w:val="0"/>
      <w:marBottom w:val="0"/>
      <w:divBdr>
        <w:top w:val="none" w:sz="0" w:space="0" w:color="auto"/>
        <w:left w:val="none" w:sz="0" w:space="0" w:color="auto"/>
        <w:bottom w:val="none" w:sz="0" w:space="0" w:color="auto"/>
        <w:right w:val="none" w:sz="0" w:space="0" w:color="auto"/>
      </w:divBdr>
      <w:divsChild>
        <w:div w:id="593325363">
          <w:marLeft w:val="0"/>
          <w:marRight w:val="0"/>
          <w:marTop w:val="0"/>
          <w:marBottom w:val="0"/>
          <w:divBdr>
            <w:top w:val="none" w:sz="0" w:space="0" w:color="auto"/>
            <w:left w:val="none" w:sz="0" w:space="0" w:color="auto"/>
            <w:bottom w:val="single" w:sz="6" w:space="0" w:color="CCCCCC"/>
            <w:right w:val="none" w:sz="0" w:space="0" w:color="auto"/>
          </w:divBdr>
        </w:div>
      </w:divsChild>
    </w:div>
    <w:div w:id="181213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s/ref=dp_byline_sr_book_2?ie=UTF8&amp;field-author=James+Cook&amp;text=James+Cook&amp;sort=relevancerank&amp;search-alias=book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mazon.com/s/ref=dp_byline_sr_book_1?ie=UTF8&amp;field-author=Charles+S.+Hardwick&amp;text=Charles+S.+Hardwick&amp;sort=relevancerank&amp;search-alias=book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bn.aau.dk/da/persons/frederik-axel-stjernfelt/publications/" TargetMode="External"/><Relationship Id="rId5" Type="http://schemas.openxmlformats.org/officeDocument/2006/relationships/footnotes" Target="footnotes.xml"/><Relationship Id="rId10" Type="http://schemas.openxmlformats.org/officeDocument/2006/relationships/hyperlink" Target="https://vbn.aau.dk/da/persons/frederik-axel-stjernfelt/publications/?page=1" TargetMode="External"/><Relationship Id="rId4" Type="http://schemas.openxmlformats.org/officeDocument/2006/relationships/webSettings" Target="webSettings.xml"/><Relationship Id="rId9" Type="http://schemas.openxmlformats.org/officeDocument/2006/relationships/hyperlink" Target="https://link.springer.com/chapter/10.1007/978-94-007-2336-8_3"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18</Pages>
  <Words>8547</Words>
  <Characters>52137</Characters>
  <Application>Microsoft Office Word</Application>
  <DocSecurity>0</DocSecurity>
  <Lines>434</Lines>
  <Paragraphs>121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Stjernfelt</dc:creator>
  <cp:keywords/>
  <dc:description/>
  <cp:lastModifiedBy>Microsoft Office User</cp:lastModifiedBy>
  <cp:revision>3</cp:revision>
  <dcterms:created xsi:type="dcterms:W3CDTF">2021-01-21T21:01:00Z</dcterms:created>
  <dcterms:modified xsi:type="dcterms:W3CDTF">2021-01-21T22:17:00Z</dcterms:modified>
</cp:coreProperties>
</file>