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9" w:type="dxa"/>
        <w:tblInd w:w="-1026" w:type="dxa"/>
        <w:tblLayout w:type="fixed"/>
        <w:tblLook w:val="04A0"/>
      </w:tblPr>
      <w:tblGrid>
        <w:gridCol w:w="2268"/>
        <w:gridCol w:w="3390"/>
        <w:gridCol w:w="3390"/>
        <w:gridCol w:w="3390"/>
        <w:gridCol w:w="3391"/>
      </w:tblGrid>
      <w:tr w:rsidR="00E73EFB" w:rsidTr="00C35795">
        <w:tc>
          <w:tcPr>
            <w:tcW w:w="15829" w:type="dxa"/>
            <w:gridSpan w:val="5"/>
            <w:shd w:val="clear" w:color="auto" w:fill="F2F2F2" w:themeFill="background1" w:themeFillShade="F2"/>
          </w:tcPr>
          <w:p w:rsidR="00E73EFB" w:rsidRPr="00E73EFB" w:rsidRDefault="00E73EFB" w:rsidP="004C6818">
            <w:pPr>
              <w:rPr>
                <w:b/>
              </w:rPr>
            </w:pPr>
            <w:r w:rsidRPr="00E73EFB">
              <w:rPr>
                <w:b/>
              </w:rPr>
              <w:t>APPENDIX A</w:t>
            </w:r>
            <w:r w:rsidR="004C6818" w:rsidRPr="00E73EFB">
              <w:rPr>
                <w:b/>
              </w:rPr>
              <w:t xml:space="preserve"> </w:t>
            </w:r>
          </w:p>
        </w:tc>
      </w:tr>
      <w:tr w:rsidR="00C35795" w:rsidRPr="00251AAC" w:rsidTr="00C35795">
        <w:tc>
          <w:tcPr>
            <w:tcW w:w="2268" w:type="dxa"/>
            <w:shd w:val="clear" w:color="auto" w:fill="F2F2F2" w:themeFill="background1" w:themeFillShade="F2"/>
          </w:tcPr>
          <w:p w:rsidR="00C35795" w:rsidRPr="00E73EFB" w:rsidRDefault="00C35795" w:rsidP="003401D7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C35795" w:rsidRPr="00E73EFB" w:rsidRDefault="00C35795" w:rsidP="003401D7">
            <w:pPr>
              <w:jc w:val="center"/>
              <w:rPr>
                <w:b/>
              </w:rPr>
            </w:pPr>
            <w:proofErr w:type="spellStart"/>
            <w:r w:rsidRPr="00E73EFB">
              <w:rPr>
                <w:b/>
              </w:rPr>
              <w:t>Outcome</w:t>
            </w:r>
            <w:proofErr w:type="spellEnd"/>
            <w:r w:rsidRPr="00E73EFB">
              <w:rPr>
                <w:b/>
              </w:rPr>
              <w:t xml:space="preserve"> </w:t>
            </w:r>
            <w:proofErr w:type="spellStart"/>
            <w:r w:rsidRPr="00E73EFB">
              <w:rPr>
                <w:b/>
              </w:rPr>
              <w:t>measure</w:t>
            </w:r>
            <w:proofErr w:type="spellEnd"/>
          </w:p>
        </w:tc>
        <w:tc>
          <w:tcPr>
            <w:tcW w:w="3390" w:type="dxa"/>
            <w:shd w:val="clear" w:color="auto" w:fill="F2F2F2" w:themeFill="background1" w:themeFillShade="F2"/>
          </w:tcPr>
          <w:p w:rsidR="00C35795" w:rsidRPr="00E73EFB" w:rsidRDefault="00C35795" w:rsidP="003401D7">
            <w:pPr>
              <w:jc w:val="center"/>
              <w:rPr>
                <w:b/>
              </w:rPr>
            </w:pPr>
            <w:r w:rsidRPr="00E73EFB">
              <w:rPr>
                <w:b/>
              </w:rPr>
              <w:t>Research Design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C35795" w:rsidRPr="00E73EFB" w:rsidRDefault="00C35795" w:rsidP="003401D7">
            <w:pPr>
              <w:jc w:val="center"/>
              <w:rPr>
                <w:b/>
              </w:rPr>
            </w:pPr>
            <w:r w:rsidRPr="00E73EFB">
              <w:rPr>
                <w:b/>
              </w:rPr>
              <w:t>Sample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:rsidR="00C35795" w:rsidRPr="00E73EFB" w:rsidRDefault="00C35795" w:rsidP="003401D7">
            <w:pPr>
              <w:jc w:val="center"/>
              <w:rPr>
                <w:b/>
              </w:rPr>
            </w:pPr>
            <w:proofErr w:type="spellStart"/>
            <w:r w:rsidRPr="00E73EFB">
              <w:rPr>
                <w:b/>
              </w:rPr>
              <w:t>Findings</w:t>
            </w:r>
            <w:proofErr w:type="spellEnd"/>
          </w:p>
        </w:tc>
      </w:tr>
      <w:tr w:rsidR="00C35795" w:rsidRPr="00251AAC" w:rsidTr="00C35795">
        <w:tc>
          <w:tcPr>
            <w:tcW w:w="2268" w:type="dxa"/>
          </w:tcPr>
          <w:p w:rsidR="00C35795" w:rsidRDefault="00C35795" w:rsidP="00725913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 w:rsidRPr="00725913">
              <w:rPr>
                <w:b/>
                <w:sz w:val="20"/>
                <w:szCs w:val="20"/>
              </w:rPr>
              <w:t>Cardello</w:t>
            </w:r>
            <w:proofErr w:type="spellEnd"/>
            <w:r w:rsidRPr="00725913">
              <w:rPr>
                <w:b/>
                <w:sz w:val="20"/>
                <w:szCs w:val="20"/>
              </w:rPr>
              <w:t xml:space="preserve"> et al. (1984)</w:t>
            </w:r>
            <w:r w:rsidRPr="00725913">
              <w:rPr>
                <w:color w:val="FF0000"/>
                <w:sz w:val="20"/>
                <w:szCs w:val="20"/>
              </w:rPr>
              <w:t xml:space="preserve"> </w:t>
            </w:r>
          </w:p>
          <w:p w:rsidR="00C35795" w:rsidRPr="00DA4941" w:rsidRDefault="00B901D7" w:rsidP="00725913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only</w:t>
            </w:r>
            <w:proofErr w:type="spellEnd"/>
            <w:r w:rsidR="00C35795" w:rsidRPr="00DA4941">
              <w:rPr>
                <w:sz w:val="20"/>
                <w:szCs w:val="20"/>
              </w:rPr>
              <w:t xml:space="preserve"> </w:t>
            </w:r>
            <w:proofErr w:type="spellStart"/>
            <w:r w:rsidR="00C35795" w:rsidRPr="00DA4941">
              <w:rPr>
                <w:sz w:val="20"/>
                <w:szCs w:val="20"/>
              </w:rPr>
              <w:t>abstract</w:t>
            </w:r>
            <w:proofErr w:type="spellEnd"/>
            <w:r w:rsidR="00C35795" w:rsidRPr="00DA4941">
              <w:rPr>
                <w:sz w:val="20"/>
                <w:szCs w:val="20"/>
              </w:rPr>
              <w:t>!</w:t>
            </w:r>
            <w:proofErr w:type="gramEnd"/>
          </w:p>
          <w:p w:rsidR="00C35795" w:rsidRPr="00725913" w:rsidRDefault="00C35795" w:rsidP="00112C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</w:tcPr>
          <w:p w:rsidR="00C35795" w:rsidRPr="00251AAC" w:rsidRDefault="00C35795" w:rsidP="00725913">
            <w:pPr>
              <w:rPr>
                <w:sz w:val="20"/>
                <w:szCs w:val="20"/>
                <w:lang w:val="en-US"/>
              </w:rPr>
            </w:pPr>
            <w:r w:rsidRPr="00251AAC">
              <w:rPr>
                <w:sz w:val="20"/>
                <w:szCs w:val="20"/>
                <w:lang w:val="en-US"/>
              </w:rPr>
              <w:t>Patient and staff:</w:t>
            </w:r>
          </w:p>
          <w:p w:rsidR="00C35795" w:rsidRPr="00251AAC" w:rsidRDefault="00C35795" w:rsidP="00725913">
            <w:pPr>
              <w:rPr>
                <w:sz w:val="20"/>
                <w:szCs w:val="20"/>
                <w:lang w:val="en-US"/>
              </w:rPr>
            </w:pPr>
            <w:r w:rsidRPr="00251AAC">
              <w:rPr>
                <w:sz w:val="20"/>
                <w:szCs w:val="20"/>
                <w:lang w:val="en-US"/>
              </w:rPr>
              <w:t>1. Evaluation of menu items</w:t>
            </w:r>
          </w:p>
          <w:p w:rsidR="00C35795" w:rsidRDefault="00C35795" w:rsidP="00725913">
            <w:pPr>
              <w:rPr>
                <w:sz w:val="20"/>
                <w:szCs w:val="20"/>
                <w:lang w:val="en-US"/>
              </w:rPr>
            </w:pPr>
            <w:r w:rsidRPr="007C5EF1">
              <w:rPr>
                <w:sz w:val="20"/>
                <w:szCs w:val="20"/>
                <w:lang w:val="en-US"/>
              </w:rPr>
              <w:t>2. opinion surveys on various a</w:t>
            </w:r>
            <w:r>
              <w:rPr>
                <w:sz w:val="20"/>
                <w:szCs w:val="20"/>
                <w:lang w:val="en-US"/>
              </w:rPr>
              <w:t>spects of foodservice system</w:t>
            </w:r>
          </w:p>
          <w:p w:rsidR="00C35795" w:rsidRDefault="00C35795" w:rsidP="007259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structured interviews of foodservice personnel</w:t>
            </w:r>
          </w:p>
          <w:p w:rsidR="00C35795" w:rsidRPr="007C5EF1" w:rsidRDefault="00C35795" w:rsidP="007259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written surveys and interviews of nursing staff</w:t>
            </w: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Multi-user assessment approach 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Evaluating and comparing a cook-freeze hospital foodservice system and a conventional cook-serve system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B418BE" w:rsidRDefault="00C357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Servings in wards +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Servings in hospital cafeteria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B418BE" w:rsidRDefault="00C357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</w:tcPr>
          <w:p w:rsidR="00C35795" w:rsidRDefault="00EF2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C35795">
              <w:rPr>
                <w:sz w:val="20"/>
                <w:szCs w:val="20"/>
                <w:lang w:val="en-US"/>
              </w:rPr>
              <w:t>ook-freeze system provided better perceived serving temperatures on the wards than the conventional cook-serve system, with only slight losses in sensory acceptance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C35795" w:rsidRPr="00B418BE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Nursing staff rated the cook-freeze system as more convenient and attractive, but questioned the quality of the meals served</w:t>
            </w:r>
          </w:p>
        </w:tc>
      </w:tr>
      <w:tr w:rsidR="00C35795" w:rsidRPr="00251AAC" w:rsidTr="00C35795">
        <w:tc>
          <w:tcPr>
            <w:tcW w:w="2268" w:type="dxa"/>
          </w:tcPr>
          <w:p w:rsidR="00C35795" w:rsidRPr="00C35795" w:rsidRDefault="00C35795" w:rsidP="00112C1B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C35795">
              <w:rPr>
                <w:b/>
                <w:sz w:val="20"/>
                <w:szCs w:val="20"/>
              </w:rPr>
              <w:t>Elmståhl</w:t>
            </w:r>
            <w:proofErr w:type="spellEnd"/>
            <w:r w:rsidRPr="00C35795">
              <w:rPr>
                <w:b/>
                <w:sz w:val="20"/>
                <w:szCs w:val="20"/>
              </w:rPr>
              <w:t xml:space="preserve"> et al. (1987)</w:t>
            </w:r>
          </w:p>
          <w:p w:rsidR="00B901D7" w:rsidRPr="00DA4941" w:rsidRDefault="00B901D7" w:rsidP="00B901D7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only</w:t>
            </w:r>
            <w:proofErr w:type="spellEnd"/>
            <w:r w:rsidRPr="00DA4941">
              <w:rPr>
                <w:sz w:val="20"/>
                <w:szCs w:val="20"/>
              </w:rPr>
              <w:t xml:space="preserve"> </w:t>
            </w:r>
            <w:proofErr w:type="spellStart"/>
            <w:r w:rsidRPr="00DA4941">
              <w:rPr>
                <w:sz w:val="20"/>
                <w:szCs w:val="20"/>
              </w:rPr>
              <w:t>abstract</w:t>
            </w:r>
            <w:proofErr w:type="spellEnd"/>
            <w:r w:rsidRPr="00DA4941">
              <w:rPr>
                <w:sz w:val="20"/>
                <w:szCs w:val="20"/>
              </w:rPr>
              <w:t>!</w:t>
            </w:r>
            <w:proofErr w:type="gramEnd"/>
          </w:p>
          <w:p w:rsidR="00C35795" w:rsidRPr="00C35795" w:rsidRDefault="00C35795" w:rsidP="00112C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1-day dietary record, made once a week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Intake of energy (kcal)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Intake of D-vitamin?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Intake of protein?</w:t>
            </w:r>
          </w:p>
          <w:p w:rsidR="00C35795" w:rsidRPr="00207C4B" w:rsidRDefault="00C35795" w:rsidP="00EF2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Blood chemistry?</w:t>
            </w: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Experiement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Dining room redecorated in style similar to 1940’s</w:t>
            </w:r>
          </w:p>
          <w:p w:rsidR="00C35795" w:rsidRPr="00207C4B" w:rsidRDefault="00C35795" w:rsidP="00207C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Food served by staff on serving-dishes, patients could help them self</w:t>
            </w:r>
          </w:p>
        </w:tc>
        <w:tc>
          <w:tcPr>
            <w:tcW w:w="3390" w:type="dxa"/>
          </w:tcPr>
          <w:p w:rsidR="00C35795" w:rsidRPr="00207C4B" w:rsidRDefault="00C35795">
            <w:pPr>
              <w:rPr>
                <w:sz w:val="20"/>
                <w:szCs w:val="20"/>
                <w:lang w:val="en-US"/>
              </w:rPr>
            </w:pPr>
            <w:r w:rsidRPr="00207C4B">
              <w:rPr>
                <w:sz w:val="20"/>
                <w:szCs w:val="20"/>
                <w:lang w:val="en-US"/>
              </w:rPr>
              <w:t>16 patients</w:t>
            </w:r>
            <w:r w:rsidR="00EF2036">
              <w:rPr>
                <w:sz w:val="20"/>
                <w:szCs w:val="20"/>
                <w:lang w:val="en-US"/>
              </w:rPr>
              <w:t xml:space="preserve"> (</w:t>
            </w:r>
            <w:r w:rsidRPr="00207C4B">
              <w:rPr>
                <w:sz w:val="20"/>
                <w:szCs w:val="20"/>
                <w:lang w:val="en-US"/>
              </w:rPr>
              <w:t>5 males</w:t>
            </w:r>
            <w:r w:rsidR="00EF2036">
              <w:rPr>
                <w:sz w:val="20"/>
                <w:szCs w:val="20"/>
                <w:lang w:val="en-US"/>
              </w:rPr>
              <w:t xml:space="preserve">, </w:t>
            </w:r>
            <w:r w:rsidRPr="00207C4B">
              <w:rPr>
                <w:sz w:val="20"/>
                <w:szCs w:val="20"/>
                <w:lang w:val="en-US"/>
              </w:rPr>
              <w:t>11 females</w:t>
            </w:r>
            <w:r w:rsidR="00EF2036">
              <w:rPr>
                <w:sz w:val="20"/>
                <w:szCs w:val="20"/>
                <w:lang w:val="en-US"/>
              </w:rPr>
              <w:t>)</w:t>
            </w:r>
          </w:p>
          <w:p w:rsidR="00C35795" w:rsidRPr="00207C4B" w:rsidRDefault="00C35795">
            <w:pPr>
              <w:rPr>
                <w:sz w:val="20"/>
                <w:szCs w:val="20"/>
                <w:lang w:val="en-US"/>
              </w:rPr>
            </w:pPr>
            <w:r w:rsidRPr="00207C4B">
              <w:rPr>
                <w:sz w:val="20"/>
                <w:szCs w:val="20"/>
                <w:lang w:val="en-US"/>
              </w:rPr>
              <w:t>Age 65-88</w:t>
            </w:r>
          </w:p>
          <w:p w:rsidR="00C35795" w:rsidRPr="00207C4B" w:rsidRDefault="00C35795">
            <w:pPr>
              <w:rPr>
                <w:sz w:val="20"/>
                <w:szCs w:val="20"/>
                <w:lang w:val="en-US"/>
              </w:rPr>
            </w:pPr>
            <w:r w:rsidRPr="00207C4B">
              <w:rPr>
                <w:sz w:val="20"/>
                <w:szCs w:val="20"/>
                <w:lang w:val="en-US"/>
              </w:rPr>
              <w:t xml:space="preserve">Long-term care ward, </w:t>
            </w:r>
          </w:p>
          <w:p w:rsidR="00C35795" w:rsidRPr="00207C4B" w:rsidRDefault="00C35795">
            <w:pPr>
              <w:rPr>
                <w:sz w:val="20"/>
                <w:szCs w:val="20"/>
                <w:lang w:val="en-US"/>
              </w:rPr>
            </w:pPr>
            <w:r w:rsidRPr="00207C4B">
              <w:rPr>
                <w:sz w:val="20"/>
                <w:szCs w:val="20"/>
                <w:lang w:val="en-US"/>
              </w:rPr>
              <w:t>Geriatric  department</w:t>
            </w:r>
          </w:p>
          <w:p w:rsidR="00C35795" w:rsidRPr="00207C4B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207C4B" w:rsidRDefault="00C35795">
            <w:pPr>
              <w:rPr>
                <w:sz w:val="20"/>
                <w:szCs w:val="20"/>
                <w:lang w:val="en-US"/>
              </w:rPr>
            </w:pPr>
            <w:r w:rsidRPr="00207C4B">
              <w:rPr>
                <w:sz w:val="20"/>
                <w:szCs w:val="20"/>
                <w:lang w:val="en-US"/>
              </w:rPr>
              <w:t xml:space="preserve">Studied before, during and after a changed meal environment </w:t>
            </w:r>
          </w:p>
        </w:tc>
        <w:tc>
          <w:tcPr>
            <w:tcW w:w="3391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During the experimental period the intake of energy and protein increased by 25% (p&lt; 0.001)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207C4B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 significant changes in body </w:t>
            </w:r>
            <w:proofErr w:type="gramStart"/>
            <w:r>
              <w:rPr>
                <w:sz w:val="20"/>
                <w:szCs w:val="20"/>
                <w:lang w:val="en-US"/>
              </w:rPr>
              <w:t>weight,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might reflect an increased physical activity</w:t>
            </w:r>
            <w:r w:rsidR="00B72CE0">
              <w:rPr>
                <w:sz w:val="20"/>
                <w:szCs w:val="20"/>
                <w:lang w:val="en-US"/>
              </w:rPr>
              <w:t>.</w:t>
            </w:r>
          </w:p>
        </w:tc>
      </w:tr>
      <w:tr w:rsidR="00C35795" w:rsidRPr="00251AAC" w:rsidTr="00C35795">
        <w:tc>
          <w:tcPr>
            <w:tcW w:w="2268" w:type="dxa"/>
          </w:tcPr>
          <w:p w:rsidR="00C35795" w:rsidRDefault="00C35795" w:rsidP="001E2802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6135">
              <w:rPr>
                <w:b/>
                <w:sz w:val="20"/>
                <w:szCs w:val="20"/>
                <w:lang w:val="en-US"/>
              </w:rPr>
              <w:t>Cardello</w:t>
            </w:r>
            <w:proofErr w:type="spellEnd"/>
            <w:r w:rsidRPr="00FE6135">
              <w:rPr>
                <w:b/>
                <w:sz w:val="20"/>
                <w:szCs w:val="20"/>
                <w:lang w:val="en-US"/>
              </w:rPr>
              <w:t xml:space="preserve"> et al. (199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FE6135">
              <w:rPr>
                <w:b/>
                <w:sz w:val="20"/>
                <w:szCs w:val="20"/>
                <w:lang w:val="en-US"/>
              </w:rPr>
              <w:t>)</w:t>
            </w:r>
          </w:p>
          <w:p w:rsidR="00C35795" w:rsidRPr="00933B28" w:rsidRDefault="00C35795" w:rsidP="001E2802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C35795" w:rsidRPr="0063101D" w:rsidRDefault="00C35795" w:rsidP="00783DC0">
            <w:pPr>
              <w:rPr>
                <w:sz w:val="20"/>
                <w:szCs w:val="20"/>
                <w:lang w:val="en-US"/>
              </w:rPr>
            </w:pPr>
            <w:r w:rsidRPr="0063101D">
              <w:rPr>
                <w:sz w:val="20"/>
                <w:szCs w:val="20"/>
                <w:lang w:val="en-US"/>
              </w:rPr>
              <w:t>Study 1.</w:t>
            </w:r>
          </w:p>
          <w:p w:rsidR="00C35795" w:rsidRPr="0063101D" w:rsidRDefault="00C35795" w:rsidP="00783DC0">
            <w:pPr>
              <w:rPr>
                <w:sz w:val="20"/>
                <w:szCs w:val="20"/>
                <w:lang w:val="en-US"/>
              </w:rPr>
            </w:pPr>
            <w:r w:rsidRPr="0063101D">
              <w:rPr>
                <w:sz w:val="20"/>
                <w:szCs w:val="20"/>
                <w:lang w:val="en-US"/>
              </w:rPr>
              <w:t>Quantitative data – 9 point scale</w:t>
            </w:r>
          </w:p>
          <w:p w:rsidR="00C35795" w:rsidRDefault="00C35795" w:rsidP="00DF734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acceptability (like/dislike)</w:t>
            </w:r>
          </w:p>
          <w:p w:rsidR="00C35795" w:rsidRPr="00A60CAC" w:rsidRDefault="00C35795" w:rsidP="00DF73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Expected quality of 12 food items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63101D" w:rsidRDefault="00C35795" w:rsidP="0063101D">
            <w:pPr>
              <w:rPr>
                <w:sz w:val="20"/>
                <w:szCs w:val="20"/>
                <w:lang w:val="en-US"/>
              </w:rPr>
            </w:pPr>
            <w:r w:rsidRPr="0063101D">
              <w:rPr>
                <w:sz w:val="20"/>
                <w:szCs w:val="20"/>
                <w:lang w:val="en-US"/>
              </w:rPr>
              <w:t>Study 2.</w:t>
            </w:r>
          </w:p>
          <w:p w:rsidR="00C35795" w:rsidRPr="0063101D" w:rsidRDefault="00C35795" w:rsidP="0063101D">
            <w:pPr>
              <w:rPr>
                <w:sz w:val="20"/>
                <w:szCs w:val="20"/>
                <w:lang w:val="en-US"/>
              </w:rPr>
            </w:pPr>
            <w:r w:rsidRPr="0063101D">
              <w:rPr>
                <w:sz w:val="20"/>
                <w:szCs w:val="20"/>
                <w:lang w:val="en-US"/>
              </w:rPr>
              <w:t>Quantitative data – 9 point scale</w:t>
            </w:r>
          </w:p>
          <w:p w:rsidR="00C35795" w:rsidRPr="00A60CAC" w:rsidRDefault="00C35795" w:rsidP="00F06A08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i/>
                <w:sz w:val="20"/>
                <w:szCs w:val="20"/>
                <w:lang w:val="en-US"/>
              </w:rPr>
              <w:t>Perceived quality</w:t>
            </w:r>
            <w:r w:rsidRPr="00A60CAC">
              <w:rPr>
                <w:sz w:val="20"/>
                <w:szCs w:val="20"/>
                <w:lang w:val="en-US"/>
              </w:rPr>
              <w:t xml:space="preserve"> of ingredients, preparation, food presentation, physical dining setting, variety, cleanliness, service and expertise of cooks</w:t>
            </w:r>
          </w:p>
        </w:tc>
        <w:tc>
          <w:tcPr>
            <w:tcW w:w="3390" w:type="dxa"/>
          </w:tcPr>
          <w:p w:rsidR="00C35795" w:rsidRDefault="00C35795" w:rsidP="00FE6135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5 studies in all</w:t>
            </w:r>
            <w:r w:rsidR="00130BCB">
              <w:rPr>
                <w:sz w:val="20"/>
                <w:szCs w:val="20"/>
                <w:lang w:val="en-US"/>
              </w:rPr>
              <w:t xml:space="preserve"> (only two with relevance)</w:t>
            </w:r>
          </w:p>
          <w:p w:rsidR="00130BCB" w:rsidRPr="00A60CAC" w:rsidRDefault="00130BCB" w:rsidP="00FE6135">
            <w:pPr>
              <w:rPr>
                <w:sz w:val="20"/>
                <w:szCs w:val="20"/>
                <w:lang w:val="en-US"/>
              </w:rPr>
            </w:pPr>
          </w:p>
          <w:p w:rsidR="00C35795" w:rsidRPr="00A60CAC" w:rsidRDefault="00C35795" w:rsidP="00FE6135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1.  questionnaire (hedonic scale)</w:t>
            </w:r>
          </w:p>
          <w:p w:rsidR="00C35795" w:rsidRPr="00A60CAC" w:rsidRDefault="00C35795" w:rsidP="00DF7340">
            <w:pPr>
              <w:rPr>
                <w:i/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 xml:space="preserve"> </w:t>
            </w:r>
            <w:r w:rsidRPr="00A60CAC">
              <w:rPr>
                <w:i/>
                <w:sz w:val="20"/>
                <w:szCs w:val="20"/>
                <w:lang w:val="en-US"/>
              </w:rPr>
              <w:t>Expectations and attitudes</w:t>
            </w:r>
          </w:p>
          <w:p w:rsidR="00C35795" w:rsidRPr="00A60CAC" w:rsidRDefault="00C35795" w:rsidP="00DF7340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 xml:space="preserve">testing different settings </w:t>
            </w:r>
          </w:p>
          <w:p w:rsidR="00C35795" w:rsidRPr="00A60CAC" w:rsidRDefault="00C35795" w:rsidP="00DF7340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 xml:space="preserve"> (ANOVA analysis with </w:t>
            </w:r>
            <w:proofErr w:type="spellStart"/>
            <w:r w:rsidRPr="00A60CAC">
              <w:rPr>
                <w:sz w:val="20"/>
                <w:szCs w:val="20"/>
                <w:lang w:val="en-US"/>
              </w:rPr>
              <w:t>Neuman-Keuls</w:t>
            </w:r>
            <w:proofErr w:type="spellEnd"/>
            <w:r w:rsidRPr="00A60CAC">
              <w:rPr>
                <w:sz w:val="20"/>
                <w:szCs w:val="20"/>
                <w:lang w:val="en-US"/>
              </w:rPr>
              <w:t xml:space="preserve"> post-hoc tests)</w:t>
            </w:r>
          </w:p>
          <w:p w:rsidR="00C35795" w:rsidRDefault="00C35795" w:rsidP="00FE6135">
            <w:pPr>
              <w:rPr>
                <w:sz w:val="20"/>
                <w:szCs w:val="20"/>
                <w:lang w:val="en-US"/>
              </w:rPr>
            </w:pPr>
          </w:p>
          <w:p w:rsidR="00C35795" w:rsidRPr="00A60CAC" w:rsidRDefault="00C35795" w:rsidP="00FE6135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 xml:space="preserve">2. questionnaire </w:t>
            </w:r>
          </w:p>
          <w:p w:rsidR="00C35795" w:rsidRPr="00A60CAC" w:rsidRDefault="00C35795" w:rsidP="00FE6135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 xml:space="preserve"> (direct </w:t>
            </w:r>
            <w:proofErr w:type="spellStart"/>
            <w:r w:rsidRPr="00A60CAC">
              <w:rPr>
                <w:sz w:val="20"/>
                <w:szCs w:val="20"/>
                <w:lang w:val="en-US"/>
              </w:rPr>
              <w:t>discriminant</w:t>
            </w:r>
            <w:proofErr w:type="spellEnd"/>
            <w:r w:rsidRPr="00A60CAC">
              <w:rPr>
                <w:sz w:val="20"/>
                <w:szCs w:val="20"/>
                <w:lang w:val="en-US"/>
              </w:rPr>
              <w:t xml:space="preserve"> analyses)</w:t>
            </w:r>
          </w:p>
          <w:p w:rsidR="00C35795" w:rsidRDefault="00C35795" w:rsidP="00FE6135">
            <w:pPr>
              <w:rPr>
                <w:sz w:val="20"/>
                <w:szCs w:val="20"/>
                <w:lang w:val="en-US"/>
              </w:rPr>
            </w:pPr>
          </w:p>
          <w:p w:rsidR="00C35795" w:rsidRPr="006211C0" w:rsidRDefault="00C35795" w:rsidP="00783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C35795" w:rsidRDefault="00C35795" w:rsidP="006211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1.</w:t>
            </w:r>
          </w:p>
          <w:p w:rsidR="00C35795" w:rsidRDefault="00C35795" w:rsidP="006211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Geographically and operationally distinct military groups</w:t>
            </w:r>
          </w:p>
          <w:p w:rsidR="00C35795" w:rsidRPr="00A60CAC" w:rsidRDefault="00C35795" w:rsidP="00BD12E8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57 male, age 19-29</w:t>
            </w:r>
          </w:p>
          <w:p w:rsidR="00C35795" w:rsidRPr="00A60CAC" w:rsidRDefault="00C35795" w:rsidP="00BD12E8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84 male, age 19-35</w:t>
            </w:r>
          </w:p>
          <w:p w:rsidR="00C35795" w:rsidRPr="00A60CAC" w:rsidRDefault="00C35795" w:rsidP="00BD12E8">
            <w:pPr>
              <w:rPr>
                <w:sz w:val="20"/>
                <w:szCs w:val="20"/>
                <w:lang w:val="en-US"/>
              </w:rPr>
            </w:pPr>
          </w:p>
          <w:p w:rsidR="00C35795" w:rsidRPr="00A60CAC" w:rsidRDefault="00C35795" w:rsidP="00BD12E8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University students</w:t>
            </w:r>
          </w:p>
          <w:p w:rsidR="00C35795" w:rsidRPr="00A60CAC" w:rsidRDefault="00C35795" w:rsidP="00BD12E8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61 males, age 18-25</w:t>
            </w: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60 females, age 18-25</w:t>
            </w: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Traditional full service restaurant, school/college dining hall, at home, diner/fast food restaurant, military dining hall, airline foodservice, hospital foodservice</w:t>
            </w: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2.</w:t>
            </w: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 civilian employees</w:t>
            </w: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 military personnel</w:t>
            </w:r>
          </w:p>
          <w:p w:rsidR="00C35795" w:rsidRDefault="00C35795" w:rsidP="00BD12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18-65</w:t>
            </w:r>
          </w:p>
          <w:p w:rsidR="00C35795" w:rsidRPr="00A60CAC" w:rsidRDefault="00C35795" w:rsidP="00BD12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50% male, 50% female</w:t>
            </w:r>
          </w:p>
        </w:tc>
        <w:tc>
          <w:tcPr>
            <w:tcW w:w="3391" w:type="dxa"/>
          </w:tcPr>
          <w:p w:rsidR="00C35795" w:rsidRPr="00A60CAC" w:rsidRDefault="00B72CE0" w:rsidP="00783D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="00C35795" w:rsidRPr="00A60CAC">
              <w:rPr>
                <w:sz w:val="20"/>
                <w:szCs w:val="20"/>
                <w:lang w:val="en-US"/>
              </w:rPr>
              <w:t>road and significant effects of institutional food stereotypes on food acceptance and food quality ratings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B72CE0" w:rsidRDefault="00B72CE0" w:rsidP="00783DC0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783DC0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1. Hospitals were perceived significantly lower (p&lt;0</w:t>
            </w:r>
            <w:proofErr w:type="gramStart"/>
            <w:r w:rsidRPr="00A60CAC">
              <w:rPr>
                <w:sz w:val="20"/>
                <w:szCs w:val="20"/>
                <w:lang w:val="en-US"/>
              </w:rPr>
              <w:t>,05</w:t>
            </w:r>
            <w:proofErr w:type="gramEnd"/>
            <w:r w:rsidRPr="00A60CAC">
              <w:rPr>
                <w:sz w:val="20"/>
                <w:szCs w:val="20"/>
                <w:lang w:val="en-US"/>
              </w:rPr>
              <w:t>) than food served at home</w:t>
            </w:r>
            <w:r w:rsidR="00B72CE0">
              <w:rPr>
                <w:sz w:val="20"/>
                <w:szCs w:val="20"/>
                <w:lang w:val="en-US"/>
              </w:rPr>
              <w:t>.</w:t>
            </w:r>
          </w:p>
          <w:p w:rsidR="00C35795" w:rsidRDefault="00C35795" w:rsidP="00783DC0">
            <w:pPr>
              <w:rPr>
                <w:sz w:val="20"/>
                <w:szCs w:val="20"/>
                <w:lang w:val="en-US"/>
              </w:rPr>
            </w:pPr>
          </w:p>
          <w:p w:rsidR="00C35795" w:rsidRPr="00A60CAC" w:rsidRDefault="00C35795" w:rsidP="00783DC0">
            <w:pPr>
              <w:rPr>
                <w:sz w:val="20"/>
                <w:szCs w:val="20"/>
                <w:lang w:val="en-US"/>
              </w:rPr>
            </w:pPr>
            <w:r w:rsidRPr="00A60CAC">
              <w:rPr>
                <w:sz w:val="20"/>
                <w:szCs w:val="20"/>
                <w:lang w:val="en-US"/>
              </w:rPr>
              <w:t>2. Lowest scores were manner of food presentation, the physical setting and the variety of food items</w:t>
            </w:r>
            <w:r w:rsidR="00B72CE0">
              <w:rPr>
                <w:sz w:val="20"/>
                <w:szCs w:val="20"/>
                <w:lang w:val="en-US"/>
              </w:rPr>
              <w:t>.</w:t>
            </w:r>
            <w:r w:rsidRPr="00A60CAC">
              <w:rPr>
                <w:sz w:val="20"/>
                <w:szCs w:val="20"/>
                <w:lang w:val="en-US"/>
              </w:rPr>
              <w:t xml:space="preserve"> </w:t>
            </w:r>
          </w:p>
          <w:p w:rsidR="00C35795" w:rsidRPr="00A60CAC" w:rsidRDefault="00C35795" w:rsidP="00783DC0">
            <w:pPr>
              <w:rPr>
                <w:sz w:val="20"/>
                <w:szCs w:val="20"/>
                <w:lang w:val="en-US"/>
              </w:rPr>
            </w:pPr>
          </w:p>
          <w:p w:rsidR="00C35795" w:rsidRPr="00A60CAC" w:rsidRDefault="00C35795" w:rsidP="00783DC0">
            <w:pPr>
              <w:rPr>
                <w:sz w:val="20"/>
                <w:szCs w:val="20"/>
                <w:lang w:val="en-US"/>
              </w:rPr>
            </w:pPr>
          </w:p>
        </w:tc>
      </w:tr>
      <w:tr w:rsidR="00C35795" w:rsidRPr="00251AAC" w:rsidTr="00C35795">
        <w:tc>
          <w:tcPr>
            <w:tcW w:w="2268" w:type="dxa"/>
          </w:tcPr>
          <w:p w:rsidR="00C35795" w:rsidRPr="00251AAC" w:rsidRDefault="00C35795" w:rsidP="00112C1B">
            <w:pPr>
              <w:jc w:val="right"/>
              <w:rPr>
                <w:b/>
                <w:sz w:val="20"/>
                <w:szCs w:val="20"/>
              </w:rPr>
            </w:pPr>
            <w:r w:rsidRPr="00251AAC">
              <w:rPr>
                <w:b/>
                <w:sz w:val="20"/>
                <w:szCs w:val="20"/>
              </w:rPr>
              <w:lastRenderedPageBreak/>
              <w:t>Holm &amp; Smidt (1997)</w:t>
            </w:r>
          </w:p>
          <w:p w:rsidR="00C35795" w:rsidRPr="00251AAC" w:rsidRDefault="00C35795" w:rsidP="00112C1B">
            <w:pPr>
              <w:jc w:val="right"/>
              <w:rPr>
                <w:b/>
                <w:sz w:val="20"/>
                <w:szCs w:val="20"/>
              </w:rPr>
            </w:pPr>
          </w:p>
          <w:p w:rsidR="00C35795" w:rsidRPr="00251AAC" w:rsidRDefault="00C35795" w:rsidP="00112C1B">
            <w:pPr>
              <w:jc w:val="right"/>
              <w:rPr>
                <w:i/>
                <w:sz w:val="20"/>
                <w:szCs w:val="20"/>
              </w:rPr>
            </w:pPr>
            <w:r w:rsidRPr="00251AAC">
              <w:rPr>
                <w:i/>
                <w:sz w:val="20"/>
                <w:szCs w:val="20"/>
              </w:rPr>
              <w:t>Holm &amp; Jacobsen (1990)</w:t>
            </w:r>
          </w:p>
          <w:p w:rsidR="00C35795" w:rsidRPr="00B65EA8" w:rsidRDefault="00C35795" w:rsidP="00112C1B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a</w:t>
            </w:r>
            <w:r w:rsidR="00E25513">
              <w:rPr>
                <w:sz w:val="20"/>
                <w:szCs w:val="20"/>
                <w:lang w:val="en-US"/>
              </w:rPr>
              <w:t>,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Questionnaires (predetermined response categories) 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Opinions about the food and food system 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(satisfaction)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Study b, 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Interviews (semi-structured, thematic – open and in-depth)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Personal experience and considerations 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 quality of life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c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observations (unstructured, non-participant, overt)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physical environment and social interaction around meals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780F13" w:rsidRDefault="00C35795" w:rsidP="00E25513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food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intake?</w:t>
            </w: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methods ‘triangulation’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 w:rsidRPr="00780F13">
              <w:rPr>
                <w:sz w:val="20"/>
                <w:szCs w:val="20"/>
                <w:lang w:val="en-US"/>
              </w:rPr>
              <w:t>Evaluation study combining quantitative survey method with qualitative interviews and observation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evaluating the impact of the introduction of a new food system in a hospital ward for children with cancer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780F13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a centralized food production system to locally staffed kitchen built in the middle of the ward</w:t>
            </w: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Malnutritioned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children with cancer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Rigshospitalet</w:t>
            </w:r>
            <w:proofErr w:type="spellEnd"/>
            <w:r>
              <w:rPr>
                <w:sz w:val="20"/>
                <w:szCs w:val="20"/>
                <w:lang w:val="en-US"/>
              </w:rPr>
              <w:t>, DK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a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 children, age &gt; 12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 parents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 staff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hospital ward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b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children, age 6-18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parents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val="en-US"/>
              </w:rPr>
              <w:t>staffmembers</w:t>
            </w:r>
            <w:proofErr w:type="spellEnd"/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 ward or at </w:t>
            </w:r>
            <w:proofErr w:type="spellStart"/>
            <w:r>
              <w:rPr>
                <w:sz w:val="20"/>
                <w:szCs w:val="20"/>
                <w:lang w:val="en-US"/>
              </w:rPr>
              <w:t>childrens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home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1-2 h, and youngest ½h</w:t>
            </w: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Study c</w:t>
            </w:r>
          </w:p>
          <w:p w:rsidR="00C35795" w:rsidRPr="00780F13" w:rsidRDefault="00C35795" w:rsidP="00F51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week in ward rooms and corridors/ meal situations in kitchen-dining rooms (4 meals)</w:t>
            </w:r>
          </w:p>
        </w:tc>
        <w:tc>
          <w:tcPr>
            <w:tcW w:w="3391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Severe status differences between patients and staff.</w:t>
            </w:r>
          </w:p>
          <w:p w:rsidR="00C35795" w:rsidRDefault="00C35795" w:rsidP="007D40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 patients and parents food was a central part of their quality of life while hospitalized. For staff food was </w:t>
            </w:r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area of low status.</w:t>
            </w:r>
          </w:p>
          <w:p w:rsidR="00C35795" w:rsidRDefault="00C35795" w:rsidP="007D404D">
            <w:pPr>
              <w:rPr>
                <w:sz w:val="20"/>
                <w:szCs w:val="20"/>
                <w:lang w:val="en-US"/>
              </w:rPr>
            </w:pPr>
          </w:p>
          <w:p w:rsidR="00C35795" w:rsidRPr="00780F13" w:rsidRDefault="00C35795" w:rsidP="007D40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the traditional food system mean energy intake was 49%, new system increased the mean energy intake to 70% of recommended intake</w:t>
            </w:r>
          </w:p>
        </w:tc>
      </w:tr>
      <w:tr w:rsidR="00C35795" w:rsidRPr="00251AAC" w:rsidTr="00C35795">
        <w:tc>
          <w:tcPr>
            <w:tcW w:w="2268" w:type="dxa"/>
          </w:tcPr>
          <w:p w:rsidR="00C35795" w:rsidRPr="002D68E3" w:rsidRDefault="00C35795" w:rsidP="004C6818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D68E3">
              <w:rPr>
                <w:b/>
                <w:sz w:val="18"/>
                <w:szCs w:val="18"/>
                <w:lang w:val="en-US"/>
              </w:rPr>
              <w:t>Edwards &amp; Hartwell (2004)</w:t>
            </w:r>
          </w:p>
          <w:p w:rsidR="00C35795" w:rsidRPr="006121A6" w:rsidRDefault="00C35795" w:rsidP="004C681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C35795" w:rsidRDefault="00C35795" w:rsidP="00886667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 xml:space="preserve">Dietary data  </w:t>
            </w:r>
          </w:p>
          <w:p w:rsidR="00C35795" w:rsidRPr="006121A6" w:rsidRDefault="00C35795" w:rsidP="00886667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(energy intake)</w:t>
            </w:r>
          </w:p>
          <w:p w:rsidR="00C35795" w:rsidRPr="006121A6" w:rsidRDefault="00C35795" w:rsidP="00886667">
            <w:pPr>
              <w:rPr>
                <w:sz w:val="20"/>
                <w:szCs w:val="20"/>
                <w:lang w:val="en-US"/>
              </w:rPr>
            </w:pPr>
          </w:p>
          <w:p w:rsidR="00C35795" w:rsidRPr="006121A6" w:rsidRDefault="00C35795" w:rsidP="00886667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Evening (kcal)</w:t>
            </w:r>
          </w:p>
          <w:p w:rsidR="00C35795" w:rsidRPr="006121A6" w:rsidRDefault="00C35795" w:rsidP="00886667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Midday (kcal)</w:t>
            </w:r>
          </w:p>
          <w:p w:rsidR="00C35795" w:rsidRPr="006121A6" w:rsidRDefault="00C35795" w:rsidP="00886667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Breakfast (kcal)</w:t>
            </w:r>
          </w:p>
        </w:tc>
        <w:tc>
          <w:tcPr>
            <w:tcW w:w="3390" w:type="dxa"/>
          </w:tcPr>
          <w:p w:rsidR="00C35795" w:rsidRDefault="00C35795" w:rsidP="00A43DA6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A small pilot study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C35795" w:rsidRPr="006121A6" w:rsidRDefault="00C35795" w:rsidP="00E25513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Data collected for 3 consecutive 24 h periods from patients who consumed meals either in bed, at side of bed or in presence of others</w:t>
            </w:r>
            <w:r>
              <w:rPr>
                <w:sz w:val="20"/>
                <w:szCs w:val="20"/>
                <w:lang w:val="en-US"/>
              </w:rPr>
              <w:t xml:space="preserve">. Food items weighed using Hanson Digital scales. Nutritional analysis using </w:t>
            </w:r>
            <w:proofErr w:type="spellStart"/>
            <w:r>
              <w:rPr>
                <w:sz w:val="20"/>
                <w:szCs w:val="20"/>
                <w:lang w:val="en-US"/>
              </w:rPr>
              <w:t>Microdiet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software program. Statistical analysis using SPSS</w:t>
            </w:r>
            <w:r w:rsidR="00E25513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90" w:type="dxa"/>
          </w:tcPr>
          <w:p w:rsidR="00C35795" w:rsidRPr="006121A6" w:rsidRDefault="00C35795" w:rsidP="00F16544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n = 13 (in all)</w:t>
            </w:r>
          </w:p>
          <w:p w:rsidR="00C35795" w:rsidRPr="006121A6" w:rsidRDefault="00C35795" w:rsidP="00F16544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n=4 (at table)</w:t>
            </w:r>
          </w:p>
          <w:p w:rsidR="00C35795" w:rsidRPr="006121A6" w:rsidRDefault="00C35795" w:rsidP="00F16544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n=5 (at bed)</w:t>
            </w:r>
          </w:p>
          <w:p w:rsidR="00C35795" w:rsidRPr="006121A6" w:rsidRDefault="00C35795" w:rsidP="00F16544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n=4 (in bed)</w:t>
            </w:r>
          </w:p>
          <w:p w:rsidR="00C35795" w:rsidRPr="006121A6" w:rsidRDefault="00C35795" w:rsidP="00F16544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F165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post-operative </w:t>
            </w:r>
            <w:r w:rsidRPr="006121A6">
              <w:rPr>
                <w:sz w:val="20"/>
                <w:szCs w:val="20"/>
                <w:lang w:val="en-US"/>
              </w:rPr>
              <w:t>patients</w:t>
            </w:r>
          </w:p>
          <w:p w:rsidR="00C35795" w:rsidRDefault="00C35795" w:rsidP="00F165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ambulant</w:t>
            </w:r>
          </w:p>
          <w:p w:rsidR="00C35795" w:rsidRDefault="00C35795" w:rsidP="00F16544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 xml:space="preserve">age 36-62 </w:t>
            </w:r>
          </w:p>
          <w:p w:rsidR="00E25513" w:rsidRDefault="00E25513" w:rsidP="00E25513">
            <w:pPr>
              <w:rPr>
                <w:sz w:val="20"/>
                <w:szCs w:val="20"/>
                <w:lang w:val="en-US"/>
              </w:rPr>
            </w:pPr>
            <w:proofErr w:type="spellStart"/>
            <w:r w:rsidRPr="006121A6">
              <w:rPr>
                <w:sz w:val="20"/>
                <w:szCs w:val="20"/>
                <w:lang w:val="en-US"/>
              </w:rPr>
              <w:t>Womens’s</w:t>
            </w:r>
            <w:proofErr w:type="spellEnd"/>
            <w:r w:rsidRPr="006121A6">
              <w:rPr>
                <w:sz w:val="20"/>
                <w:szCs w:val="20"/>
                <w:lang w:val="en-US"/>
              </w:rPr>
              <w:t xml:space="preserve"> Health </w:t>
            </w:r>
            <w:proofErr w:type="gramStart"/>
            <w:r w:rsidRPr="006121A6">
              <w:rPr>
                <w:sz w:val="20"/>
                <w:szCs w:val="20"/>
                <w:lang w:val="en-US"/>
              </w:rPr>
              <w:t>Unit ,</w:t>
            </w:r>
            <w:proofErr w:type="gramEnd"/>
            <w:r w:rsidRPr="006121A6">
              <w:rPr>
                <w:sz w:val="20"/>
                <w:szCs w:val="20"/>
                <w:lang w:val="en-US"/>
              </w:rPr>
              <w:t xml:space="preserve"> NHS hospital, UK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C35795" w:rsidRPr="006121A6" w:rsidRDefault="00E25513" w:rsidP="00E255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Pre-ordered meals, plated in kitchen and placed onto patient trays</w:t>
            </w:r>
          </w:p>
        </w:tc>
        <w:tc>
          <w:tcPr>
            <w:tcW w:w="3391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Significant increase (p&lt;0.05) found in the mean daily energy intake for those sitting around table in the presence of others</w:t>
            </w:r>
            <w:r>
              <w:rPr>
                <w:sz w:val="20"/>
                <w:szCs w:val="20"/>
                <w:lang w:val="en-US"/>
              </w:rPr>
              <w:t xml:space="preserve"> (especially at midday meal)</w:t>
            </w:r>
          </w:p>
          <w:p w:rsidR="00C35795" w:rsidRPr="006121A6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However, no significant difference in evening meals and only difference between table and by bed at breakfast</w:t>
            </w:r>
          </w:p>
        </w:tc>
      </w:tr>
      <w:tr w:rsidR="00C35795" w:rsidRPr="00251AAC" w:rsidTr="00C35795">
        <w:tc>
          <w:tcPr>
            <w:tcW w:w="2268" w:type="dxa"/>
          </w:tcPr>
          <w:p w:rsidR="00C35795" w:rsidRPr="002D68E3" w:rsidRDefault="00C35795" w:rsidP="002D68E3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D68E3">
              <w:rPr>
                <w:b/>
                <w:sz w:val="18"/>
                <w:szCs w:val="18"/>
                <w:lang w:val="en-US"/>
              </w:rPr>
              <w:t xml:space="preserve">Hartwell et al. (2006) </w:t>
            </w:r>
          </w:p>
          <w:p w:rsidR="00C35795" w:rsidRPr="00161535" w:rsidRDefault="00C35795" w:rsidP="00112C1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 satisfaction</w:t>
            </w:r>
          </w:p>
          <w:p w:rsidR="00C35795" w:rsidRPr="0016153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Meal experience</w:t>
            </w:r>
          </w:p>
        </w:tc>
        <w:tc>
          <w:tcPr>
            <w:tcW w:w="3390" w:type="dxa"/>
          </w:tcPr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  <w:r w:rsidRPr="00161535">
              <w:rPr>
                <w:sz w:val="20"/>
                <w:szCs w:val="20"/>
                <w:lang w:val="en-US"/>
              </w:rPr>
              <w:t>Focus groups + Open-end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1535">
              <w:rPr>
                <w:sz w:val="20"/>
                <w:szCs w:val="20"/>
                <w:lang w:val="en-US"/>
              </w:rPr>
              <w:t>interviews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161535">
              <w:rPr>
                <w:sz w:val="20"/>
                <w:szCs w:val="20"/>
                <w:lang w:val="en-US"/>
              </w:rPr>
              <w:t xml:space="preserve"> </w:t>
            </w:r>
          </w:p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  <w:r w:rsidRPr="006121A6">
              <w:rPr>
                <w:sz w:val="20"/>
                <w:szCs w:val="20"/>
                <w:lang w:val="en-US"/>
              </w:rPr>
              <w:t>NHS hospital, UK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Bulk Trolley Foodservice System</w:t>
            </w:r>
          </w:p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Purposive sampling </w:t>
            </w:r>
          </w:p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collected until saturation point</w:t>
            </w:r>
          </w:p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Focus groups in ward (½ h)</w:t>
            </w:r>
          </w:p>
          <w:p w:rsidR="00C35795" w:rsidRDefault="00C35795" w:rsidP="00161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Open-end interviews in respondent’s office (½ h)</w:t>
            </w:r>
          </w:p>
          <w:p w:rsidR="00C35795" w:rsidRPr="00161535" w:rsidRDefault="00C35795" w:rsidP="001409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Interviews transcribed, text analysis using NUD*IST, a computer-assisted qualitative data analysis software package together with researcher own knowledge and understanding</w:t>
            </w:r>
          </w:p>
        </w:tc>
        <w:tc>
          <w:tcPr>
            <w:tcW w:w="3390" w:type="dxa"/>
          </w:tcPr>
          <w:p w:rsidR="00C35795" w:rsidRPr="00161535" w:rsidRDefault="00C35795">
            <w:pPr>
              <w:rPr>
                <w:sz w:val="20"/>
                <w:szCs w:val="20"/>
                <w:lang w:val="en-US"/>
              </w:rPr>
            </w:pPr>
            <w:r w:rsidRPr="00161535">
              <w:rPr>
                <w:sz w:val="20"/>
                <w:szCs w:val="20"/>
                <w:lang w:val="en-US"/>
              </w:rPr>
              <w:lastRenderedPageBreak/>
              <w:t>n=4 (doctors)</w:t>
            </w:r>
          </w:p>
          <w:p w:rsidR="00C35795" w:rsidRPr="00161535" w:rsidRDefault="00C35795">
            <w:pPr>
              <w:rPr>
                <w:sz w:val="20"/>
                <w:szCs w:val="20"/>
                <w:lang w:val="en-US"/>
              </w:rPr>
            </w:pPr>
            <w:r w:rsidRPr="00161535">
              <w:rPr>
                <w:sz w:val="20"/>
                <w:szCs w:val="20"/>
                <w:lang w:val="en-US"/>
              </w:rPr>
              <w:t>n=5 (nurses)</w:t>
            </w:r>
          </w:p>
          <w:p w:rsidR="00C35795" w:rsidRPr="00161535" w:rsidRDefault="00C35795">
            <w:pPr>
              <w:rPr>
                <w:sz w:val="20"/>
                <w:szCs w:val="20"/>
                <w:lang w:val="en-US"/>
              </w:rPr>
            </w:pPr>
            <w:r w:rsidRPr="00161535">
              <w:rPr>
                <w:sz w:val="20"/>
                <w:szCs w:val="20"/>
                <w:lang w:val="en-US"/>
              </w:rPr>
              <w:t>n=3 (ward hostesses)</w:t>
            </w:r>
          </w:p>
          <w:p w:rsidR="00C35795" w:rsidRDefault="00C35795" w:rsidP="004E753E">
            <w:pPr>
              <w:rPr>
                <w:sz w:val="20"/>
                <w:szCs w:val="20"/>
                <w:lang w:val="en-US"/>
              </w:rPr>
            </w:pPr>
            <w:r w:rsidRPr="00161535">
              <w:rPr>
                <w:sz w:val="20"/>
                <w:szCs w:val="20"/>
                <w:lang w:val="en-US"/>
              </w:rPr>
              <w:t>n= 10 (patients +visitors)</w:t>
            </w:r>
          </w:p>
          <w:p w:rsidR="00C35795" w:rsidRDefault="00C35795" w:rsidP="004E753E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4E75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foodservice manager, facilities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manager, chief dietitian, </w:t>
            </w:r>
            <w:proofErr w:type="spellStart"/>
            <w:r>
              <w:rPr>
                <w:sz w:val="20"/>
                <w:szCs w:val="20"/>
                <w:lang w:val="en-US"/>
              </w:rPr>
              <w:t>orthopaedic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ward dietitian, chief pharmacist</w:t>
            </w:r>
          </w:p>
          <w:p w:rsidR="00C35795" w:rsidRDefault="00C35795" w:rsidP="004E753E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4E753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Orthopaedic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ward</w:t>
            </w:r>
          </w:p>
          <w:p w:rsidR="00C35795" w:rsidRDefault="00C35795" w:rsidP="004E75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Males and females</w:t>
            </w:r>
          </w:p>
          <w:p w:rsidR="00C35795" w:rsidRDefault="00C35795" w:rsidP="004E75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Patients age 66-84</w:t>
            </w:r>
          </w:p>
          <w:p w:rsidR="00C35795" w:rsidRPr="00161535" w:rsidRDefault="00C35795" w:rsidP="008D71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Patients </w:t>
            </w:r>
            <w:r w:rsidR="008D7134">
              <w:rPr>
                <w:sz w:val="20"/>
                <w:szCs w:val="20"/>
                <w:lang w:val="en-US"/>
              </w:rPr>
              <w:t>length</w:t>
            </w:r>
            <w:r>
              <w:rPr>
                <w:sz w:val="20"/>
                <w:szCs w:val="20"/>
                <w:lang w:val="en-US"/>
              </w:rPr>
              <w:t xml:space="preserve"> of stay &gt; 7 days</w:t>
            </w:r>
          </w:p>
        </w:tc>
        <w:tc>
          <w:tcPr>
            <w:tcW w:w="3391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Food qualities, particularly temperature and texture are important factors impinging on patient satisfaction, and the trolley system of delivery is an acceptable style of service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16153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Service predisposition demonstrates little relevance to patient satisfaction towards overall meal enjoyment</w:t>
            </w:r>
          </w:p>
        </w:tc>
      </w:tr>
      <w:tr w:rsidR="00C35795" w:rsidRPr="00251AAC" w:rsidTr="00C35795">
        <w:tc>
          <w:tcPr>
            <w:tcW w:w="2268" w:type="dxa"/>
          </w:tcPr>
          <w:p w:rsidR="00C35795" w:rsidRPr="009815CA" w:rsidRDefault="00C35795" w:rsidP="00112C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9815CA">
              <w:rPr>
                <w:b/>
                <w:sz w:val="20"/>
                <w:szCs w:val="20"/>
                <w:lang w:val="en-US"/>
              </w:rPr>
              <w:lastRenderedPageBreak/>
              <w:t>Hartwell et al. (2007)</w:t>
            </w:r>
          </w:p>
        </w:tc>
        <w:tc>
          <w:tcPr>
            <w:tcW w:w="3390" w:type="dxa"/>
          </w:tcPr>
          <w:p w:rsidR="00C35795" w:rsidRDefault="00C35795" w:rsidP="00D466A8">
            <w:pPr>
              <w:rPr>
                <w:sz w:val="20"/>
                <w:szCs w:val="20"/>
                <w:lang w:val="en-US"/>
              </w:rPr>
            </w:pPr>
            <w:r w:rsidRPr="00B44A62">
              <w:rPr>
                <w:sz w:val="20"/>
                <w:szCs w:val="20"/>
                <w:lang w:val="en-US"/>
              </w:rPr>
              <w:t>Patient satisfaction</w:t>
            </w:r>
          </w:p>
          <w:p w:rsidR="00C35795" w:rsidRDefault="00C35795" w:rsidP="004B43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via c</w:t>
            </w:r>
            <w:r w:rsidRPr="00B44A62">
              <w:rPr>
                <w:sz w:val="20"/>
                <w:szCs w:val="20"/>
                <w:lang w:val="en-US"/>
              </w:rPr>
              <w:t>onsumer opinion card</w:t>
            </w:r>
            <w:r>
              <w:rPr>
                <w:sz w:val="20"/>
                <w:szCs w:val="20"/>
                <w:lang w:val="en-US"/>
              </w:rPr>
              <w:t xml:space="preserve"> with 7-point rating scales</w:t>
            </w:r>
            <w:r w:rsidRPr="00B44A6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+ space for open-ended comments </w:t>
            </w:r>
          </w:p>
          <w:p w:rsidR="00C35795" w:rsidRDefault="00C35795" w:rsidP="004B43F7">
            <w:pPr>
              <w:rPr>
                <w:sz w:val="20"/>
                <w:szCs w:val="20"/>
                <w:lang w:val="en-US"/>
              </w:rPr>
            </w:pPr>
          </w:p>
          <w:p w:rsidR="00C35795" w:rsidRPr="00B44A62" w:rsidRDefault="00C35795" w:rsidP="004B43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Five attributes of the food was rated; temperature, texture, flavor, portion size, </w:t>
            </w:r>
            <w:proofErr w:type="spellStart"/>
            <w:r>
              <w:rPr>
                <w:sz w:val="20"/>
                <w:szCs w:val="20"/>
                <w:lang w:val="en-US"/>
              </w:rPr>
              <w:t>respondents’s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overall opinion of the food</w:t>
            </w:r>
          </w:p>
        </w:tc>
        <w:tc>
          <w:tcPr>
            <w:tcW w:w="3390" w:type="dxa"/>
          </w:tcPr>
          <w:p w:rsidR="00C35795" w:rsidRDefault="00C35795" w:rsidP="00D466A8">
            <w:pPr>
              <w:rPr>
                <w:sz w:val="20"/>
                <w:szCs w:val="20"/>
                <w:lang w:val="en-US"/>
              </w:rPr>
            </w:pPr>
            <w:r w:rsidRPr="00B44A62">
              <w:rPr>
                <w:sz w:val="20"/>
                <w:szCs w:val="20"/>
                <w:lang w:val="en-US"/>
              </w:rPr>
              <w:t>Bulk trolley foodservice system versus plate delivery foodservice system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C35795" w:rsidRPr="00B44A62" w:rsidRDefault="00C35795" w:rsidP="002541C8">
            <w:pPr>
              <w:rPr>
                <w:sz w:val="20"/>
                <w:szCs w:val="20"/>
                <w:lang w:val="en-US"/>
              </w:rPr>
            </w:pPr>
            <w:r w:rsidRPr="00B44A62">
              <w:rPr>
                <w:sz w:val="20"/>
                <w:szCs w:val="20"/>
                <w:lang w:val="en-US"/>
              </w:rPr>
              <w:t>Quality indicators of food</w:t>
            </w:r>
          </w:p>
          <w:p w:rsidR="00C35795" w:rsidRDefault="00C35795" w:rsidP="002541C8">
            <w:pPr>
              <w:rPr>
                <w:i/>
                <w:sz w:val="20"/>
                <w:szCs w:val="20"/>
                <w:lang w:val="en-US"/>
              </w:rPr>
            </w:pPr>
            <w:r w:rsidRPr="00B44A62">
              <w:rPr>
                <w:i/>
                <w:sz w:val="20"/>
                <w:szCs w:val="20"/>
                <w:lang w:val="en-US"/>
              </w:rPr>
              <w:t>(used to measure patient satisfaction)</w:t>
            </w:r>
          </w:p>
          <w:p w:rsidR="00C35795" w:rsidRPr="00B44A62" w:rsidRDefault="00C35795" w:rsidP="002541C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Comparision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between service style and food attribute was tested with the Mann-Whitney U test. </w:t>
            </w:r>
            <w:r w:rsidRPr="00B44A62">
              <w:rPr>
                <w:sz w:val="20"/>
                <w:szCs w:val="20"/>
                <w:lang w:val="en-US"/>
              </w:rPr>
              <w:t>Binary logistic regression analysis</w:t>
            </w:r>
            <w:r w:rsidR="008D7134">
              <w:rPr>
                <w:sz w:val="20"/>
                <w:szCs w:val="20"/>
                <w:lang w:val="en-US"/>
              </w:rPr>
              <w:t xml:space="preserve"> </w:t>
            </w:r>
            <w:r w:rsidRPr="00B44A62">
              <w:rPr>
                <w:i/>
                <w:sz w:val="20"/>
                <w:szCs w:val="20"/>
                <w:lang w:val="en-US"/>
              </w:rPr>
              <w:t>(to build model predicting food service style)</w:t>
            </w:r>
            <w:r w:rsidR="008D7134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B44A62">
              <w:rPr>
                <w:sz w:val="20"/>
                <w:szCs w:val="20"/>
                <w:lang w:val="en-US"/>
              </w:rPr>
              <w:t xml:space="preserve">Multinomial logistic regression </w:t>
            </w:r>
          </w:p>
          <w:p w:rsidR="00C35795" w:rsidRPr="00B44A62" w:rsidRDefault="00C35795" w:rsidP="008D6444">
            <w:pPr>
              <w:rPr>
                <w:sz w:val="20"/>
                <w:szCs w:val="20"/>
                <w:lang w:val="en-US"/>
              </w:rPr>
            </w:pPr>
            <w:r w:rsidRPr="00B44A62">
              <w:rPr>
                <w:i/>
                <w:sz w:val="20"/>
                <w:szCs w:val="20"/>
                <w:lang w:val="en-US"/>
              </w:rPr>
              <w:t>(to predict opinion for the assessment of each food attribute)</w:t>
            </w:r>
          </w:p>
          <w:p w:rsidR="00C35795" w:rsidRPr="00B44A62" w:rsidRDefault="00C35795" w:rsidP="004B43F7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 w:rsidRPr="00B44A62">
              <w:rPr>
                <w:sz w:val="20"/>
                <w:szCs w:val="20"/>
                <w:lang w:val="en-US"/>
              </w:rPr>
              <w:t>n=180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orthopaedic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wards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month period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 female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male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20-80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 of stay 1 day to 1 week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Pr="00B44A62" w:rsidRDefault="008D7134">
            <w:pPr>
              <w:rPr>
                <w:sz w:val="20"/>
                <w:szCs w:val="20"/>
                <w:lang w:val="en-US"/>
              </w:rPr>
            </w:pPr>
            <w:r w:rsidRPr="00B44A62">
              <w:rPr>
                <w:sz w:val="20"/>
                <w:szCs w:val="20"/>
                <w:lang w:val="en-US"/>
              </w:rPr>
              <w:t xml:space="preserve">NHS Hospital, </w:t>
            </w:r>
            <w:r>
              <w:rPr>
                <w:sz w:val="20"/>
                <w:szCs w:val="20"/>
                <w:lang w:val="en-US"/>
              </w:rPr>
              <w:t>UK where a plated system was in place, and a bulk trolley system to be introduced</w:t>
            </w:r>
          </w:p>
        </w:tc>
        <w:tc>
          <w:tcPr>
            <w:tcW w:w="3391" w:type="dxa"/>
          </w:tcPr>
          <w:p w:rsidR="00C35795" w:rsidRPr="00B44A62" w:rsidRDefault="00C35795">
            <w:pPr>
              <w:rPr>
                <w:sz w:val="20"/>
                <w:szCs w:val="20"/>
                <w:lang w:val="en-US"/>
              </w:rPr>
            </w:pPr>
            <w:r w:rsidRPr="00B44A62">
              <w:rPr>
                <w:sz w:val="20"/>
                <w:szCs w:val="20"/>
                <w:lang w:val="en-US"/>
              </w:rPr>
              <w:t>Bulk trolley enables food to have more acceptable texture, temperature and flavor then plate delivery system</w:t>
            </w:r>
          </w:p>
        </w:tc>
      </w:tr>
      <w:tr w:rsidR="00C35795" w:rsidRPr="00251AAC" w:rsidTr="00C35795">
        <w:tc>
          <w:tcPr>
            <w:tcW w:w="2268" w:type="dxa"/>
          </w:tcPr>
          <w:p w:rsidR="00C35795" w:rsidRPr="0012225E" w:rsidRDefault="00C35795" w:rsidP="00112C1B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2225E">
              <w:rPr>
                <w:b/>
                <w:sz w:val="20"/>
                <w:szCs w:val="20"/>
                <w:lang w:val="en-US"/>
              </w:rPr>
              <w:t>Paquet</w:t>
            </w:r>
            <w:proofErr w:type="spellEnd"/>
            <w:r w:rsidRPr="0012225E">
              <w:rPr>
                <w:b/>
                <w:sz w:val="20"/>
                <w:szCs w:val="20"/>
                <w:lang w:val="en-US"/>
              </w:rPr>
              <w:t xml:space="preserve"> et al. (2008)</w:t>
            </w: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Relationships between patients’ intake and the number of interpersonal exchanges with mealtime fellows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aagency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communication dimensions)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nature of behaviors expressed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(verbal/ non-verbal)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degree of </w:t>
            </w:r>
            <w:proofErr w:type="spellStart"/>
            <w:r>
              <w:rPr>
                <w:sz w:val="20"/>
                <w:szCs w:val="20"/>
                <w:lang w:val="en-US"/>
              </w:rPr>
              <w:t>complementarity</w:t>
            </w:r>
            <w:proofErr w:type="spellEnd"/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Food intake (visual estimation of portion, using 5-point Comstock scale)</w:t>
            </w:r>
          </w:p>
          <w:p w:rsidR="00C35795" w:rsidRPr="00D5093E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Meal duration </w:t>
            </w: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Observation on repeated mealtime occasions</w:t>
            </w:r>
          </w:p>
          <w:p w:rsidR="00C35795" w:rsidRDefault="00C35795" w:rsidP="005C32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Experience sampling methods or ecological momentary assessment techniques</w:t>
            </w:r>
          </w:p>
          <w:p w:rsidR="00C35795" w:rsidRDefault="00C35795" w:rsidP="005C32CD">
            <w:pPr>
              <w:rPr>
                <w:sz w:val="20"/>
                <w:szCs w:val="20"/>
                <w:lang w:val="en-US"/>
              </w:rPr>
            </w:pPr>
          </w:p>
          <w:p w:rsidR="00C35795" w:rsidRDefault="00C35795" w:rsidP="005C32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Multilevel regression analyses</w:t>
            </w:r>
          </w:p>
          <w:p w:rsidR="00C35795" w:rsidRDefault="00C35795" w:rsidP="005C32CD">
            <w:pPr>
              <w:rPr>
                <w:sz w:val="20"/>
                <w:szCs w:val="20"/>
                <w:lang w:val="en-US"/>
              </w:rPr>
            </w:pPr>
          </w:p>
          <w:p w:rsidR="00C35795" w:rsidRPr="00D5093E" w:rsidRDefault="00C35795" w:rsidP="005C32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Use of interpersonal </w:t>
            </w:r>
            <w:proofErr w:type="spellStart"/>
            <w:r>
              <w:rPr>
                <w:sz w:val="20"/>
                <w:szCs w:val="20"/>
                <w:lang w:val="en-US"/>
              </w:rPr>
              <w:t>circumplex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model in observation to evaluate how specific elements of the meal social environment contribute to the social facilitation</w:t>
            </w:r>
          </w:p>
        </w:tc>
        <w:tc>
          <w:tcPr>
            <w:tcW w:w="3390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n=1477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geriatric patients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female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male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age 78,8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Rehabilitation unit in geriatric facility, Canada</w:t>
            </w:r>
            <w:r w:rsidR="003E3A0D">
              <w:rPr>
                <w:sz w:val="20"/>
                <w:szCs w:val="20"/>
                <w:lang w:val="en-US"/>
              </w:rPr>
              <w:t>.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Meals consumed in common dining area with 24 diners</w:t>
            </w:r>
          </w:p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tables, eating in company of 2-3 fellow patients</w:t>
            </w:r>
          </w:p>
          <w:p w:rsidR="00C35795" w:rsidRPr="00D5093E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meals a day, every day until discharge (max 6 weeks)</w:t>
            </w:r>
          </w:p>
        </w:tc>
        <w:tc>
          <w:tcPr>
            <w:tcW w:w="3391" w:type="dxa"/>
          </w:tcPr>
          <w:p w:rsidR="00C35795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total amount of interaction between patients was positively related to intake</w:t>
            </w:r>
          </w:p>
          <w:p w:rsidR="00C35795" w:rsidRPr="00D5093E" w:rsidRDefault="00C35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effect was significant for both participants’ own behaviors and those to which they were exposed</w:t>
            </w:r>
          </w:p>
        </w:tc>
      </w:tr>
    </w:tbl>
    <w:p w:rsidR="002E4A2F" w:rsidRDefault="002E4A2F">
      <w:pPr>
        <w:rPr>
          <w:lang w:val="en-US"/>
        </w:rPr>
      </w:pPr>
    </w:p>
    <w:p w:rsidR="002E4A2F" w:rsidRPr="00E73EFB" w:rsidRDefault="002E4A2F">
      <w:pPr>
        <w:rPr>
          <w:lang w:val="en-US"/>
        </w:rPr>
      </w:pPr>
    </w:p>
    <w:sectPr w:rsidR="002E4A2F" w:rsidRPr="00E73EFB" w:rsidSect="00E73EF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3AD"/>
    <w:multiLevelType w:val="hybridMultilevel"/>
    <w:tmpl w:val="F99C7B60"/>
    <w:lvl w:ilvl="0" w:tplc="CB32C5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73EFB"/>
    <w:rsid w:val="00014910"/>
    <w:rsid w:val="00021899"/>
    <w:rsid w:val="0002415C"/>
    <w:rsid w:val="000509BC"/>
    <w:rsid w:val="0006591F"/>
    <w:rsid w:val="00072F8B"/>
    <w:rsid w:val="00086AAA"/>
    <w:rsid w:val="000A3ECF"/>
    <w:rsid w:val="000A5918"/>
    <w:rsid w:val="000C0147"/>
    <w:rsid w:val="00112C1B"/>
    <w:rsid w:val="00120C83"/>
    <w:rsid w:val="0012225E"/>
    <w:rsid w:val="00122C06"/>
    <w:rsid w:val="00130BCB"/>
    <w:rsid w:val="00131F29"/>
    <w:rsid w:val="00133212"/>
    <w:rsid w:val="00134921"/>
    <w:rsid w:val="00140985"/>
    <w:rsid w:val="00143C80"/>
    <w:rsid w:val="001575C5"/>
    <w:rsid w:val="00161535"/>
    <w:rsid w:val="00193944"/>
    <w:rsid w:val="001A056D"/>
    <w:rsid w:val="001A1EEF"/>
    <w:rsid w:val="001B0CE3"/>
    <w:rsid w:val="001B699C"/>
    <w:rsid w:val="001D0CEA"/>
    <w:rsid w:val="001E2802"/>
    <w:rsid w:val="001F2030"/>
    <w:rsid w:val="00204316"/>
    <w:rsid w:val="00207C4B"/>
    <w:rsid w:val="00222B71"/>
    <w:rsid w:val="00251AAC"/>
    <w:rsid w:val="00271888"/>
    <w:rsid w:val="00271ADB"/>
    <w:rsid w:val="00285A19"/>
    <w:rsid w:val="002944E6"/>
    <w:rsid w:val="002A1DB0"/>
    <w:rsid w:val="002D68E3"/>
    <w:rsid w:val="002E4A2F"/>
    <w:rsid w:val="002F223C"/>
    <w:rsid w:val="002F4CF4"/>
    <w:rsid w:val="003401D7"/>
    <w:rsid w:val="00341B8B"/>
    <w:rsid w:val="003872E1"/>
    <w:rsid w:val="003A3CB1"/>
    <w:rsid w:val="003D2E73"/>
    <w:rsid w:val="003E3A0D"/>
    <w:rsid w:val="003F3C99"/>
    <w:rsid w:val="0040584E"/>
    <w:rsid w:val="00411B5E"/>
    <w:rsid w:val="00412130"/>
    <w:rsid w:val="00434F11"/>
    <w:rsid w:val="004357C0"/>
    <w:rsid w:val="00437622"/>
    <w:rsid w:val="0044314D"/>
    <w:rsid w:val="00453DC2"/>
    <w:rsid w:val="0046125B"/>
    <w:rsid w:val="004704C6"/>
    <w:rsid w:val="004913C0"/>
    <w:rsid w:val="004A3D86"/>
    <w:rsid w:val="004A41AD"/>
    <w:rsid w:val="004B3BAC"/>
    <w:rsid w:val="004B43F7"/>
    <w:rsid w:val="004C6818"/>
    <w:rsid w:val="004D6574"/>
    <w:rsid w:val="004E753E"/>
    <w:rsid w:val="00514373"/>
    <w:rsid w:val="00514C0A"/>
    <w:rsid w:val="00522C51"/>
    <w:rsid w:val="00553C09"/>
    <w:rsid w:val="00555166"/>
    <w:rsid w:val="005553FC"/>
    <w:rsid w:val="005A0C32"/>
    <w:rsid w:val="005C32CD"/>
    <w:rsid w:val="005C5DB7"/>
    <w:rsid w:val="005E0EE8"/>
    <w:rsid w:val="005E2197"/>
    <w:rsid w:val="005E611C"/>
    <w:rsid w:val="005F0CBB"/>
    <w:rsid w:val="00610F62"/>
    <w:rsid w:val="006121A6"/>
    <w:rsid w:val="006211C0"/>
    <w:rsid w:val="0062473A"/>
    <w:rsid w:val="0063101D"/>
    <w:rsid w:val="0063182E"/>
    <w:rsid w:val="006536CA"/>
    <w:rsid w:val="00656615"/>
    <w:rsid w:val="00656EEC"/>
    <w:rsid w:val="00662731"/>
    <w:rsid w:val="00690050"/>
    <w:rsid w:val="0069040F"/>
    <w:rsid w:val="006C3E04"/>
    <w:rsid w:val="006D2004"/>
    <w:rsid w:val="006E0532"/>
    <w:rsid w:val="007174A1"/>
    <w:rsid w:val="00725913"/>
    <w:rsid w:val="007365BC"/>
    <w:rsid w:val="0074222B"/>
    <w:rsid w:val="00780F13"/>
    <w:rsid w:val="00782A30"/>
    <w:rsid w:val="00783DC0"/>
    <w:rsid w:val="00794E9A"/>
    <w:rsid w:val="007A2ABD"/>
    <w:rsid w:val="007C2C2C"/>
    <w:rsid w:val="007C3ABA"/>
    <w:rsid w:val="007C5EF1"/>
    <w:rsid w:val="007D404D"/>
    <w:rsid w:val="007F0D6E"/>
    <w:rsid w:val="0081102E"/>
    <w:rsid w:val="00817E20"/>
    <w:rsid w:val="00826B2A"/>
    <w:rsid w:val="00836870"/>
    <w:rsid w:val="008374D1"/>
    <w:rsid w:val="008446A7"/>
    <w:rsid w:val="00857296"/>
    <w:rsid w:val="00857FA1"/>
    <w:rsid w:val="0086406B"/>
    <w:rsid w:val="008647D5"/>
    <w:rsid w:val="008801B3"/>
    <w:rsid w:val="008846A1"/>
    <w:rsid w:val="00886667"/>
    <w:rsid w:val="008872F0"/>
    <w:rsid w:val="008B373B"/>
    <w:rsid w:val="008D6444"/>
    <w:rsid w:val="008D7134"/>
    <w:rsid w:val="009077A7"/>
    <w:rsid w:val="00907AF4"/>
    <w:rsid w:val="0093076F"/>
    <w:rsid w:val="00933B28"/>
    <w:rsid w:val="009463FB"/>
    <w:rsid w:val="009467E0"/>
    <w:rsid w:val="0095792F"/>
    <w:rsid w:val="0096621D"/>
    <w:rsid w:val="009760B6"/>
    <w:rsid w:val="009815CA"/>
    <w:rsid w:val="009A7460"/>
    <w:rsid w:val="009D093D"/>
    <w:rsid w:val="009E5EE7"/>
    <w:rsid w:val="009F53B1"/>
    <w:rsid w:val="00A16EE0"/>
    <w:rsid w:val="00A43DA6"/>
    <w:rsid w:val="00A47471"/>
    <w:rsid w:val="00A56E97"/>
    <w:rsid w:val="00A60170"/>
    <w:rsid w:val="00A60CAC"/>
    <w:rsid w:val="00A747C6"/>
    <w:rsid w:val="00A951A9"/>
    <w:rsid w:val="00AC6F89"/>
    <w:rsid w:val="00AD5D02"/>
    <w:rsid w:val="00AF5A5D"/>
    <w:rsid w:val="00AF73B4"/>
    <w:rsid w:val="00B418BE"/>
    <w:rsid w:val="00B44A62"/>
    <w:rsid w:val="00B65EA8"/>
    <w:rsid w:val="00B72CE0"/>
    <w:rsid w:val="00B842C5"/>
    <w:rsid w:val="00B901D7"/>
    <w:rsid w:val="00BC70F4"/>
    <w:rsid w:val="00BD12E8"/>
    <w:rsid w:val="00BE2DFF"/>
    <w:rsid w:val="00BF318B"/>
    <w:rsid w:val="00C050CC"/>
    <w:rsid w:val="00C33BE2"/>
    <w:rsid w:val="00C35795"/>
    <w:rsid w:val="00C438DA"/>
    <w:rsid w:val="00C63103"/>
    <w:rsid w:val="00C8333B"/>
    <w:rsid w:val="00C84288"/>
    <w:rsid w:val="00C90889"/>
    <w:rsid w:val="00CA708F"/>
    <w:rsid w:val="00CB0E03"/>
    <w:rsid w:val="00CC0EB0"/>
    <w:rsid w:val="00CF4414"/>
    <w:rsid w:val="00D071F5"/>
    <w:rsid w:val="00D1242E"/>
    <w:rsid w:val="00D1290D"/>
    <w:rsid w:val="00D17093"/>
    <w:rsid w:val="00D41FEA"/>
    <w:rsid w:val="00D466A8"/>
    <w:rsid w:val="00D46A18"/>
    <w:rsid w:val="00D5093E"/>
    <w:rsid w:val="00D6422C"/>
    <w:rsid w:val="00D876F1"/>
    <w:rsid w:val="00D90FED"/>
    <w:rsid w:val="00DA4941"/>
    <w:rsid w:val="00DD3BC2"/>
    <w:rsid w:val="00DE4D59"/>
    <w:rsid w:val="00DF4D0C"/>
    <w:rsid w:val="00DF7340"/>
    <w:rsid w:val="00E25299"/>
    <w:rsid w:val="00E25513"/>
    <w:rsid w:val="00E34223"/>
    <w:rsid w:val="00E73EFB"/>
    <w:rsid w:val="00EA6AB3"/>
    <w:rsid w:val="00EC0938"/>
    <w:rsid w:val="00EF2036"/>
    <w:rsid w:val="00F06A08"/>
    <w:rsid w:val="00F16544"/>
    <w:rsid w:val="00F2520D"/>
    <w:rsid w:val="00F37724"/>
    <w:rsid w:val="00F417DA"/>
    <w:rsid w:val="00F50C41"/>
    <w:rsid w:val="00F50D98"/>
    <w:rsid w:val="00F515FA"/>
    <w:rsid w:val="00F87A24"/>
    <w:rsid w:val="00F94E74"/>
    <w:rsid w:val="00F976C7"/>
    <w:rsid w:val="00FA15F2"/>
    <w:rsid w:val="00FB0420"/>
    <w:rsid w:val="00FB36CC"/>
    <w:rsid w:val="00FE1D39"/>
    <w:rsid w:val="00FE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4A2F"/>
    <w:rPr>
      <w:b/>
      <w:bCs/>
    </w:rPr>
  </w:style>
  <w:style w:type="character" w:styleId="Emphasis">
    <w:name w:val="Emphasis"/>
    <w:basedOn w:val="DefaultParagraphFont"/>
    <w:uiPriority w:val="20"/>
    <w:qFormat/>
    <w:rsid w:val="002E4A2F"/>
    <w:rPr>
      <w:i/>
      <w:iCs/>
    </w:rPr>
  </w:style>
  <w:style w:type="paragraph" w:styleId="ListParagraph">
    <w:name w:val="List Paragraph"/>
    <w:basedOn w:val="Normal"/>
    <w:uiPriority w:val="34"/>
    <w:qFormat/>
    <w:rsid w:val="00F1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536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E8E8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Arkitektur &amp; Design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tdol</dc:creator>
  <cp:lastModifiedBy>tdol</cp:lastModifiedBy>
  <cp:revision>2</cp:revision>
  <dcterms:created xsi:type="dcterms:W3CDTF">2010-09-24T09:50:00Z</dcterms:created>
  <dcterms:modified xsi:type="dcterms:W3CDTF">2010-09-24T09:50:00Z</dcterms:modified>
</cp:coreProperties>
</file>