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b/>
          <w:bCs/>
          <w:spacing w:val="-3"/>
        </w:rPr>
        <w:t>ARBEJDSMARKEDSUD</w:t>
      </w:r>
      <w:r>
        <w:rPr>
          <w:b/>
          <w:bCs/>
          <w:spacing w:val="-3"/>
        </w:rPr>
        <w:softHyphen/>
        <w:t>DANNELSE FOR KVINDER</w:t>
      </w:r>
      <w:r>
        <w:rPr>
          <w:spacing w:val="-3"/>
        </w:rPr>
        <w:fldChar w:fldCharType="begin"/>
      </w:r>
      <w:r>
        <w:rPr>
          <w:spacing w:val="-3"/>
        </w:rPr>
        <w:instrText xml:space="preserve">PRIVATE </w:instrText>
      </w:r>
      <w:r>
        <w:rPr>
          <w:spacing w:val="-3"/>
        </w:rPr>
      </w:r>
      <w:r>
        <w:rPr>
          <w:spacing w:val="-3"/>
        </w:rPr>
        <w:fldChar w:fldCharType="end"/>
      </w:r>
    </w:p>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40" w:lineRule="atLeast"/>
        <w:jc w:val="both"/>
        <w:rPr>
          <w:spacing w:val="-3"/>
        </w:rPr>
      </w:pPr>
      <w:r>
        <w:rPr>
          <w:spacing w:val="-3"/>
        </w:rPr>
        <w:t xml:space="preserve">Henning Salling Olesen &amp; Anette Ramsøe: </w:t>
      </w:r>
      <w:r>
        <w:rPr>
          <w:b/>
          <w:bCs/>
          <w:spacing w:val="-3"/>
        </w:rPr>
        <w:t>Hvad der er godt for kvinder er godt for AMU</w:t>
      </w:r>
      <w:r>
        <w:rPr>
          <w:spacing w:val="-3"/>
        </w:rPr>
        <w:t>. Erhvervs- og Voksenuddannel</w:t>
      </w:r>
      <w:r>
        <w:rPr>
          <w:spacing w:val="-3"/>
        </w:rPr>
        <w:softHyphen/>
        <w:t>sesgruppen, Roskilde Universitets</w:t>
      </w:r>
      <w:r>
        <w:rPr>
          <w:spacing w:val="-3"/>
        </w:rPr>
        <w:softHyphen/>
        <w:t>center 1991 (231 sider).</w:t>
      </w:r>
    </w:p>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240" w:lineRule="atLeast"/>
        <w:jc w:val="both"/>
        <w:rPr>
          <w:spacing w:val="-3"/>
        </w:rPr>
      </w:pPr>
    </w:p>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after="120" w:line="240" w:lineRule="atLeast"/>
        <w:jc w:val="both"/>
        <w:rPr>
          <w:spacing w:val="-3"/>
        </w:rPr>
      </w:pPr>
      <w:r>
        <w:rPr>
          <w:spacing w:val="-3"/>
        </w:rPr>
        <w:t xml:space="preserve">Kirsten Larsen, Henning Salling Olesen &amp; Anette Ramsøe: </w:t>
      </w:r>
      <w:r>
        <w:rPr>
          <w:b/>
          <w:bCs/>
          <w:spacing w:val="-3"/>
        </w:rPr>
        <w:t>Een uddannelse - tre historier</w:t>
      </w:r>
      <w:r>
        <w:rPr>
          <w:spacing w:val="-3"/>
        </w:rPr>
        <w:t>. Erhvervs- og voksenuddannelses</w:t>
      </w:r>
      <w:r>
        <w:rPr>
          <w:spacing w:val="-3"/>
        </w:rPr>
        <w:softHyphen/>
        <w:t xml:space="preserve">gruppen, Roskilde Universitetscenter 1992 (116 sider). </w:t>
      </w:r>
    </w:p>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i/>
          <w:iCs/>
          <w:spacing w:val="-3"/>
        </w:rPr>
      </w:pPr>
      <w:r>
        <w:rPr>
          <w:i/>
          <w:iCs/>
          <w:spacing w:val="-3"/>
        </w:rPr>
        <w:t>Anmeldt af Palle Rasmussen</w:t>
      </w:r>
      <w:bookmarkStart w:id="0" w:name="_GoBack"/>
      <w:bookmarkEnd w:id="0"/>
    </w:p>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p>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P47 - det lyder som et fly eller et maskingevær, men det er faktisk betegnelsen for en et-årig arbejdsmarkedsuddannelse for ledige kvinder. Uddannelsen blev gennemført som forsøg i perioden 1988-1991, og Arbejdsmarkedsstyrelsen satte forskere fra Erhvervs- og Voksenuddannelsesgruppen ved Roskilde Universitets</w:t>
      </w:r>
      <w:r>
        <w:rPr>
          <w:spacing w:val="-3"/>
        </w:rPr>
        <w:softHyphen/>
        <w:t xml:space="preserve">center til at evaluere den. </w:t>
      </w:r>
    </w:p>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Hovedrapporten har fået titlen "Hvad der er godt for kvinder er godt for AMU". Det hentyder til, at P47-uddannelsen, bl.a. i kraft af kvindeperspektivet, har medvirket til en positiv fornyelse i arbejdsmarkedsuddannelsessystemet. Men rapporten dokumenterer klart, at uddannelsen også har været til gavn for målgruppen af arbejdsløse kvinder. En hel del har fået job, mange har fået nye og bedre (erhvervs)</w:t>
      </w:r>
      <w:r>
        <w:rPr>
          <w:spacing w:val="-3"/>
        </w:rPr>
        <w:softHyphen/>
        <w:t>faglige kvalifi</w:t>
      </w:r>
      <w:r>
        <w:rPr>
          <w:spacing w:val="-3"/>
        </w:rPr>
        <w:softHyphen/>
        <w:t xml:space="preserve">kationer; og ikke mindst har mange fået styrket deres personlige kvalifikationer, både i forhold til arbejdsmarkedet og i forhold til andre sider af livet. </w:t>
      </w:r>
    </w:p>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Når uddannelse bruges som arbejdsmarkedsforanstaltning vil kursisternes senere beskæftigelsessituation som regel være et succeskri</w:t>
      </w:r>
      <w:r>
        <w:rPr>
          <w:spacing w:val="-3"/>
        </w:rPr>
        <w:softHyphen/>
        <w:t>terium. Rapporten kortlægger da også deltager</w:t>
      </w:r>
      <w:r>
        <w:rPr>
          <w:spacing w:val="-3"/>
        </w:rPr>
        <w:softHyphen/>
        <w:t>nes arbejds</w:t>
      </w:r>
      <w:r>
        <w:rPr>
          <w:spacing w:val="-3"/>
        </w:rPr>
        <w:softHyphen/>
        <w:t>markeds</w:t>
      </w:r>
      <w:r>
        <w:rPr>
          <w:spacing w:val="-3"/>
        </w:rPr>
        <w:softHyphen/>
        <w:t>karriere i det første halve år efter afslutningen af uddannelsen, og konklu</w:t>
      </w:r>
      <w:r>
        <w:rPr>
          <w:spacing w:val="-3"/>
        </w:rPr>
        <w:softHyphen/>
        <w:t>derer at ca. halvdelen har fået "seriøs beskæftigelse". Det er en stor andel, sammenlignet med andre uddannelsesforanstaltninger. Men spørgsmålet er om det er en relevant sammenligning; deltagerne i P47-uddannelsen har nok generelt haft bedre forudsætninger end f.eks. deltagere i UTB-forløb. Vurderingen af "beskæftigelseseffekten" må bygge på et begrundet skøn (eventuelt via undersøgelse af en kontrolgrup</w:t>
      </w:r>
      <w:r>
        <w:rPr>
          <w:spacing w:val="-3"/>
        </w:rPr>
        <w:softHyphen/>
        <w:t xml:space="preserve">pe) </w:t>
      </w:r>
      <w:r>
        <w:rPr>
          <w:spacing w:val="-3"/>
        </w:rPr>
        <w:lastRenderedPageBreak/>
        <w:t>over målgruppens mulighed for at komme i beskæf</w:t>
      </w:r>
      <w:r>
        <w:rPr>
          <w:spacing w:val="-3"/>
        </w:rPr>
        <w:softHyphen/>
        <w:t xml:space="preserve">tigelse </w:t>
      </w:r>
      <w:r>
        <w:rPr>
          <w:b/>
          <w:bCs/>
          <w:spacing w:val="-3"/>
        </w:rPr>
        <w:t>uden</w:t>
      </w:r>
      <w:r>
        <w:rPr>
          <w:spacing w:val="-3"/>
        </w:rPr>
        <w:t xml:space="preserve"> ud</w:t>
      </w:r>
      <w:r>
        <w:rPr>
          <w:spacing w:val="-3"/>
        </w:rPr>
        <w:softHyphen/>
        <w:t xml:space="preserve">dannelsen. Det savner jeg i denne rapport. </w:t>
      </w:r>
    </w:p>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Det er en spændende side af undersøgelsen, at den ikke kun belyser hvordan uddannelsen ændrer deltagernes situation, men også hvordan P47-forsøget og dets deltagere påvirker uddannelser</w:t>
      </w:r>
      <w:r>
        <w:rPr>
          <w:spacing w:val="-3"/>
        </w:rPr>
        <w:softHyphen/>
        <w:t>ne. Den over</w:t>
      </w:r>
      <w:r>
        <w:rPr>
          <w:spacing w:val="-3"/>
        </w:rPr>
        <w:softHyphen/>
        <w:t>leverede organi</w:t>
      </w:r>
      <w:r>
        <w:rPr>
          <w:spacing w:val="-3"/>
        </w:rPr>
        <w:softHyphen/>
        <w:t>sation</w:t>
      </w:r>
      <w:r>
        <w:rPr>
          <w:spacing w:val="-3"/>
        </w:rPr>
        <w:softHyphen/>
        <w:t>skultur i AMU-systemet bygger først og frem</w:t>
      </w:r>
      <w:r>
        <w:rPr>
          <w:spacing w:val="-3"/>
        </w:rPr>
        <w:softHyphen/>
        <w:t>mest på plankurserne, hvor den enkelte faglærer gennemfører rela</w:t>
      </w:r>
      <w:r>
        <w:rPr>
          <w:spacing w:val="-3"/>
        </w:rPr>
        <w:softHyphen/>
        <w:t>tivt korte kursusforløb med et afgrænset fagligt indhold knyttet til bestemte brancher. P47-forsøget har stillet denne kultur over for adskillige udfordringer: Lærersam</w:t>
      </w:r>
      <w:r>
        <w:rPr>
          <w:spacing w:val="-3"/>
        </w:rPr>
        <w:softHyphen/>
        <w:t>arbejde, tilrettelæggelse af længerevarende forløb, projektar</w:t>
      </w:r>
      <w:r>
        <w:rPr>
          <w:spacing w:val="-3"/>
        </w:rPr>
        <w:softHyphen/>
        <w:t>bejde, udvikling af et beskrivelsessystem for sammenfletningen af fagligt, alment og personligt uddannelsesind</w:t>
      </w:r>
      <w:r>
        <w:rPr>
          <w:spacing w:val="-3"/>
        </w:rPr>
        <w:softHyphen/>
        <w:t>hold. Samt ikke mindst arbejdet med rene kvindehold som en bevidst pædagogisk model (og altså ikke kun en "tilfældig" afspejling af kvindebran</w:t>
      </w:r>
      <w:r>
        <w:rPr>
          <w:spacing w:val="-3"/>
        </w:rPr>
        <w:softHyphen/>
        <w:t>cher). Diskussionen af P47-forsøget som organisationsudvikling er dog nok den svageste del af hovedrapporten. Det skyldes måske at de em</w:t>
      </w:r>
      <w:r>
        <w:rPr>
          <w:spacing w:val="-3"/>
        </w:rPr>
        <w:softHyphen/>
        <w:t>piriske undersøgelser ikke fra starten har været rettet mod denne problematik. I hvert fald er der ikke meget dokumenta</w:t>
      </w:r>
      <w:r>
        <w:rPr>
          <w:spacing w:val="-3"/>
        </w:rPr>
        <w:softHyphen/>
        <w:t xml:space="preserve">tion og kun få eksempler i disse afsnit. </w:t>
      </w:r>
    </w:p>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Rapporten "Een uddannelse - tre historier" tegner et mere uddybet billede af sammenhængene mellem uddannelse, arbejde og livssitua</w:t>
      </w:r>
      <w:r>
        <w:rPr>
          <w:spacing w:val="-3"/>
        </w:rPr>
        <w:softHyphen/>
        <w:t>tion hos tre kursister, på grundlag af et omfattende interview</w:t>
      </w:r>
      <w:r>
        <w:rPr>
          <w:spacing w:val="-3"/>
        </w:rPr>
        <w:softHyphen/>
        <w:t>materiale. Portrætterne af de tre kvinder giver "kød og blod" til det billede af kursist</w:t>
      </w:r>
      <w:r>
        <w:rPr>
          <w:spacing w:val="-3"/>
        </w:rPr>
        <w:softHyphen/>
        <w:t>erne, som tegnes i hoved</w:t>
      </w:r>
      <w:r>
        <w:rPr>
          <w:spacing w:val="-3"/>
        </w:rPr>
        <w:softHyphen/>
        <w:t>rapporten. Dog ikke kun kursisternes kød og blod, men også forskernes. Selv om interview</w:t>
      </w:r>
      <w:r>
        <w:rPr>
          <w:spacing w:val="-3"/>
        </w:rPr>
        <w:softHyphen/>
        <w:t>materialet fremlæg</w:t>
      </w:r>
      <w:r>
        <w:rPr>
          <w:spacing w:val="-3"/>
        </w:rPr>
        <w:softHyphen/>
        <w:t>ges og kommenteres nuanceret, er der også formuleringer som illustrerer, hvor vanskeligt det er at tolke andre menneskers situation. Som f.eks. når kursisten selv helst ville have gået på et hold med både mænd og kvinder, mens forskerne mener, at det alligevel har været bedst for hende at gå på et rent kvindehold (s 76). Under alle omstændigheder giver de "tre historier" yderligere belæg for en række af hovedrap</w:t>
      </w:r>
      <w:r>
        <w:rPr>
          <w:spacing w:val="-3"/>
        </w:rPr>
        <w:softHyphen/>
        <w:t xml:space="preserve">portens pædagogiske og organisatoriske anbefalinger. </w:t>
      </w:r>
    </w:p>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spacing w:val="-3"/>
        </w:rPr>
      </w:pPr>
      <w:r>
        <w:rPr>
          <w:spacing w:val="-3"/>
        </w:rPr>
        <w:t xml:space="preserve">Generelt er rapporterne god evalueringsforskning: Der er indsamlet et omfattende materiale, som analyseres og fremlægges </w:t>
      </w:r>
      <w:r>
        <w:rPr>
          <w:spacing w:val="-3"/>
        </w:rPr>
        <w:lastRenderedPageBreak/>
        <w:t>præcist og reflekteret. Forskerne har tydeligvis en grundig indsigt i arbejdsmarkeds- og uddan</w:t>
      </w:r>
      <w:r>
        <w:rPr>
          <w:spacing w:val="-3"/>
        </w:rPr>
        <w:softHyphen/>
        <w:t>nelsesområdet, og kan derfor indplacere P47-uddannelsen i det samlede billede. Der er taget hensyn til rekvirentens vidensbehov, men også til mere generelle behov for ny viden og metodeudvikling. Og forskerne er tydeligvis enga</w:t>
      </w:r>
      <w:r>
        <w:rPr>
          <w:spacing w:val="-3"/>
        </w:rPr>
        <w:softHyphen/>
        <w:t>gerede i P47-kursisterne og deres situation, men fastholder sam</w:t>
      </w:r>
      <w:r>
        <w:rPr>
          <w:spacing w:val="-3"/>
        </w:rPr>
        <w:softHyphen/>
        <w:t xml:space="preserve">tidig en nøgternhed i vurderingen af kursisternes udbytte og fremtidige muligheder. </w:t>
      </w:r>
    </w:p>
    <w:sectPr w:rsidR="005D6D69" w:rsidSect="005D6D69">
      <w:footerReference w:type="default" r:id="rId7"/>
      <w:pgSz w:w="11906" w:h="16838"/>
      <w:pgMar w:top="1417" w:right="1440" w:bottom="1417" w:left="1440" w:header="1417" w:footer="141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090" w:rsidRDefault="00375090">
      <w:pPr>
        <w:spacing w:line="20" w:lineRule="exact"/>
        <w:rPr>
          <w:rFonts w:cstheme="minorBidi"/>
        </w:rPr>
      </w:pPr>
    </w:p>
  </w:endnote>
  <w:endnote w:type="continuationSeparator" w:id="0">
    <w:p w:rsidR="00375090" w:rsidRDefault="00375090" w:rsidP="005D6D69">
      <w:r>
        <w:rPr>
          <w:rFonts w:cstheme="minorBidi"/>
        </w:rPr>
        <w:t xml:space="preserve"> </w:t>
      </w:r>
    </w:p>
  </w:endnote>
  <w:endnote w:type="continuationNotice" w:id="1">
    <w:p w:rsidR="00375090" w:rsidRDefault="00375090" w:rsidP="005D6D69">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69" w:rsidRDefault="005D6D69">
    <w:pPr>
      <w:spacing w:before="140" w:line="100" w:lineRule="exact"/>
      <w:rPr>
        <w:rFonts w:cstheme="minorBidi"/>
        <w:sz w:val="10"/>
        <w:szCs w:val="10"/>
      </w:rPr>
    </w:pPr>
  </w:p>
  <w:p w:rsidR="005D6D69" w:rsidRDefault="005D6D69">
    <w:pPr>
      <w:tabs>
        <w:tab w:val="left" w:pos="0"/>
        <w:tab w:val="left" w:pos="851"/>
        <w:tab w:val="left" w:pos="1701"/>
        <w:tab w:val="left" w:pos="2552"/>
        <w:tab w:val="left" w:pos="3403"/>
        <w:tab w:val="left" w:pos="4254"/>
        <w:tab w:val="left" w:pos="5105"/>
        <w:tab w:val="left" w:pos="5955"/>
        <w:tab w:val="left" w:pos="6806"/>
        <w:tab w:val="left" w:pos="7657"/>
        <w:tab w:val="left" w:pos="8508"/>
      </w:tabs>
      <w:spacing w:line="360" w:lineRule="atLeast"/>
      <w:jc w:val="both"/>
      <w:rPr>
        <w:rFonts w:cstheme="minorBidi"/>
      </w:rPr>
    </w:pPr>
  </w:p>
  <w:p w:rsidR="005D6D69" w:rsidRDefault="00C302F6" w:rsidP="005D6D69">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7315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D6D69" w:rsidRDefault="005D6D69">
                          <w:pPr>
                            <w:tabs>
                              <w:tab w:val="center" w:pos="4513"/>
                              <w:tab w:val="right" w:pos="9026"/>
                            </w:tabs>
                            <w:rPr>
                              <w:b/>
                              <w:bCs/>
                              <w:spacing w:val="-3"/>
                            </w:rPr>
                          </w:pPr>
                          <w:r>
                            <w:rPr>
                              <w:rFonts w:cstheme="minorBidi"/>
                            </w:rPr>
                            <w:tab/>
                          </w:r>
                          <w:r>
                            <w:rPr>
                              <w:b/>
                              <w:bCs/>
                              <w:spacing w:val="-3"/>
                            </w:rPr>
                            <w:fldChar w:fldCharType="begin"/>
                          </w:r>
                          <w:r>
                            <w:rPr>
                              <w:b/>
                              <w:bCs/>
                              <w:spacing w:val="-3"/>
                            </w:rPr>
                            <w:instrText>page \* arabic</w:instrText>
                          </w:r>
                          <w:r>
                            <w:rPr>
                              <w:b/>
                              <w:bCs/>
                              <w:spacing w:val="-3"/>
                            </w:rPr>
                            <w:fldChar w:fldCharType="separate"/>
                          </w:r>
                          <w:r w:rsidR="00C302F6">
                            <w:rPr>
                              <w:b/>
                              <w:bCs/>
                              <w:noProof/>
                              <w:spacing w:val="-3"/>
                            </w:rPr>
                            <w:t>2</w:t>
                          </w:r>
                          <w:r>
                            <w:rPr>
                              <w:b/>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51.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" o:allowincell="f" filled="f" stroked="f" strokeweight="0">
              <v:textbox inset="0,0,0,0">
                <w:txbxContent>
                  <w:p w:rsidR="005D6D69" w:rsidRDefault="005D6D69">
                    <w:pPr>
                      <w:tabs>
                        <w:tab w:val="center" w:pos="4513"/>
                        <w:tab w:val="right" w:pos="9026"/>
                      </w:tabs>
                      <w:rPr>
                        <w:b/>
                        <w:bCs/>
                        <w:spacing w:val="-3"/>
                      </w:rPr>
                    </w:pPr>
                    <w:r>
                      <w:rPr>
                        <w:rFonts w:cstheme="minorBidi"/>
                      </w:rPr>
                      <w:tab/>
                    </w:r>
                    <w:r>
                      <w:rPr>
                        <w:b/>
                        <w:bCs/>
                        <w:spacing w:val="-3"/>
                      </w:rPr>
                      <w:fldChar w:fldCharType="begin"/>
                    </w:r>
                    <w:r>
                      <w:rPr>
                        <w:b/>
                        <w:bCs/>
                        <w:spacing w:val="-3"/>
                      </w:rPr>
                      <w:instrText>page \* arabic</w:instrText>
                    </w:r>
                    <w:r>
                      <w:rPr>
                        <w:b/>
                        <w:bCs/>
                        <w:spacing w:val="-3"/>
                      </w:rPr>
                      <w:fldChar w:fldCharType="separate"/>
                    </w:r>
                    <w:r w:rsidR="00C302F6">
                      <w:rPr>
                        <w:b/>
                        <w:bCs/>
                        <w:noProof/>
                        <w:spacing w:val="-3"/>
                      </w:rPr>
                      <w:t>2</w:t>
                    </w:r>
                    <w:r>
                      <w:rPr>
                        <w:b/>
                        <w:bCs/>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090" w:rsidRDefault="00375090" w:rsidP="005D6D69">
      <w:r>
        <w:rPr>
          <w:rFonts w:cstheme="minorBidi"/>
        </w:rPr>
        <w:separator/>
      </w:r>
    </w:p>
  </w:footnote>
  <w:footnote w:type="continuationSeparator" w:id="0">
    <w:p w:rsidR="00375090" w:rsidRDefault="00375090" w:rsidP="005D6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69"/>
    <w:rsid w:val="00375090"/>
    <w:rsid w:val="005D6D69"/>
    <w:rsid w:val="00C302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B1F949E-C859-4BBA-BE7F-697772F8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Standardskrifttypeiafsnit">
    <w:name w:val="Default Paragraph Font"/>
    <w:uiPriority w:val="99"/>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Normal"/>
    <w:link w:val="SlutnotetekstTegn"/>
    <w:uiPriority w:val="99"/>
    <w:rPr>
      <w:rFonts w:cstheme="minorBidi"/>
    </w:rPr>
  </w:style>
  <w:style w:type="character" w:customStyle="1" w:styleId="SlutnotetekstTegn">
    <w:name w:val="Slutnotetekst Tegn"/>
    <w:basedOn w:val="Standardskrifttypeiafsnit"/>
    <w:link w:val="Slutnotetekst"/>
    <w:uiPriority w:val="99"/>
    <w:semiHidden/>
    <w:rsid w:val="005D6D69"/>
    <w:rPr>
      <w:rFonts w:ascii="Courier" w:hAnsi="Courier" w:cs="Courier"/>
      <w:sz w:val="20"/>
      <w:szCs w:val="20"/>
    </w:rPr>
  </w:style>
  <w:style w:type="character" w:styleId="Slutnotehenvisning">
    <w:name w:val="endnote reference"/>
    <w:basedOn w:val="Standardskrifttypeiafsnit"/>
    <w:uiPriority w:val="99"/>
    <w:rPr>
      <w:vertAlign w:val="superscript"/>
    </w:rPr>
  </w:style>
  <w:style w:type="paragraph" w:styleId="Fodnotetekst">
    <w:name w:val="footnote text"/>
    <w:basedOn w:val="Normal"/>
    <w:link w:val="FodnotetekstTegn"/>
    <w:uiPriority w:val="99"/>
    <w:rPr>
      <w:rFonts w:cstheme="minorBidi"/>
    </w:rPr>
  </w:style>
  <w:style w:type="character" w:customStyle="1" w:styleId="FodnotetekstTegn">
    <w:name w:val="Fodnotetekst Tegn"/>
    <w:basedOn w:val="Standardskrifttypeiafsnit"/>
    <w:link w:val="Fodnotetekst"/>
    <w:uiPriority w:val="99"/>
    <w:semiHidden/>
    <w:rsid w:val="005D6D69"/>
    <w:rPr>
      <w:rFonts w:ascii="Courier" w:hAnsi="Courier" w:cs="Courier"/>
      <w:sz w:val="20"/>
      <w:szCs w:val="20"/>
    </w:rPr>
  </w:style>
  <w:style w:type="character" w:styleId="Fodnotehenvisning">
    <w:name w:val="footnote reference"/>
    <w:basedOn w:val="Standardskrifttypeiafsnit"/>
    <w:uiPriority w:val="99"/>
    <w:rPr>
      <w:vertAlign w:val="superscript"/>
    </w:rPr>
  </w:style>
  <w:style w:type="paragraph" w:styleId="Indholdsfortegnelse1">
    <w:name w:val="toc 1"/>
    <w:basedOn w:val="Normal"/>
    <w:next w:val="Normal"/>
    <w:uiPriority w:val="99"/>
    <w:pPr>
      <w:tabs>
        <w:tab w:val="right" w:leader="dot" w:pos="9360"/>
      </w:tabs>
      <w:suppressAutoHyphens/>
      <w:spacing w:before="480" w:line="240" w:lineRule="atLeast"/>
      <w:ind w:left="720" w:right="720" w:hanging="720"/>
    </w:pPr>
    <w:rPr>
      <w:lang w:val="en-US"/>
    </w:rPr>
  </w:style>
  <w:style w:type="paragraph" w:styleId="Indholdsfortegnelse2">
    <w:name w:val="toc 2"/>
    <w:basedOn w:val="Normal"/>
    <w:next w:val="Normal"/>
    <w:uiPriority w:val="99"/>
    <w:pPr>
      <w:tabs>
        <w:tab w:val="right" w:leader="dot" w:pos="9360"/>
      </w:tabs>
      <w:suppressAutoHyphens/>
      <w:spacing w:line="240" w:lineRule="atLeast"/>
      <w:ind w:left="720" w:right="720"/>
    </w:pPr>
    <w:rPr>
      <w:lang w:val="en-US"/>
    </w:rPr>
  </w:style>
  <w:style w:type="paragraph" w:styleId="Indholdsfortegnelse3">
    <w:name w:val="toc 3"/>
    <w:basedOn w:val="Normal"/>
    <w:next w:val="Normal"/>
    <w:uiPriority w:val="99"/>
    <w:pPr>
      <w:tabs>
        <w:tab w:val="right" w:leader="dot" w:pos="9360"/>
      </w:tabs>
      <w:suppressAutoHyphens/>
      <w:spacing w:line="240" w:lineRule="atLeast"/>
      <w:ind w:left="720" w:right="720"/>
    </w:pPr>
    <w:rPr>
      <w:lang w:val="en-US"/>
    </w:rPr>
  </w:style>
  <w:style w:type="paragraph" w:styleId="Indholdsfortegnelse4">
    <w:name w:val="toc 4"/>
    <w:basedOn w:val="Normal"/>
    <w:next w:val="Normal"/>
    <w:uiPriority w:val="99"/>
    <w:pPr>
      <w:tabs>
        <w:tab w:val="right" w:leader="dot" w:pos="9360"/>
      </w:tabs>
      <w:suppressAutoHyphens/>
      <w:spacing w:line="240" w:lineRule="atLeast"/>
      <w:ind w:left="720" w:right="720"/>
    </w:pPr>
    <w:rPr>
      <w:lang w:val="en-US"/>
    </w:rPr>
  </w:style>
  <w:style w:type="paragraph" w:styleId="Indholdsfortegnelse5">
    <w:name w:val="toc 5"/>
    <w:basedOn w:val="Normal"/>
    <w:next w:val="Normal"/>
    <w:uiPriority w:val="99"/>
    <w:pPr>
      <w:tabs>
        <w:tab w:val="right" w:leader="dot" w:pos="9360"/>
      </w:tabs>
      <w:suppressAutoHyphens/>
      <w:spacing w:line="240" w:lineRule="atLeast"/>
      <w:ind w:left="720" w:right="720"/>
    </w:pPr>
    <w:rPr>
      <w:lang w:val="en-US"/>
    </w:rPr>
  </w:style>
  <w:style w:type="paragraph" w:styleId="Indholdsfortegnelse6">
    <w:name w:val="toc 6"/>
    <w:basedOn w:val="Normal"/>
    <w:next w:val="Normal"/>
    <w:uiPriority w:val="99"/>
    <w:pPr>
      <w:tabs>
        <w:tab w:val="right" w:pos="9360"/>
      </w:tabs>
      <w:suppressAutoHyphens/>
      <w:spacing w:line="240" w:lineRule="atLeast"/>
      <w:ind w:left="720" w:hanging="720"/>
    </w:pPr>
    <w:rPr>
      <w:lang w:val="en-US"/>
    </w:rPr>
  </w:style>
  <w:style w:type="paragraph" w:styleId="Indholdsfortegnelse7">
    <w:name w:val="toc 7"/>
    <w:basedOn w:val="Normal"/>
    <w:next w:val="Normal"/>
    <w:uiPriority w:val="99"/>
    <w:pPr>
      <w:suppressAutoHyphens/>
      <w:spacing w:line="240" w:lineRule="atLeast"/>
      <w:ind w:left="720" w:hanging="720"/>
    </w:pPr>
    <w:rPr>
      <w:lang w:val="en-US"/>
    </w:rPr>
  </w:style>
  <w:style w:type="paragraph" w:styleId="Indholdsfortegnelse8">
    <w:name w:val="toc 8"/>
    <w:basedOn w:val="Normal"/>
    <w:next w:val="Normal"/>
    <w:uiPriority w:val="99"/>
    <w:pPr>
      <w:tabs>
        <w:tab w:val="right" w:pos="9360"/>
      </w:tabs>
      <w:suppressAutoHyphens/>
      <w:spacing w:line="240" w:lineRule="atLeast"/>
      <w:ind w:left="720" w:hanging="720"/>
    </w:pPr>
    <w:rPr>
      <w:lang w:val="en-US"/>
    </w:rPr>
  </w:style>
  <w:style w:type="paragraph" w:styleId="Indholdsfortegnelse9">
    <w:name w:val="toc 9"/>
    <w:basedOn w:val="Normal"/>
    <w:next w:val="Normal"/>
    <w:uiPriority w:val="99"/>
    <w:pPr>
      <w:tabs>
        <w:tab w:val="right" w:leader="dot" w:pos="9360"/>
      </w:tabs>
      <w:suppressAutoHyphens/>
      <w:spacing w:line="240" w:lineRule="atLeast"/>
      <w:ind w:left="720" w:hanging="720"/>
    </w:pPr>
    <w:rPr>
      <w:lang w:val="en-US"/>
    </w:rPr>
  </w:style>
  <w:style w:type="paragraph" w:styleId="Indeks1">
    <w:name w:val="index 1"/>
    <w:basedOn w:val="Normal"/>
    <w:next w:val="Normal"/>
    <w:uiPriority w:val="99"/>
    <w:pPr>
      <w:tabs>
        <w:tab w:val="right" w:leader="dot" w:pos="9360"/>
      </w:tabs>
      <w:suppressAutoHyphens/>
      <w:spacing w:line="240" w:lineRule="atLeast"/>
      <w:ind w:left="720" w:hanging="720"/>
    </w:pPr>
    <w:rPr>
      <w:lang w:val="en-US"/>
    </w:rPr>
  </w:style>
  <w:style w:type="paragraph" w:styleId="Indeks2">
    <w:name w:val="index 2"/>
    <w:basedOn w:val="Normal"/>
    <w:next w:val="Normal"/>
    <w:uiPriority w:val="99"/>
    <w:pPr>
      <w:tabs>
        <w:tab w:val="right" w:leader="dot" w:pos="9360"/>
      </w:tabs>
      <w:suppressAutoHyphens/>
      <w:spacing w:line="240" w:lineRule="atLeast"/>
      <w:ind w:left="720"/>
    </w:pPr>
    <w:rPr>
      <w:lang w:val="en-US"/>
    </w:rPr>
  </w:style>
  <w:style w:type="paragraph" w:styleId="Citatoverskrift">
    <w:name w:val="toa heading"/>
    <w:basedOn w:val="Normal"/>
    <w:next w:val="Normal"/>
    <w:uiPriority w:val="99"/>
    <w:pPr>
      <w:tabs>
        <w:tab w:val="right" w:pos="9360"/>
      </w:tabs>
      <w:suppressAutoHyphens/>
      <w:spacing w:line="240" w:lineRule="atLeast"/>
    </w:pPr>
    <w:rPr>
      <w:lang w:val="en-US"/>
    </w:rPr>
  </w:style>
  <w:style w:type="paragraph" w:styleId="Billedtekst">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4067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Damkjær Rasmussen</dc:creator>
  <cp:keywords/>
  <dc:description/>
  <cp:lastModifiedBy>Palle Damkjær Rasmussen</cp:lastModifiedBy>
  <cp:revision>2</cp:revision>
  <dcterms:created xsi:type="dcterms:W3CDTF">2018-01-12T11:36:00Z</dcterms:created>
  <dcterms:modified xsi:type="dcterms:W3CDTF">2018-01-12T11:36:00Z</dcterms:modified>
</cp:coreProperties>
</file>