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0EF62" w14:textId="77777777" w:rsidR="00593CF7" w:rsidRPr="00160986" w:rsidRDefault="00FF24AB">
      <w:pPr>
        <w:spacing w:after="340" w:line="259" w:lineRule="auto"/>
        <w:ind w:left="0" w:firstLine="0"/>
        <w:jc w:val="center"/>
        <w:rPr>
          <w:lang w:val="en-US"/>
        </w:rPr>
      </w:pPr>
      <w:r w:rsidRPr="00160986">
        <w:rPr>
          <w:sz w:val="34"/>
          <w:lang w:val="en-US"/>
        </w:rPr>
        <w:t>Firm Innovation and Tertiary Continuing Education</w:t>
      </w:r>
    </w:p>
    <w:p w14:paraId="537C7AF0" w14:textId="77777777" w:rsidR="00593CF7" w:rsidRPr="00160986" w:rsidRDefault="00FF24AB">
      <w:pPr>
        <w:spacing w:after="140" w:line="265" w:lineRule="auto"/>
        <w:ind w:left="10" w:hanging="10"/>
        <w:jc w:val="center"/>
        <w:rPr>
          <w:lang w:val="en-US"/>
        </w:rPr>
      </w:pPr>
      <w:r w:rsidRPr="00160986">
        <w:rPr>
          <w:sz w:val="24"/>
          <w:lang w:val="en-US"/>
        </w:rPr>
        <w:t>Jesper Eriksen and Jacob Rubæk Holm</w:t>
      </w:r>
    </w:p>
    <w:p w14:paraId="6985183C" w14:textId="77777777" w:rsidR="00593CF7" w:rsidRPr="00160986" w:rsidRDefault="00FF24AB">
      <w:pPr>
        <w:spacing w:after="226" w:line="265" w:lineRule="auto"/>
        <w:ind w:left="10" w:hanging="10"/>
        <w:jc w:val="center"/>
        <w:rPr>
          <w:lang w:val="en-US"/>
        </w:rPr>
      </w:pPr>
      <w:r w:rsidRPr="00160986">
        <w:rPr>
          <w:sz w:val="24"/>
          <w:lang w:val="en-US"/>
        </w:rPr>
        <w:t>IKE and Aalborg University</w:t>
      </w:r>
    </w:p>
    <w:p w14:paraId="31FFA7D7" w14:textId="4A689DBF" w:rsidR="00593CF7" w:rsidRPr="00160986" w:rsidRDefault="0043378F">
      <w:pPr>
        <w:spacing w:after="642" w:line="265" w:lineRule="auto"/>
        <w:ind w:left="10" w:hanging="10"/>
        <w:jc w:val="center"/>
        <w:rPr>
          <w:lang w:val="en-US"/>
        </w:rPr>
      </w:pPr>
      <w:r w:rsidRPr="00160986">
        <w:rPr>
          <w:sz w:val="24"/>
          <w:lang w:val="en-US"/>
        </w:rPr>
        <w:t xml:space="preserve">August </w:t>
      </w:r>
      <w:r w:rsidR="00165755">
        <w:rPr>
          <w:sz w:val="24"/>
          <w:lang w:val="en-US"/>
        </w:rPr>
        <w:t>7</w:t>
      </w:r>
      <w:r w:rsidR="00FF24AB" w:rsidRPr="00160986">
        <w:rPr>
          <w:sz w:val="24"/>
          <w:lang w:val="en-US"/>
        </w:rPr>
        <w:t>, 2020</w:t>
      </w:r>
    </w:p>
    <w:p w14:paraId="37D6A81E" w14:textId="77777777" w:rsidR="00593CF7" w:rsidRPr="00160986" w:rsidRDefault="00FF24AB">
      <w:pPr>
        <w:spacing w:after="257" w:line="259" w:lineRule="auto"/>
        <w:ind w:left="0" w:firstLine="0"/>
        <w:jc w:val="center"/>
        <w:rPr>
          <w:lang w:val="en-US"/>
        </w:rPr>
      </w:pPr>
      <w:r w:rsidRPr="00160986">
        <w:rPr>
          <w:b/>
          <w:sz w:val="20"/>
          <w:lang w:val="en-US"/>
        </w:rPr>
        <w:t>Abstract</w:t>
      </w:r>
    </w:p>
    <w:p w14:paraId="40FC458A" w14:textId="77777777" w:rsidR="00593CF7" w:rsidRPr="00160986" w:rsidRDefault="00FF24AB">
      <w:pPr>
        <w:spacing w:after="133" w:line="259" w:lineRule="auto"/>
        <w:ind w:left="854" w:right="530" w:hanging="10"/>
        <w:rPr>
          <w:lang w:val="en-US"/>
        </w:rPr>
      </w:pPr>
      <w:r w:rsidRPr="00160986">
        <w:rPr>
          <w:sz w:val="20"/>
          <w:lang w:val="en-US"/>
        </w:rPr>
        <w:t>In recent years tertiary level continuing education (CE) has received increased attention in</w:t>
      </w:r>
    </w:p>
    <w:p w14:paraId="29049347" w14:textId="77777777" w:rsidR="00593CF7" w:rsidRPr="00160986" w:rsidRDefault="00FF24AB">
      <w:pPr>
        <w:spacing w:after="557" w:line="395" w:lineRule="auto"/>
        <w:ind w:left="540" w:right="530" w:hanging="10"/>
        <w:rPr>
          <w:lang w:val="en-US"/>
        </w:rPr>
      </w:pPr>
      <w:r w:rsidRPr="00160986">
        <w:rPr>
          <w:sz w:val="20"/>
          <w:lang w:val="en-US"/>
        </w:rPr>
        <w:t>Denmark. We investigate how firms’ use of tertiary CE impacts innovation outcomes. Tertiary CE is relevant for firms’ innovation outcomes both by bringing specialized human capital to the firm and by strengthening collaborations with universities that can aid in the innovation process. We use survey data and administrative data to show that firms with employees who have participated in tertiary level CE have a higher likelihood of innovating than firms without. The study suggests that policy should attempt to make tertiary level programs more accessible.</w:t>
      </w:r>
    </w:p>
    <w:p w14:paraId="2F92E3F5" w14:textId="77777777" w:rsidR="00593CF7" w:rsidRPr="00160986" w:rsidRDefault="00FF24AB">
      <w:pPr>
        <w:pStyle w:val="Heading1"/>
        <w:ind w:left="469" w:hanging="484"/>
        <w:rPr>
          <w:lang w:val="en-US"/>
        </w:rPr>
      </w:pPr>
      <w:r w:rsidRPr="00160986">
        <w:rPr>
          <w:lang w:val="en-US"/>
        </w:rPr>
        <w:t>Introduction</w:t>
      </w:r>
    </w:p>
    <w:p w14:paraId="0159F10F" w14:textId="4A9B4964" w:rsidR="00593CF7" w:rsidRPr="00160986" w:rsidRDefault="00FF24AB" w:rsidP="004C3C15">
      <w:pPr>
        <w:ind w:left="-15" w:firstLine="0"/>
        <w:rPr>
          <w:lang w:val="en-US"/>
        </w:rPr>
      </w:pPr>
      <w:r w:rsidRPr="00160986">
        <w:rPr>
          <w:lang w:val="en-US"/>
        </w:rPr>
        <w:t xml:space="preserve">The continuing education and training system has been considered an important part of the National System of Innovation </w:t>
      </w:r>
      <w:r w:rsidR="00F22B6E" w:rsidRPr="00160986">
        <w:rPr>
          <w:lang w:val="en-US"/>
        </w:rPr>
        <w:t xml:space="preserve">(NSI) </w:t>
      </w:r>
      <w:r w:rsidRPr="00160986">
        <w:rPr>
          <w:lang w:val="en-US"/>
        </w:rPr>
        <w:t xml:space="preserve">since the earliest part of the NSI literature (see e.g. Lundvall 1992, pp. 14-15). In the 1990s, the most often used formal </w:t>
      </w:r>
      <w:r w:rsidR="0043378F" w:rsidRPr="00160986">
        <w:rPr>
          <w:lang w:val="en-US"/>
        </w:rPr>
        <w:t xml:space="preserve">continuing education (CE) </w:t>
      </w:r>
      <w:r w:rsidRPr="00160986">
        <w:rPr>
          <w:lang w:val="en-US"/>
        </w:rPr>
        <w:t xml:space="preserve">was short-interval labor-market-oriented CE, which aimed at providing low skill workers with specific human capital skill upgrades supporting both the worker and their firm (Gregersen and Holek, 1996). In the first empirical analysis of the role of </w:t>
      </w:r>
      <w:r w:rsidR="0043378F" w:rsidRPr="00160986">
        <w:rPr>
          <w:lang w:val="en-US"/>
        </w:rPr>
        <w:t>CE</w:t>
      </w:r>
      <w:r w:rsidRPr="00160986">
        <w:rPr>
          <w:lang w:val="en-US"/>
        </w:rPr>
        <w:t xml:space="preserve"> in the Danish Innovation System, Voxsted (1998) studied how Danish manufacturing firms used these short-interval CE programs to prepare their firms for incremental </w:t>
      </w:r>
      <w:r w:rsidR="00475CD7" w:rsidRPr="00160986">
        <w:rPr>
          <w:lang w:val="en-US"/>
        </w:rPr>
        <w:t>innovation through innovation</w:t>
      </w:r>
      <w:r w:rsidRPr="00160986">
        <w:rPr>
          <w:lang w:val="en-US"/>
        </w:rPr>
        <w:t>, communication protocols, and quality control. Even today, these programs continue to serve as a tool to help employees achieve desirable employment outcomes (Nielsen et al., 2020</w:t>
      </w:r>
      <w:r w:rsidR="00096299" w:rsidRPr="00160986">
        <w:rPr>
          <w:lang w:val="en-US"/>
        </w:rPr>
        <w:t xml:space="preserve"> </w:t>
      </w:r>
      <w:r w:rsidRPr="00160986">
        <w:rPr>
          <w:lang w:val="en-US"/>
        </w:rPr>
        <w:t>Other chapter in the book).</w:t>
      </w:r>
      <w:r w:rsidR="004C3C15" w:rsidRPr="00160986">
        <w:rPr>
          <w:lang w:val="en-US"/>
        </w:rPr>
        <w:t xml:space="preserve"> </w:t>
      </w:r>
      <w:r w:rsidRPr="00160986">
        <w:rPr>
          <w:lang w:val="en-US"/>
        </w:rPr>
        <w:t>Starting in the 2000s, however, many firms began to provide their workers with longer and more</w:t>
      </w:r>
      <w:r w:rsidR="00DF4D03" w:rsidRPr="00160986">
        <w:rPr>
          <w:lang w:val="en-US"/>
        </w:rPr>
        <w:t xml:space="preserve"> knowledge-intensive</w:t>
      </w:r>
      <w:r w:rsidRPr="00160986">
        <w:rPr>
          <w:lang w:val="en-US"/>
        </w:rPr>
        <w:t xml:space="preserve"> Master and Diploma level tertiary CE that focus on management skills. The increased use of tertiary level CE arguably reflects </w:t>
      </w:r>
      <w:r w:rsidRPr="00160986">
        <w:rPr>
          <w:lang w:val="en-US"/>
        </w:rPr>
        <w:lastRenderedPageBreak/>
        <w:t>a change in the role of CE in the National System of Innovation and</w:t>
      </w:r>
      <w:r w:rsidR="004C42FA" w:rsidRPr="00160986">
        <w:rPr>
          <w:lang w:val="en-US"/>
        </w:rPr>
        <w:t xml:space="preserve"> </w:t>
      </w:r>
      <w:r w:rsidRPr="00160986">
        <w:rPr>
          <w:lang w:val="en-US"/>
        </w:rPr>
        <w:t xml:space="preserve">increased importance of human capital and networks in the innovation process. </w:t>
      </w:r>
    </w:p>
    <w:p w14:paraId="5DDD2A29" w14:textId="4CD10B79" w:rsidR="00B07C2F" w:rsidRPr="00160986" w:rsidRDefault="00FF24AB">
      <w:pPr>
        <w:ind w:left="-15" w:firstLine="339"/>
        <w:rPr>
          <w:lang w:val="en-US"/>
        </w:rPr>
      </w:pPr>
      <w:r w:rsidRPr="00160986">
        <w:rPr>
          <w:lang w:val="en-US"/>
        </w:rPr>
        <w:t xml:space="preserve">Several prior studies have linked </w:t>
      </w:r>
      <w:r w:rsidR="00093D9A" w:rsidRPr="00160986">
        <w:rPr>
          <w:lang w:val="en-US"/>
        </w:rPr>
        <w:t xml:space="preserve">initial </w:t>
      </w:r>
      <w:r w:rsidRPr="00160986">
        <w:rPr>
          <w:lang w:val="en-US"/>
        </w:rPr>
        <w:t>education levels and diversity, two measures of firms’ human capital base, to firm innovation (see e.g. Audretsch et al. 2018; D’Este et al. 2014; Schubert and Tavassoli 2020</w:t>
      </w:r>
      <w:r w:rsidR="001835D0" w:rsidRPr="00160986">
        <w:rPr>
          <w:lang w:val="en-US"/>
        </w:rPr>
        <w:t>; Østergaard et al. 2011</w:t>
      </w:r>
      <w:r w:rsidRPr="00160986">
        <w:rPr>
          <w:lang w:val="en-US"/>
        </w:rPr>
        <w:t>)</w:t>
      </w:r>
      <w:r w:rsidR="00FE2FEB" w:rsidRPr="00160986">
        <w:rPr>
          <w:lang w:val="en-US"/>
        </w:rPr>
        <w:t>, but CE has received less attention</w:t>
      </w:r>
      <w:r w:rsidRPr="00160986">
        <w:rPr>
          <w:lang w:val="en-US"/>
        </w:rPr>
        <w:t xml:space="preserve">. CE </w:t>
      </w:r>
      <w:r w:rsidR="00A927E9" w:rsidRPr="00160986">
        <w:rPr>
          <w:lang w:val="en-US"/>
        </w:rPr>
        <w:t>provides</w:t>
      </w:r>
      <w:r w:rsidR="00D758B7" w:rsidRPr="00160986">
        <w:rPr>
          <w:lang w:val="en-US"/>
        </w:rPr>
        <w:t xml:space="preserve"> firms with </w:t>
      </w:r>
      <w:r w:rsidR="00992A17" w:rsidRPr="00160986">
        <w:rPr>
          <w:lang w:val="en-US"/>
        </w:rPr>
        <w:t>human capital</w:t>
      </w:r>
      <w:r w:rsidR="00A40FD3" w:rsidRPr="00160986">
        <w:rPr>
          <w:lang w:val="en-US"/>
        </w:rPr>
        <w:t xml:space="preserve"> upgrades of particular skills </w:t>
      </w:r>
      <w:r w:rsidRPr="00160986">
        <w:rPr>
          <w:lang w:val="en-US"/>
        </w:rPr>
        <w:t xml:space="preserve">after </w:t>
      </w:r>
      <w:r w:rsidR="00A40FD3" w:rsidRPr="00160986">
        <w:rPr>
          <w:lang w:val="en-US"/>
        </w:rPr>
        <w:t xml:space="preserve">the </w:t>
      </w:r>
      <w:r w:rsidRPr="00160986">
        <w:rPr>
          <w:lang w:val="en-US"/>
        </w:rPr>
        <w:t>participants have earned the</w:t>
      </w:r>
      <w:r w:rsidR="00B07C2F" w:rsidRPr="00160986">
        <w:rPr>
          <w:lang w:val="en-US"/>
        </w:rPr>
        <w:t xml:space="preserve"> </w:t>
      </w:r>
      <w:r w:rsidRPr="00160986">
        <w:rPr>
          <w:lang w:val="en-US"/>
        </w:rPr>
        <w:t>initial degrees</w:t>
      </w:r>
      <w:r w:rsidR="00A40FD3" w:rsidRPr="00160986">
        <w:rPr>
          <w:lang w:val="en-US"/>
        </w:rPr>
        <w:t xml:space="preserve"> </w:t>
      </w:r>
      <w:r w:rsidR="00B07C2F" w:rsidRPr="00160986">
        <w:rPr>
          <w:lang w:val="en-US"/>
        </w:rPr>
        <w:t>that are</w:t>
      </w:r>
      <w:r w:rsidR="00A40FD3" w:rsidRPr="00160986">
        <w:rPr>
          <w:lang w:val="en-US"/>
        </w:rPr>
        <w:t xml:space="preserve"> </w:t>
      </w:r>
      <w:r w:rsidR="00B07C2F" w:rsidRPr="00160986">
        <w:rPr>
          <w:lang w:val="en-US"/>
        </w:rPr>
        <w:t xml:space="preserve">most </w:t>
      </w:r>
      <w:r w:rsidR="00A40FD3" w:rsidRPr="00160986">
        <w:rPr>
          <w:lang w:val="en-US"/>
        </w:rPr>
        <w:t xml:space="preserve">often emphasized </w:t>
      </w:r>
      <w:r w:rsidR="007A6FB0" w:rsidRPr="00160986">
        <w:rPr>
          <w:lang w:val="en-US"/>
        </w:rPr>
        <w:t>in the levels and diversity studies</w:t>
      </w:r>
      <w:r w:rsidRPr="00160986">
        <w:rPr>
          <w:lang w:val="en-US"/>
        </w:rPr>
        <w:t xml:space="preserve">. This </w:t>
      </w:r>
      <w:r w:rsidR="007A6FB0" w:rsidRPr="00160986">
        <w:rPr>
          <w:lang w:val="en-US"/>
        </w:rPr>
        <w:t xml:space="preserve">type of upgrade </w:t>
      </w:r>
      <w:r w:rsidRPr="00160986">
        <w:rPr>
          <w:lang w:val="en-US"/>
        </w:rPr>
        <w:t xml:space="preserve">is particularly relevant in the face of technological change (Holm et al 2020 = </w:t>
      </w:r>
      <w:r w:rsidR="008E3742" w:rsidRPr="00160986">
        <w:rPr>
          <w:lang w:val="en-US"/>
        </w:rPr>
        <w:t>another chapter</w:t>
      </w:r>
      <w:r w:rsidRPr="00160986">
        <w:rPr>
          <w:lang w:val="en-US"/>
        </w:rPr>
        <w:t xml:space="preserve">). </w:t>
      </w:r>
    </w:p>
    <w:p w14:paraId="6AD692A2" w14:textId="42A171E8" w:rsidR="00593CF7" w:rsidRPr="00160986" w:rsidRDefault="00665387" w:rsidP="00A04F20">
      <w:pPr>
        <w:ind w:left="-15" w:firstLine="339"/>
        <w:rPr>
          <w:lang w:val="en-US"/>
        </w:rPr>
      </w:pPr>
      <w:r w:rsidRPr="00160986">
        <w:rPr>
          <w:lang w:val="en-US"/>
        </w:rPr>
        <w:t>While a</w:t>
      </w:r>
      <w:r w:rsidR="00FF24AB" w:rsidRPr="00160986">
        <w:rPr>
          <w:lang w:val="en-US"/>
        </w:rPr>
        <w:t xml:space="preserve"> few studies have linked short-interval labor-market CE to incremental product and process innovation in firms (Bauernschuster et al., 2009; Børing, 2017; Dostie, 2018; Voxsted, 1998)</w:t>
      </w:r>
      <w:r w:rsidRPr="00160986">
        <w:rPr>
          <w:lang w:val="en-US"/>
        </w:rPr>
        <w:t>,</w:t>
      </w:r>
      <w:r w:rsidR="00FF24AB" w:rsidRPr="00160986">
        <w:rPr>
          <w:lang w:val="en-US"/>
        </w:rPr>
        <w:t xml:space="preserve"> none have</w:t>
      </w:r>
      <w:r w:rsidRPr="00160986">
        <w:rPr>
          <w:lang w:val="en-US"/>
        </w:rPr>
        <w:t xml:space="preserve"> </w:t>
      </w:r>
      <w:r w:rsidR="00FF24AB" w:rsidRPr="00160986">
        <w:rPr>
          <w:lang w:val="en-US"/>
        </w:rPr>
        <w:t>studied the relation between tertiary CE and firm innovation</w:t>
      </w:r>
      <w:r w:rsidR="00CD37B9" w:rsidRPr="00160986">
        <w:rPr>
          <w:lang w:val="en-US"/>
        </w:rPr>
        <w:t>, to the best of our knowledge</w:t>
      </w:r>
      <w:r w:rsidR="00FF24AB" w:rsidRPr="00160986">
        <w:rPr>
          <w:lang w:val="en-US"/>
        </w:rPr>
        <w:t xml:space="preserve">. </w:t>
      </w:r>
      <w:r w:rsidR="00CD37B9" w:rsidRPr="00160986">
        <w:rPr>
          <w:lang w:val="en-US"/>
        </w:rPr>
        <w:t xml:space="preserve">Like short-interval CE, tertiary CE provides post-initial education skill upgrades. It differs from short-interval </w:t>
      </w:r>
      <w:r w:rsidR="00FF24AB" w:rsidRPr="00160986">
        <w:rPr>
          <w:lang w:val="en-US"/>
        </w:rPr>
        <w:t>CE as it gives access to a specific type of human capital, managerial skills</w:t>
      </w:r>
      <w:r w:rsidR="00212496" w:rsidRPr="00160986">
        <w:rPr>
          <w:lang w:val="en-US"/>
        </w:rPr>
        <w:t>, as opposed to applied skills such as how to use specific welding equipment</w:t>
      </w:r>
      <w:r w:rsidR="00FF24AB" w:rsidRPr="00160986">
        <w:rPr>
          <w:lang w:val="en-US"/>
        </w:rPr>
        <w:t xml:space="preserve">. </w:t>
      </w:r>
      <w:r w:rsidR="003B37DE" w:rsidRPr="00160986">
        <w:rPr>
          <w:lang w:val="en-US"/>
        </w:rPr>
        <w:t>Tertiary CE programs are also often longer (up to two part-time years</w:t>
      </w:r>
      <w:r w:rsidR="00A04F20" w:rsidRPr="00160986">
        <w:rPr>
          <w:lang w:val="en-US"/>
        </w:rPr>
        <w:t xml:space="preserve"> compared to 4 days on average</w:t>
      </w:r>
      <w:r w:rsidR="003B37DE" w:rsidRPr="00160986">
        <w:rPr>
          <w:lang w:val="en-US"/>
        </w:rPr>
        <w:t xml:space="preserve">) and taken at </w:t>
      </w:r>
      <w:r w:rsidR="00704417" w:rsidRPr="00160986">
        <w:rPr>
          <w:lang w:val="en-US"/>
        </w:rPr>
        <w:t xml:space="preserve">a </w:t>
      </w:r>
      <w:r w:rsidR="003B37DE" w:rsidRPr="00160986">
        <w:rPr>
          <w:lang w:val="en-US"/>
        </w:rPr>
        <w:t xml:space="preserve">more intense </w:t>
      </w:r>
      <w:r w:rsidR="00A04F20" w:rsidRPr="00160986">
        <w:rPr>
          <w:lang w:val="en-US"/>
        </w:rPr>
        <w:t xml:space="preserve">pace measured in </w:t>
      </w:r>
      <w:r w:rsidR="00704417" w:rsidRPr="00160986">
        <w:rPr>
          <w:lang w:val="en-US"/>
        </w:rPr>
        <w:t xml:space="preserve">the </w:t>
      </w:r>
      <w:r w:rsidR="00A04F20" w:rsidRPr="00160986">
        <w:rPr>
          <w:lang w:val="en-US"/>
        </w:rPr>
        <w:t>number of hours per year. The</w:t>
      </w:r>
      <w:r w:rsidR="00AF7782" w:rsidRPr="00160986">
        <w:rPr>
          <w:lang w:val="en-US"/>
        </w:rPr>
        <w:t xml:space="preserve"> </w:t>
      </w:r>
      <w:r w:rsidR="00212496" w:rsidRPr="00160986">
        <w:rPr>
          <w:lang w:val="en-US"/>
        </w:rPr>
        <w:t>differences between CE and initial education, and short-interval and tertiary CE</w:t>
      </w:r>
      <w:r w:rsidR="00E85894" w:rsidRPr="00160986">
        <w:rPr>
          <w:lang w:val="en-US"/>
        </w:rPr>
        <w:t xml:space="preserve">, makes it particularly relevant to </w:t>
      </w:r>
      <w:r w:rsidR="00C5104B" w:rsidRPr="00160986">
        <w:rPr>
          <w:lang w:val="en-US"/>
        </w:rPr>
        <w:t xml:space="preserve">empirically </w:t>
      </w:r>
      <w:r w:rsidR="00E85894" w:rsidRPr="00160986">
        <w:rPr>
          <w:lang w:val="en-US"/>
        </w:rPr>
        <w:t xml:space="preserve">study the role of </w:t>
      </w:r>
      <w:r w:rsidR="00A927E9" w:rsidRPr="00160986">
        <w:rPr>
          <w:lang w:val="en-US"/>
        </w:rPr>
        <w:t xml:space="preserve">CE in the National Innovation System. </w:t>
      </w:r>
    </w:p>
    <w:p w14:paraId="0376E69B" w14:textId="50CB6A8F" w:rsidR="009A3981" w:rsidRPr="00160986" w:rsidRDefault="00FF24AB" w:rsidP="000F0DD3">
      <w:pPr>
        <w:ind w:left="-15" w:firstLine="339"/>
        <w:rPr>
          <w:lang w:val="en-US"/>
        </w:rPr>
      </w:pPr>
      <w:r w:rsidRPr="00160986">
        <w:rPr>
          <w:lang w:val="en-US"/>
        </w:rPr>
        <w:t xml:space="preserve">The main hypothesis of this study is that when a firm’s employees participate in tertiary level CE, the firm becomes more likely to innovate because the firm gains managerial skills necessary to support the innovation process. </w:t>
      </w:r>
    </w:p>
    <w:p w14:paraId="3918E6D6" w14:textId="0AB20524" w:rsidR="00593CF7" w:rsidRPr="00160986" w:rsidRDefault="00FF24AB" w:rsidP="000F0DD3">
      <w:pPr>
        <w:ind w:left="-15" w:firstLine="339"/>
        <w:rPr>
          <w:lang w:val="en-US"/>
        </w:rPr>
      </w:pPr>
      <w:r w:rsidRPr="00160986">
        <w:rPr>
          <w:lang w:val="en-US"/>
        </w:rPr>
        <w:t>We contrast th</w:t>
      </w:r>
      <w:r w:rsidR="009A3981" w:rsidRPr="00160986">
        <w:rPr>
          <w:lang w:val="en-US"/>
        </w:rPr>
        <w:t>e</w:t>
      </w:r>
      <w:r w:rsidRPr="00160986">
        <w:rPr>
          <w:lang w:val="en-US"/>
        </w:rPr>
        <w:t xml:space="preserve"> hypothesis of </w:t>
      </w:r>
      <w:r w:rsidR="008E3742" w:rsidRPr="00160986">
        <w:rPr>
          <w:lang w:val="en-US"/>
        </w:rPr>
        <w:t xml:space="preserve">the </w:t>
      </w:r>
      <w:r w:rsidR="009A3981" w:rsidRPr="00160986">
        <w:rPr>
          <w:lang w:val="en-US"/>
        </w:rPr>
        <w:t xml:space="preserve">internal use of </w:t>
      </w:r>
      <w:r w:rsidRPr="00160986">
        <w:rPr>
          <w:lang w:val="en-US"/>
        </w:rPr>
        <w:t xml:space="preserve">managerial skills with a network hypothesis to test alternative explanations for </w:t>
      </w:r>
      <w:r w:rsidR="009A3981" w:rsidRPr="00160986">
        <w:rPr>
          <w:lang w:val="en-US"/>
        </w:rPr>
        <w:t>tertiary CE and innovation relationships</w:t>
      </w:r>
      <w:r w:rsidRPr="00160986">
        <w:rPr>
          <w:lang w:val="en-US"/>
        </w:rPr>
        <w:t>.</w:t>
      </w:r>
      <w:r w:rsidR="000F0DD3" w:rsidRPr="00160986">
        <w:rPr>
          <w:lang w:val="en-US"/>
        </w:rPr>
        <w:t xml:space="preserve"> </w:t>
      </w:r>
      <w:r w:rsidRPr="00160986">
        <w:rPr>
          <w:lang w:val="en-US"/>
        </w:rPr>
        <w:t>Recent studies of MBA participants (</w:t>
      </w:r>
      <w:r w:rsidR="00DF4D03" w:rsidRPr="00160986">
        <w:rPr>
          <w:lang w:val="en-US"/>
        </w:rPr>
        <w:t xml:space="preserve">a </w:t>
      </w:r>
      <w:r w:rsidRPr="00160986">
        <w:rPr>
          <w:lang w:val="en-US"/>
        </w:rPr>
        <w:t>form of tertiary CE) have shown that network influences are important determinants of participants’ subsequent behavior (Shue, 2013; Hacamo and Kleiner, 2020). One type of network effect</w:t>
      </w:r>
      <w:r w:rsidR="00C5104B" w:rsidRPr="00160986">
        <w:rPr>
          <w:lang w:val="en-US"/>
        </w:rPr>
        <w:t xml:space="preserve"> which</w:t>
      </w:r>
      <w:r w:rsidRPr="00160986">
        <w:rPr>
          <w:lang w:val="en-US"/>
        </w:rPr>
        <w:t xml:space="preserve"> we can test with our available data is networks linking firms and universities. Such relations have been linked to having </w:t>
      </w:r>
      <w:r w:rsidR="00704417" w:rsidRPr="00160986">
        <w:rPr>
          <w:lang w:val="en-US"/>
        </w:rPr>
        <w:t xml:space="preserve">a </w:t>
      </w:r>
      <w:r w:rsidRPr="00160986">
        <w:rPr>
          <w:lang w:val="en-US"/>
        </w:rPr>
        <w:t xml:space="preserve">higher </w:t>
      </w:r>
      <w:r w:rsidR="00DB5231" w:rsidRPr="00160986">
        <w:rPr>
          <w:lang w:val="en-US"/>
        </w:rPr>
        <w:t>likelihood</w:t>
      </w:r>
      <w:r w:rsidRPr="00160986">
        <w:rPr>
          <w:lang w:val="en-US"/>
        </w:rPr>
        <w:t xml:space="preserve"> of successfully innovating (Cohen et al., 2002; Jaffe, 1989). To test if managerial skills are likely to work internally or are based purely in network effects, the second hypothesis, we first test whether employee participation in tertiary CE predicts </w:t>
      </w:r>
      <w:r w:rsidRPr="00160986">
        <w:rPr>
          <w:lang w:val="en-US"/>
        </w:rPr>
        <w:lastRenderedPageBreak/>
        <w:t>collaboration with universities for innovation purposes, and secondly whether this channel fully explains any relation between tertiary CE participation and firms’ likelihood of innovating.</w:t>
      </w:r>
    </w:p>
    <w:p w14:paraId="4DA2230E" w14:textId="3868CC9A" w:rsidR="008F3E1E" w:rsidRPr="00160986" w:rsidRDefault="008A6341">
      <w:pPr>
        <w:ind w:left="-15" w:firstLine="339"/>
        <w:rPr>
          <w:lang w:val="en-US"/>
        </w:rPr>
      </w:pPr>
      <w:r w:rsidRPr="00160986">
        <w:rPr>
          <w:lang w:val="en-US"/>
        </w:rPr>
        <w:t xml:space="preserve">The empirical study is based on </w:t>
      </w:r>
      <w:r w:rsidR="00FF24AB" w:rsidRPr="00160986">
        <w:rPr>
          <w:lang w:val="en-US"/>
        </w:rPr>
        <w:t xml:space="preserve">three types of Danish administrative data and a descriptive and instrumental variable identification approach. The datasets contain information on spells of tertiary CE participation at the individual level, worker and firm characteristics, as well as linked Danish Research, Development and Innovation (RDI) surveys with information about a representative sample of firms’ R&amp;D inputs, and whether the firms </w:t>
      </w:r>
      <w:r w:rsidR="00DB5231" w:rsidRPr="00160986">
        <w:rPr>
          <w:lang w:val="en-US"/>
        </w:rPr>
        <w:t>have</w:t>
      </w:r>
      <w:r w:rsidR="00FF24AB" w:rsidRPr="00160986">
        <w:rPr>
          <w:lang w:val="en-US"/>
        </w:rPr>
        <w:t xml:space="preserve"> product innovated (put a new product on the market), or process innovated (changed internal organizational routines). </w:t>
      </w:r>
    </w:p>
    <w:p w14:paraId="0B5C6B6C" w14:textId="0C0CBF6F" w:rsidR="00593CF7" w:rsidRPr="00160986" w:rsidRDefault="00FF24AB">
      <w:pPr>
        <w:ind w:left="-15" w:firstLine="339"/>
        <w:rPr>
          <w:lang w:val="en-US"/>
        </w:rPr>
      </w:pPr>
      <w:r w:rsidRPr="00160986">
        <w:rPr>
          <w:lang w:val="en-US"/>
        </w:rPr>
        <w:t xml:space="preserve">We show that firms with employees who received tertiary CE training within the last two years are more likely to product and process </w:t>
      </w:r>
      <w:r w:rsidR="003C3C28" w:rsidRPr="00160986">
        <w:rPr>
          <w:lang w:val="en-US"/>
        </w:rPr>
        <w:t>innovat</w:t>
      </w:r>
      <w:r w:rsidR="007B07D4" w:rsidRPr="00160986">
        <w:rPr>
          <w:lang w:val="en-US"/>
        </w:rPr>
        <w:t>e</w:t>
      </w:r>
      <w:r w:rsidR="003C3C28" w:rsidRPr="00160986">
        <w:rPr>
          <w:lang w:val="en-US"/>
        </w:rPr>
        <w:t xml:space="preserve"> </w:t>
      </w:r>
      <w:r w:rsidRPr="00160986">
        <w:rPr>
          <w:lang w:val="en-US"/>
        </w:rPr>
        <w:t xml:space="preserve">than firms without. We also confirm that the effects are plausibly causal using an instrumental variables strategy, relying on changing distances to nearest tertiary CE education institutions as instruments. Also, having </w:t>
      </w:r>
      <w:r w:rsidR="008F3E1E" w:rsidRPr="00160986">
        <w:rPr>
          <w:lang w:val="en-US"/>
        </w:rPr>
        <w:t xml:space="preserve">former </w:t>
      </w:r>
      <w:r w:rsidRPr="00160986">
        <w:rPr>
          <w:lang w:val="en-US"/>
        </w:rPr>
        <w:t>tertiary CE participants in the firm is positively associated with collaborating with universities as would be suggested under our second hypothesis. However, collaboration with universities does not fully explain the effect of tertiary CE on innovation. Tertiary CE appears to have causal effects on innovation through a collaboration channel but also through other channels that we cannot investigate in this paper.</w:t>
      </w:r>
    </w:p>
    <w:p w14:paraId="7391D33E" w14:textId="77777777" w:rsidR="00593CF7" w:rsidRPr="00160986" w:rsidRDefault="00FF24AB">
      <w:pPr>
        <w:ind w:left="-15" w:firstLine="339"/>
        <w:rPr>
          <w:lang w:val="en-US"/>
        </w:rPr>
      </w:pPr>
      <w:r w:rsidRPr="00160986">
        <w:rPr>
          <w:lang w:val="en-US"/>
        </w:rPr>
        <w:t>Our study has importance from a policy perspective. Policies intending to improve the competitiveness of firms through their likelihood of innovating can readily focus on tertiary CE. Increasing access to tertiary CE, either through opening more programs or lowering participation costs, is likely to lead to higher rates of innovation in firms constrained on their managerial skills which are an input in the innovation process.</w:t>
      </w:r>
    </w:p>
    <w:p w14:paraId="106FCD31" w14:textId="0B105AEF" w:rsidR="00593CF7" w:rsidRPr="00160986" w:rsidRDefault="00FF24AB" w:rsidP="00811CC3">
      <w:pPr>
        <w:spacing w:after="155"/>
        <w:ind w:left="14" w:right="-14" w:hanging="14"/>
        <w:rPr>
          <w:lang w:val="en-US"/>
        </w:rPr>
      </w:pPr>
      <w:r w:rsidRPr="00160986">
        <w:rPr>
          <w:lang w:val="en-US"/>
        </w:rPr>
        <w:t xml:space="preserve">The chapter proceeds as follows. </w:t>
      </w:r>
      <w:r w:rsidR="00811CC3" w:rsidRPr="00160986">
        <w:rPr>
          <w:lang w:val="en-US"/>
        </w:rPr>
        <w:t>In section 2 we discuss earlier literature and the theory linking CE to firm-level innovation outcomes, and we provide</w:t>
      </w:r>
      <w:r w:rsidRPr="00160986">
        <w:rPr>
          <w:lang w:val="en-US"/>
        </w:rPr>
        <w:t xml:space="preserve"> a brief introduction to the Danish tertiary</w:t>
      </w:r>
      <w:r w:rsidR="00811CC3" w:rsidRPr="00160986">
        <w:rPr>
          <w:lang w:val="en-US"/>
        </w:rPr>
        <w:t xml:space="preserve"> </w:t>
      </w:r>
      <w:r w:rsidRPr="00160986">
        <w:rPr>
          <w:lang w:val="en-US"/>
        </w:rPr>
        <w:t xml:space="preserve">CE programs, contrasting </w:t>
      </w:r>
      <w:r w:rsidR="00C1530B" w:rsidRPr="00160986">
        <w:rPr>
          <w:lang w:val="en-US"/>
        </w:rPr>
        <w:t>the program with the</w:t>
      </w:r>
      <w:r w:rsidRPr="00160986">
        <w:rPr>
          <w:lang w:val="en-US"/>
        </w:rPr>
        <w:t xml:space="preserve"> short-interval CE</w:t>
      </w:r>
      <w:r w:rsidR="00C1530B" w:rsidRPr="00160986">
        <w:rPr>
          <w:lang w:val="en-US"/>
        </w:rPr>
        <w:t xml:space="preserve"> programs</w:t>
      </w:r>
      <w:r w:rsidRPr="00160986">
        <w:rPr>
          <w:lang w:val="en-US"/>
        </w:rPr>
        <w:t xml:space="preserve">. Section </w:t>
      </w:r>
      <w:r w:rsidR="00811CC3" w:rsidRPr="00160986">
        <w:rPr>
          <w:lang w:val="en-US"/>
        </w:rPr>
        <w:t xml:space="preserve">3 </w:t>
      </w:r>
      <w:r w:rsidRPr="00160986">
        <w:rPr>
          <w:lang w:val="en-US"/>
        </w:rPr>
        <w:t xml:space="preserve">contains a description of data sources used for the chapter and our empirical strategy to estimate the effects of tertiary CE on firms’ likelihood of innovating. Section </w:t>
      </w:r>
      <w:r w:rsidR="00811CC3" w:rsidRPr="00160986">
        <w:rPr>
          <w:lang w:val="en-US"/>
        </w:rPr>
        <w:t xml:space="preserve">4 </w:t>
      </w:r>
      <w:r w:rsidRPr="00160986">
        <w:rPr>
          <w:lang w:val="en-US"/>
        </w:rPr>
        <w:t>contains our empirical findings. Finally</w:t>
      </w:r>
      <w:r w:rsidR="00DB5231" w:rsidRPr="00160986">
        <w:rPr>
          <w:lang w:val="en-US"/>
        </w:rPr>
        <w:t>,</w:t>
      </w:r>
      <w:r w:rsidRPr="00160986">
        <w:rPr>
          <w:lang w:val="en-US"/>
        </w:rPr>
        <w:t xml:space="preserve"> section </w:t>
      </w:r>
      <w:r w:rsidR="00811CC3" w:rsidRPr="00160986">
        <w:rPr>
          <w:lang w:val="en-US"/>
        </w:rPr>
        <w:t xml:space="preserve">5 </w:t>
      </w:r>
      <w:r w:rsidRPr="00160986">
        <w:rPr>
          <w:lang w:val="en-US"/>
        </w:rPr>
        <w:t>concludes the chapter.</w:t>
      </w:r>
    </w:p>
    <w:p w14:paraId="698A6E7F" w14:textId="77777777" w:rsidR="004836FF" w:rsidRPr="00160986" w:rsidRDefault="004836FF" w:rsidP="004836FF">
      <w:pPr>
        <w:pStyle w:val="Heading1"/>
        <w:ind w:left="469" w:hanging="484"/>
        <w:rPr>
          <w:lang w:val="en-US"/>
        </w:rPr>
      </w:pPr>
      <w:r w:rsidRPr="00160986">
        <w:rPr>
          <w:lang w:val="en-US"/>
        </w:rPr>
        <w:lastRenderedPageBreak/>
        <w:t>Continuing Education and Innovation</w:t>
      </w:r>
    </w:p>
    <w:p w14:paraId="7EBDF75E" w14:textId="3B05964D" w:rsidR="004836FF" w:rsidRPr="00160986" w:rsidRDefault="004836FF" w:rsidP="004836FF">
      <w:pPr>
        <w:spacing w:after="337"/>
        <w:ind w:left="-15" w:firstLine="0"/>
        <w:rPr>
          <w:lang w:val="en-US"/>
        </w:rPr>
      </w:pPr>
      <w:r w:rsidRPr="00160986">
        <w:rPr>
          <w:lang w:val="en-US"/>
        </w:rPr>
        <w:t xml:space="preserve">In this section, we first describe the existing research linking human capital and particularly short-interval CE to innovation, as well as prior studies on individual and firm-level effects of tertiary CE participation. We then discuss theoretical foundations that describe why upskilling already highly educated tertiary CE participants is still likely to lead increase the likelihood of successful innovation. </w:t>
      </w:r>
    </w:p>
    <w:p w14:paraId="58C7CD4E" w14:textId="77777777" w:rsidR="004836FF" w:rsidRPr="00160986" w:rsidRDefault="004836FF" w:rsidP="004836FF">
      <w:pPr>
        <w:ind w:left="-15" w:firstLine="0"/>
        <w:rPr>
          <w:lang w:val="en-US"/>
        </w:rPr>
      </w:pPr>
    </w:p>
    <w:p w14:paraId="041C026E" w14:textId="77777777" w:rsidR="004836FF" w:rsidRPr="00160986" w:rsidRDefault="004836FF" w:rsidP="004836FF">
      <w:pPr>
        <w:pStyle w:val="Heading2"/>
        <w:ind w:left="598" w:hanging="613"/>
        <w:rPr>
          <w:lang w:val="en-US"/>
        </w:rPr>
      </w:pPr>
      <w:r w:rsidRPr="00160986">
        <w:rPr>
          <w:lang w:val="en-US"/>
        </w:rPr>
        <w:t>Existing Studies</w:t>
      </w:r>
    </w:p>
    <w:p w14:paraId="4195E850" w14:textId="77777777" w:rsidR="004836FF" w:rsidRPr="00160986" w:rsidRDefault="004836FF" w:rsidP="004836FF">
      <w:pPr>
        <w:ind w:left="-15" w:firstLine="0"/>
        <w:rPr>
          <w:lang w:val="en-US"/>
        </w:rPr>
      </w:pPr>
      <w:r w:rsidRPr="00160986">
        <w:rPr>
          <w:lang w:val="en-US"/>
        </w:rPr>
        <w:t>The education level and composition of firms’ workforce have often been used as a measure of human capital in innovation studies, and are found to be an important input to the innovation process</w:t>
      </w:r>
    </w:p>
    <w:p w14:paraId="2EFE214D" w14:textId="602EF5FA" w:rsidR="004836FF" w:rsidRPr="00160986" w:rsidRDefault="004836FF" w:rsidP="004836FF">
      <w:pPr>
        <w:ind w:left="-15" w:firstLine="0"/>
        <w:rPr>
          <w:lang w:val="en-US"/>
        </w:rPr>
      </w:pPr>
      <w:r w:rsidRPr="00073C14">
        <w:rPr>
          <w:lang w:val="en-US"/>
        </w:rPr>
        <w:t xml:space="preserve">(e.g. Audretsch et al. 2018; Østergaard et al. 2011; D’Este et al. 2014; Schubert and Tavassoli 2020). </w:t>
      </w:r>
      <w:r w:rsidRPr="00160986">
        <w:rPr>
          <w:lang w:val="en-US"/>
        </w:rPr>
        <w:t xml:space="preserve">The term human capital describes the embodied productive characteristics of an individual (Becker, 1993). While often related to educational attainment at the primary, high school and post-secondary level, experience, and in-firm training (Bhuller et al. 2017; Lemieux 2006). It is also used to capture broader sets of characteristics, such as training, attitudes, motivation and job satisfaction, and has been linked to innovation within firms (Lenihan et al., 2019; McGuirk et al., 2015). </w:t>
      </w:r>
    </w:p>
    <w:p w14:paraId="66505173" w14:textId="6D2EF77D" w:rsidR="004836FF" w:rsidRPr="00160986" w:rsidRDefault="004836FF" w:rsidP="004836FF">
      <w:pPr>
        <w:ind w:left="-15" w:firstLine="339"/>
        <w:rPr>
          <w:lang w:val="en-US"/>
        </w:rPr>
      </w:pPr>
      <w:r w:rsidRPr="00160986">
        <w:rPr>
          <w:lang w:val="en-US"/>
        </w:rPr>
        <w:t>A few prior studies have investigated the relation between short-interval CE and innovation.</w:t>
      </w:r>
      <w:r w:rsidRPr="00160986">
        <w:rPr>
          <w:vertAlign w:val="superscript"/>
          <w:lang w:val="en-US"/>
        </w:rPr>
        <w:footnoteReference w:id="1"/>
      </w:r>
      <w:r w:rsidRPr="00160986">
        <w:rPr>
          <w:lang w:val="en-US"/>
        </w:rPr>
        <w:t xml:space="preserve"> Bauernschuster et al. (2009) use German IAB establishment surveys from 1997 to 2001 to estimate the relation between training support (either financial or through paid time off for training) and the likelihood the firm product innovates. Dostie (2018) and Børing (2017) use similar Canadian and Norwegian surveys to show that having employees with short-interval training is positively related to the likelihood of incremental product innovation.</w:t>
      </w:r>
      <w:r w:rsidRPr="00160986">
        <w:rPr>
          <w:vertAlign w:val="superscript"/>
          <w:lang w:val="en-US"/>
        </w:rPr>
        <w:t xml:space="preserve"> </w:t>
      </w:r>
      <w:r w:rsidRPr="00160986">
        <w:rPr>
          <w:lang w:val="en-US"/>
        </w:rPr>
        <w:t xml:space="preserve">The only Danish study of the relation between short-interval CE and innovation is Voxsted (1998), who used the Danish DISKO survey data from a sample of Danish manufacturing firms to investigate firms' use of training. Voxsted found that among the participating firms, 25 percent had used the </w:t>
      </w:r>
      <w:r w:rsidR="00177FBC" w:rsidRPr="00160986">
        <w:rPr>
          <w:lang w:val="en-US"/>
        </w:rPr>
        <w:t xml:space="preserve">public labor market education </w:t>
      </w:r>
      <w:r w:rsidRPr="00160986">
        <w:rPr>
          <w:lang w:val="en-US"/>
        </w:rPr>
        <w:t xml:space="preserve">programs to upskill </w:t>
      </w:r>
      <w:r w:rsidRPr="00160986">
        <w:rPr>
          <w:lang w:val="en-US"/>
        </w:rPr>
        <w:lastRenderedPageBreak/>
        <w:t>their workers to prepare the firm for process innovations. In general, however, these studies suggest some effect of increasing the skills of the least educated on incremental product and process innovations.</w:t>
      </w:r>
    </w:p>
    <w:p w14:paraId="325197BF" w14:textId="1BAC5D8D" w:rsidR="004836FF" w:rsidRPr="00073C14" w:rsidRDefault="004836FF" w:rsidP="004836FF">
      <w:pPr>
        <w:spacing w:after="336"/>
        <w:ind w:left="-15" w:firstLine="339"/>
        <w:rPr>
          <w:lang w:val="en-US"/>
        </w:rPr>
      </w:pPr>
      <w:r w:rsidRPr="00160986">
        <w:rPr>
          <w:lang w:val="en-US"/>
        </w:rPr>
        <w:t xml:space="preserve">Studies of tertiary CE are scarcer than the studies on short-interval training, and none directly investigate tertiary CE and innovation links to the best of our knowledge. Bolvig et al. (2017) investigate wage returns to tertiary CE in a Danish context, finding no income returns from tertiary CE in Denmark. Several authors have studied </w:t>
      </w:r>
      <w:r w:rsidR="009951E8" w:rsidRPr="00160986">
        <w:rPr>
          <w:lang w:val="en-US"/>
        </w:rPr>
        <w:t xml:space="preserve">individual </w:t>
      </w:r>
      <w:r w:rsidR="001259F0" w:rsidRPr="00160986">
        <w:rPr>
          <w:lang w:val="en-US"/>
        </w:rPr>
        <w:t xml:space="preserve">financial returns </w:t>
      </w:r>
      <w:r w:rsidR="00DA69F6" w:rsidRPr="00160986">
        <w:rPr>
          <w:lang w:val="en-US"/>
        </w:rPr>
        <w:t xml:space="preserve">to </w:t>
      </w:r>
      <w:r w:rsidR="001259F0" w:rsidRPr="00160986">
        <w:rPr>
          <w:lang w:val="en-US"/>
        </w:rPr>
        <w:t xml:space="preserve">and </w:t>
      </w:r>
      <w:r w:rsidR="00AF2EBB" w:rsidRPr="00160986">
        <w:rPr>
          <w:lang w:val="en-US"/>
        </w:rPr>
        <w:t xml:space="preserve">behavior </w:t>
      </w:r>
      <w:r w:rsidR="0051193C" w:rsidRPr="00160986">
        <w:rPr>
          <w:lang w:val="en-US"/>
        </w:rPr>
        <w:t xml:space="preserve">in </w:t>
      </w:r>
      <w:r w:rsidRPr="00160986">
        <w:rPr>
          <w:lang w:val="en-US"/>
        </w:rPr>
        <w:t>tertiary CE programs (</w:t>
      </w:r>
      <w:r w:rsidR="00A66D79" w:rsidRPr="00160986">
        <w:rPr>
          <w:lang w:val="en-US"/>
        </w:rPr>
        <w:t xml:space="preserve">e.g. </w:t>
      </w:r>
      <w:r w:rsidRPr="00160986">
        <w:rPr>
          <w:lang w:val="en-US"/>
        </w:rPr>
        <w:t>Altonji and Zhong, 2020; Bertrand et al., 2010; Boneva et al., 2019).</w:t>
      </w:r>
      <w:r w:rsidR="00362ADE" w:rsidRPr="00160986">
        <w:rPr>
          <w:lang w:val="en-US"/>
        </w:rPr>
        <w:t xml:space="preserve"> </w:t>
      </w:r>
      <w:r w:rsidRPr="00160986">
        <w:rPr>
          <w:vertAlign w:val="superscript"/>
          <w:lang w:val="en-US"/>
        </w:rPr>
        <w:t xml:space="preserve"> </w:t>
      </w:r>
      <w:r w:rsidR="00151EB6" w:rsidRPr="00160986">
        <w:rPr>
          <w:lang w:val="en-US"/>
        </w:rPr>
        <w:t xml:space="preserve">A small literature on </w:t>
      </w:r>
      <w:r w:rsidRPr="00160986">
        <w:rPr>
          <w:lang w:val="en-US"/>
        </w:rPr>
        <w:t xml:space="preserve">US </w:t>
      </w:r>
      <w:r w:rsidR="00160986">
        <w:rPr>
          <w:lang w:val="en-US"/>
        </w:rPr>
        <w:t xml:space="preserve">tertiary CE </w:t>
      </w:r>
      <w:r w:rsidRPr="00160986">
        <w:rPr>
          <w:lang w:val="en-US"/>
        </w:rPr>
        <w:t>MBA participants have also investigated firm-level outcomes from hiring tertiary CE participants.</w:t>
      </w:r>
      <w:r w:rsidR="00177FBC" w:rsidRPr="00160986">
        <w:rPr>
          <w:lang w:val="en-US"/>
        </w:rPr>
        <w:t xml:space="preserve"> </w:t>
      </w:r>
      <w:r w:rsidRPr="00160986">
        <w:rPr>
          <w:lang w:val="en-US"/>
        </w:rPr>
        <w:t xml:space="preserve">These studies typically focus on the </w:t>
      </w:r>
      <w:r w:rsidR="00D70446" w:rsidRPr="00160986">
        <w:rPr>
          <w:lang w:val="en-US"/>
        </w:rPr>
        <w:t xml:space="preserve">effect of peer networks </w:t>
      </w:r>
      <w:r w:rsidR="00DA0EFC" w:rsidRPr="00160986">
        <w:rPr>
          <w:lang w:val="en-US"/>
        </w:rPr>
        <w:t>on</w:t>
      </w:r>
      <w:r w:rsidR="00C52806" w:rsidRPr="00160986">
        <w:rPr>
          <w:lang w:val="en-US"/>
        </w:rPr>
        <w:t xml:space="preserve"> firm policies among firms hiring MBA program peers, </w:t>
      </w:r>
      <w:r w:rsidRPr="00160986">
        <w:rPr>
          <w:lang w:val="en-US"/>
        </w:rPr>
        <w:t>e.g. on top management salar</w:t>
      </w:r>
      <w:r w:rsidR="00877A54" w:rsidRPr="00160986">
        <w:rPr>
          <w:lang w:val="en-US"/>
        </w:rPr>
        <w:t>ies</w:t>
      </w:r>
      <w:r w:rsidRPr="00160986">
        <w:rPr>
          <w:lang w:val="en-US"/>
        </w:rPr>
        <w:t xml:space="preserve">, </w:t>
      </w:r>
      <w:r w:rsidR="00B11101" w:rsidRPr="00160986">
        <w:rPr>
          <w:lang w:val="en-US"/>
        </w:rPr>
        <w:t>acquisition</w:t>
      </w:r>
      <w:r w:rsidR="00877A54" w:rsidRPr="00160986">
        <w:rPr>
          <w:lang w:val="en-US"/>
        </w:rPr>
        <w:t>s,</w:t>
      </w:r>
      <w:r w:rsidRPr="00160986">
        <w:rPr>
          <w:lang w:val="en-US"/>
        </w:rPr>
        <w:t xml:space="preserve"> investment strategies, and the likelihood of successful entrepreneurship </w:t>
      </w:r>
      <w:r w:rsidRPr="00073C14">
        <w:rPr>
          <w:lang w:val="en-US"/>
        </w:rPr>
        <w:t xml:space="preserve">(Ahern et al., 2014; Lerner and Malmendier, 2013; Shue, 2013). </w:t>
      </w:r>
    </w:p>
    <w:p w14:paraId="7F375499" w14:textId="77777777" w:rsidR="004836FF" w:rsidRPr="00073C14" w:rsidRDefault="004836FF" w:rsidP="004836FF">
      <w:pPr>
        <w:spacing w:after="336"/>
        <w:ind w:left="-15" w:firstLine="339"/>
        <w:rPr>
          <w:lang w:val="en-US"/>
        </w:rPr>
      </w:pPr>
      <w:r w:rsidRPr="00073C14">
        <w:rPr>
          <w:lang w:val="en-US"/>
        </w:rPr>
        <w:t>In summary, while there exists a large set of studies linking various forms of human capital and the likelihood of innovation, few have investigated CE effects on innovation. The existing studies also tend to focus on short-interval CE, leaving no empirical evidence directly on the effects of tertiary CE.</w:t>
      </w:r>
    </w:p>
    <w:p w14:paraId="08B56619" w14:textId="1D7475B3" w:rsidR="004836FF" w:rsidRPr="00073C14" w:rsidRDefault="004836FF" w:rsidP="004836FF">
      <w:pPr>
        <w:pStyle w:val="Heading2"/>
        <w:ind w:left="598" w:hanging="613"/>
        <w:rPr>
          <w:lang w:val="en-US"/>
        </w:rPr>
      </w:pPr>
      <w:r w:rsidRPr="00073C14">
        <w:rPr>
          <w:lang w:val="en-US"/>
        </w:rPr>
        <w:t xml:space="preserve">Theoretical Links </w:t>
      </w:r>
      <w:r w:rsidR="0057185F" w:rsidRPr="00073C14">
        <w:rPr>
          <w:lang w:val="en-US"/>
        </w:rPr>
        <w:t>from</w:t>
      </w:r>
      <w:r w:rsidRPr="00073C14">
        <w:rPr>
          <w:lang w:val="en-US"/>
        </w:rPr>
        <w:t xml:space="preserve"> Tertiary CE to Innovation</w:t>
      </w:r>
    </w:p>
    <w:p w14:paraId="321A91F1" w14:textId="28BCC10A" w:rsidR="004836FF" w:rsidRPr="00073C14" w:rsidRDefault="004836FF" w:rsidP="004836FF">
      <w:pPr>
        <w:spacing w:after="32"/>
        <w:ind w:left="-15" w:firstLine="0"/>
        <w:rPr>
          <w:lang w:val="en-US"/>
        </w:rPr>
      </w:pPr>
      <w:r w:rsidRPr="00073C14">
        <w:rPr>
          <w:lang w:val="en-US"/>
        </w:rPr>
        <w:t>Tertiary CE differs from initial education in that participants already have high levels of education, and that they already have substantial work experience. Like short-interval CE it also allows firms to upgrade their employees’ skills beyond the internal knowledge base of the firm where skills and human capital more broadly can be learned through learning-by-doing</w:t>
      </w:r>
      <w:r w:rsidR="00784EF8" w:rsidRPr="00073C14">
        <w:rPr>
          <w:lang w:val="en-US"/>
        </w:rPr>
        <w:t>.</w:t>
      </w:r>
      <w:r w:rsidRPr="00160986">
        <w:rPr>
          <w:vertAlign w:val="superscript"/>
          <w:lang w:val="en-US"/>
        </w:rPr>
        <w:footnoteReference w:id="2"/>
      </w:r>
      <w:r w:rsidRPr="00160986">
        <w:rPr>
          <w:vertAlign w:val="superscript"/>
          <w:lang w:val="en-US"/>
        </w:rPr>
        <w:t xml:space="preserve"> </w:t>
      </w:r>
      <w:r w:rsidRPr="00160986">
        <w:rPr>
          <w:lang w:val="en-US"/>
        </w:rPr>
        <w:t>This external skill acquisition becomes increasingly important as firms will have to adapt to technological change (Holm et al. 2020, Nielsen et al. 2020 [=chapters]), which may force firms and workers to grapple with new technologies and innovat</w:t>
      </w:r>
      <w:r w:rsidRPr="00073C14">
        <w:rPr>
          <w:lang w:val="en-US"/>
        </w:rPr>
        <w:t>ion opportunities and demands. Tertiary CE also differs from the short-</w:t>
      </w:r>
      <w:r w:rsidRPr="00073C14">
        <w:rPr>
          <w:lang w:val="en-US"/>
        </w:rPr>
        <w:lastRenderedPageBreak/>
        <w:t xml:space="preserve">interval CE in that they focus not on specific applied skills, but rather on </w:t>
      </w:r>
      <w:r w:rsidR="005F3DA2" w:rsidRPr="00073C14">
        <w:rPr>
          <w:lang w:val="en-US"/>
        </w:rPr>
        <w:t xml:space="preserve">more general skills such as </w:t>
      </w:r>
      <w:r w:rsidRPr="00073C14">
        <w:rPr>
          <w:lang w:val="en-US"/>
        </w:rPr>
        <w:t xml:space="preserve">managerial skills. </w:t>
      </w:r>
    </w:p>
    <w:p w14:paraId="6DCACEAC" w14:textId="3E8DB334" w:rsidR="005F3DA2" w:rsidRPr="00073C14" w:rsidRDefault="005F3DA2" w:rsidP="004836FF">
      <w:pPr>
        <w:spacing w:after="32"/>
        <w:ind w:left="-15" w:firstLine="0"/>
        <w:rPr>
          <w:lang w:val="en-US"/>
        </w:rPr>
      </w:pPr>
      <w:r w:rsidRPr="00073C14">
        <w:rPr>
          <w:lang w:val="en-US"/>
        </w:rPr>
        <w:t>The importance of managerial skills is emphasized in the Strategic Management literature. In the Resource-Based View of the Firm (e.g. Barney</w:t>
      </w:r>
      <w:r w:rsidR="001D5C78" w:rsidRPr="00073C14">
        <w:rPr>
          <w:lang w:val="en-US"/>
        </w:rPr>
        <w:t>,</w:t>
      </w:r>
      <w:r w:rsidRPr="00073C14">
        <w:rPr>
          <w:lang w:val="en-US"/>
        </w:rPr>
        <w:t xml:space="preserve"> 1991</w:t>
      </w:r>
      <w:r w:rsidR="001D5C78" w:rsidRPr="00073C14">
        <w:rPr>
          <w:lang w:val="en-US"/>
        </w:rPr>
        <w:t>,</w:t>
      </w:r>
      <w:r w:rsidRPr="00073C14">
        <w:rPr>
          <w:lang w:val="en-US"/>
        </w:rPr>
        <w:t xml:space="preserve"> and Peteraf</w:t>
      </w:r>
      <w:r w:rsidR="001D5C78" w:rsidRPr="00073C14">
        <w:rPr>
          <w:lang w:val="en-US"/>
        </w:rPr>
        <w:t>,</w:t>
      </w:r>
      <w:r w:rsidRPr="00073C14">
        <w:rPr>
          <w:lang w:val="en-US"/>
        </w:rPr>
        <w:t xml:space="preserve"> 1993), firms gain competitive advantages when their managers effectively utilize (valuable) resources idiosyncratic to the firm. The more recent Dynamic Capabilities literature (e.g. Teece 2007, Teece et al. 1997, and Winter 2003) instead focus on </w:t>
      </w:r>
      <w:r w:rsidR="0034223C" w:rsidRPr="00073C14">
        <w:rPr>
          <w:lang w:val="en-US"/>
        </w:rPr>
        <w:t>long-run</w:t>
      </w:r>
      <w:r w:rsidRPr="00073C14">
        <w:rPr>
          <w:lang w:val="en-US"/>
        </w:rPr>
        <w:t xml:space="preserve"> adaptability of the firm, </w:t>
      </w:r>
      <w:r w:rsidR="00854012" w:rsidRPr="00073C14">
        <w:rPr>
          <w:lang w:val="en-US"/>
        </w:rPr>
        <w:t xml:space="preserve">emphasizing how </w:t>
      </w:r>
      <w:r w:rsidRPr="00073C14">
        <w:rPr>
          <w:lang w:val="en-US"/>
        </w:rPr>
        <w:t>managerial capabilities allow the firm to maintain sustained competitive advantaged through change. Teece (2010, 2017) makes more direct links between management, and in particular Dynamic Capabilities, and innovation within the firm, arguing that management skills are a necessary component in the sustained innovation activity in the firm.</w:t>
      </w:r>
    </w:p>
    <w:p w14:paraId="630E06C9" w14:textId="11FE355F" w:rsidR="004836FF" w:rsidRPr="00073C14" w:rsidRDefault="00FE2E00" w:rsidP="004836FF">
      <w:pPr>
        <w:ind w:left="-15" w:firstLine="339"/>
        <w:rPr>
          <w:lang w:val="en-US"/>
        </w:rPr>
      </w:pPr>
      <w:r w:rsidRPr="00073C14">
        <w:rPr>
          <w:lang w:val="en-US"/>
        </w:rPr>
        <w:t>Alternatively</w:t>
      </w:r>
      <w:r w:rsidR="005C1A02" w:rsidRPr="00073C14">
        <w:rPr>
          <w:lang w:val="en-US"/>
        </w:rPr>
        <w:t>,</w:t>
      </w:r>
      <w:r w:rsidRPr="00073C14">
        <w:rPr>
          <w:lang w:val="en-US"/>
        </w:rPr>
        <w:t xml:space="preserve"> the managerial skills developed in tertiary </w:t>
      </w:r>
      <w:r w:rsidR="00794ECF" w:rsidRPr="00073C14">
        <w:rPr>
          <w:lang w:val="en-US"/>
        </w:rPr>
        <w:t xml:space="preserve">CE </w:t>
      </w:r>
      <w:r w:rsidR="004836FF" w:rsidRPr="00073C14">
        <w:rPr>
          <w:lang w:val="en-US"/>
        </w:rPr>
        <w:t xml:space="preserve">may draw on networks formed during employees’ tertiary CE participation to increase the likelihood of successful innovation. </w:t>
      </w:r>
      <w:r w:rsidR="0034614D" w:rsidRPr="00073C14">
        <w:rPr>
          <w:lang w:val="en-US"/>
        </w:rPr>
        <w:t xml:space="preserve">A core idea in the NSI literature is that knowledge is the foundation for innovation (see e.g. Lundvall 2016), and networks between actors in the economy allow for knowledge sharing and can, in turn, lead to higher likelihoods of innovation (e.g. Bell et al. 2019; Bonaccorsi et al. 2014; Cantner and Graf 2006; Dahl and Pedersen 2004; Gonzalez-Brambila et al. 2013). </w:t>
      </w:r>
      <w:r w:rsidR="007D570C" w:rsidRPr="00073C14">
        <w:rPr>
          <w:lang w:val="en-US"/>
        </w:rPr>
        <w:t xml:space="preserve">The recent US MBA studies </w:t>
      </w:r>
      <w:r w:rsidR="00EE6878" w:rsidRPr="00073C14">
        <w:rPr>
          <w:lang w:val="en-US"/>
        </w:rPr>
        <w:t xml:space="preserve">on </w:t>
      </w:r>
      <w:r w:rsidR="00073C14">
        <w:rPr>
          <w:lang w:val="en-US"/>
        </w:rPr>
        <w:t xml:space="preserve">effects of </w:t>
      </w:r>
      <w:r w:rsidR="00EE6878" w:rsidRPr="00073C14">
        <w:rPr>
          <w:lang w:val="en-US"/>
        </w:rPr>
        <w:t xml:space="preserve">peer networks </w:t>
      </w:r>
      <w:r w:rsidR="00073C14">
        <w:rPr>
          <w:lang w:val="en-US"/>
        </w:rPr>
        <w:t>on</w:t>
      </w:r>
      <w:r w:rsidR="00073C14" w:rsidRPr="00073C14">
        <w:rPr>
          <w:lang w:val="en-US"/>
        </w:rPr>
        <w:t xml:space="preserve"> </w:t>
      </w:r>
      <w:r w:rsidR="00EE6878" w:rsidRPr="00073C14">
        <w:rPr>
          <w:lang w:val="en-US"/>
        </w:rPr>
        <w:t>firm pol</w:t>
      </w:r>
      <w:r w:rsidR="007E3328" w:rsidRPr="00073C14">
        <w:rPr>
          <w:lang w:val="en-US"/>
        </w:rPr>
        <w:t>icies</w:t>
      </w:r>
      <w:r w:rsidR="00073C14">
        <w:rPr>
          <w:lang w:val="en-US"/>
        </w:rPr>
        <w:t>,</w:t>
      </w:r>
      <w:r w:rsidR="007E3328" w:rsidRPr="00073C14">
        <w:rPr>
          <w:lang w:val="en-US"/>
        </w:rPr>
        <w:t xml:space="preserve"> </w:t>
      </w:r>
      <w:r w:rsidR="002A1197" w:rsidRPr="00073C14">
        <w:rPr>
          <w:lang w:val="en-US"/>
        </w:rPr>
        <w:t>furthermore</w:t>
      </w:r>
      <w:r w:rsidR="00073C14">
        <w:rPr>
          <w:lang w:val="en-US"/>
        </w:rPr>
        <w:t>,</w:t>
      </w:r>
      <w:r w:rsidR="007E3328" w:rsidRPr="00073C14">
        <w:rPr>
          <w:lang w:val="en-US"/>
        </w:rPr>
        <w:t xml:space="preserve"> underscore the importance of collaborations formed during studies for subsequent firm outcomes</w:t>
      </w:r>
      <w:r w:rsidR="004836FF" w:rsidRPr="00073C14">
        <w:rPr>
          <w:lang w:val="en-US"/>
        </w:rPr>
        <w:t xml:space="preserve"> (Hacamo and Kleiner, 2020; Lerner and Malmendier, 2013; Shue, 2013). </w:t>
      </w:r>
      <w:r w:rsidR="00073C14">
        <w:rPr>
          <w:lang w:val="en-US"/>
        </w:rPr>
        <w:t>A potentially important type of networks may be with employees at universities, giving access to collaborations and knowledge sharing with the universities previously linked to innovation</w:t>
      </w:r>
      <w:r w:rsidR="004836FF" w:rsidRPr="00073C14">
        <w:rPr>
          <w:lang w:val="en-US"/>
        </w:rPr>
        <w:t xml:space="preserve"> (Cohen et al., 2002; Jaffe, 1989). As we cannot distinguish between firms’ other networks, but we can investigate collaborations with universities with our available data, we, therefore, test a second hypothesis</w:t>
      </w:r>
      <w:r w:rsidR="00F22B6E" w:rsidRPr="00073C14">
        <w:rPr>
          <w:lang w:val="en-US"/>
        </w:rPr>
        <w:t>:</w:t>
      </w:r>
      <w:r w:rsidR="004836FF" w:rsidRPr="00073C14">
        <w:rPr>
          <w:lang w:val="en-US"/>
        </w:rPr>
        <w:t xml:space="preserve"> having employees that have participated in tertiary CE leads to higher likelihoods of collaborating with universities for innovation purposes, and also that this is the main channel for tertiary CE’s effect on the likelihood of successfully innovating.</w:t>
      </w:r>
    </w:p>
    <w:p w14:paraId="2DAD39AD" w14:textId="77777777" w:rsidR="004836FF" w:rsidRPr="00073C14" w:rsidRDefault="004836FF" w:rsidP="00811CC3">
      <w:pPr>
        <w:spacing w:after="155"/>
        <w:ind w:left="14" w:right="-14" w:hanging="14"/>
        <w:rPr>
          <w:lang w:val="en-US"/>
        </w:rPr>
      </w:pPr>
    </w:p>
    <w:p w14:paraId="2C1F839B" w14:textId="77777777" w:rsidR="00593CF7" w:rsidRPr="00073C14" w:rsidRDefault="00FF24AB" w:rsidP="00F22B6E">
      <w:pPr>
        <w:pStyle w:val="Heading2"/>
        <w:rPr>
          <w:lang w:val="en-US"/>
        </w:rPr>
      </w:pPr>
      <w:r w:rsidRPr="00073C14">
        <w:rPr>
          <w:lang w:val="en-US"/>
        </w:rPr>
        <w:lastRenderedPageBreak/>
        <w:t>Tertiary Continuing Education in Denmark</w:t>
      </w:r>
    </w:p>
    <w:p w14:paraId="50088AA1" w14:textId="4D13C6F9" w:rsidR="00593CF7" w:rsidRPr="00073C14" w:rsidRDefault="00FF24AB" w:rsidP="00073C14">
      <w:pPr>
        <w:ind w:left="-15" w:firstLine="0"/>
        <w:rPr>
          <w:lang w:val="en-US"/>
        </w:rPr>
      </w:pPr>
      <w:r w:rsidRPr="00073C14">
        <w:rPr>
          <w:lang w:val="en-US"/>
        </w:rPr>
        <w:t>The Danish CE system can be divided into the short-interval labor market educations (AMU) and the longer tertiary CE Master and Diploma programs (such as MBAs, MPAs, Master in IT, and</w:t>
      </w:r>
    </w:p>
    <w:p w14:paraId="0EF8772A" w14:textId="347887ED" w:rsidR="00593CF7" w:rsidRPr="00073C14" w:rsidRDefault="00FF24AB" w:rsidP="00073C14">
      <w:pPr>
        <w:spacing w:after="333"/>
        <w:ind w:left="-15" w:firstLine="0"/>
        <w:rPr>
          <w:lang w:val="en-US"/>
        </w:rPr>
      </w:pPr>
      <w:r w:rsidRPr="00073C14">
        <w:rPr>
          <w:lang w:val="en-US"/>
        </w:rPr>
        <w:t>Diploma in Pedagogy).</w:t>
      </w:r>
      <w:r w:rsidRPr="00073C14">
        <w:rPr>
          <w:vertAlign w:val="superscript"/>
          <w:lang w:val="en-US"/>
        </w:rPr>
        <w:t xml:space="preserve"> </w:t>
      </w:r>
      <w:r w:rsidR="00AF19F1" w:rsidRPr="00073C14">
        <w:rPr>
          <w:lang w:val="en-US"/>
        </w:rPr>
        <w:t xml:space="preserve">In this section, we </w:t>
      </w:r>
      <w:r w:rsidR="00073C14">
        <w:rPr>
          <w:lang w:val="en-US"/>
        </w:rPr>
        <w:t xml:space="preserve">shortly </w:t>
      </w:r>
      <w:r w:rsidR="00AF19F1" w:rsidRPr="00073C14">
        <w:rPr>
          <w:lang w:val="en-US"/>
        </w:rPr>
        <w:t xml:space="preserve">compare the two types of </w:t>
      </w:r>
      <w:r w:rsidR="00AF19F1" w:rsidRPr="00073C14">
        <w:rPr>
          <w:i/>
          <w:iCs/>
          <w:lang w:val="en-US"/>
        </w:rPr>
        <w:t>programs</w:t>
      </w:r>
      <w:r w:rsidR="00073C14">
        <w:rPr>
          <w:i/>
          <w:iCs/>
          <w:lang w:val="en-US"/>
        </w:rPr>
        <w:t xml:space="preserve"> </w:t>
      </w:r>
      <w:r w:rsidR="00073C14">
        <w:rPr>
          <w:lang w:val="en-US"/>
        </w:rPr>
        <w:t>to provide context for the following analysis</w:t>
      </w:r>
      <w:r w:rsidRPr="00073C14">
        <w:rPr>
          <w:lang w:val="en-US"/>
        </w:rPr>
        <w:t>.</w:t>
      </w:r>
      <w:r w:rsidRPr="00160986">
        <w:rPr>
          <w:vertAlign w:val="superscript"/>
          <w:lang w:val="en-US"/>
        </w:rPr>
        <w:footnoteReference w:id="3"/>
      </w:r>
      <w:r w:rsidR="007A4F1E" w:rsidRPr="00160986">
        <w:rPr>
          <w:lang w:val="en-US"/>
        </w:rPr>
        <w:t xml:space="preserve"> </w:t>
      </w:r>
    </w:p>
    <w:p w14:paraId="736C5239" w14:textId="2A788B5E" w:rsidR="00F0627B" w:rsidRPr="00073C14" w:rsidRDefault="00FF24AB" w:rsidP="00073C14">
      <w:pPr>
        <w:ind w:left="-15" w:firstLine="243"/>
        <w:rPr>
          <w:lang w:val="en-US"/>
        </w:rPr>
      </w:pPr>
      <w:r w:rsidRPr="00073C14">
        <w:rPr>
          <w:lang w:val="en-US"/>
        </w:rPr>
        <w:t xml:space="preserve">The majority of Diploma and Master programs aim at providing participants with management skills. To characterize the content of the tertiary CE programs, we have collected information on program content from the Danish Ministry of Education (www.ug.dk) and individual programs’ webpages. Among Diploma tertiary CE programs, 45 percent are fully </w:t>
      </w:r>
      <w:r w:rsidR="00165755" w:rsidRPr="00073C14">
        <w:rPr>
          <w:lang w:val="en-US"/>
        </w:rPr>
        <w:t>management oriented</w:t>
      </w:r>
      <w:r w:rsidRPr="00073C14">
        <w:rPr>
          <w:lang w:val="en-US"/>
        </w:rPr>
        <w:t>. Nearly all other programs, such as the Diploma in Pedagogy, include courses on management specified for the context the course is intended for. Similarly, 42 percent of Master programs are specifically management-oriented, including MBAs and MPAs, and most other Master programs provide some level of management skills aimed at application to the specific field. One example</w:t>
      </w:r>
      <w:r w:rsidR="00F0627B" w:rsidRPr="00073C14">
        <w:rPr>
          <w:lang w:val="en-US"/>
        </w:rPr>
        <w:t xml:space="preserve"> of the programs with specific emphasis is the Master in IT, which allows participants to update their knowledge of recent IT developments, while also gaining management-oriented skills aimed at being useful IT sections and firms. In contrast to the tertiary CE programs, AMU programs provide specialized content aimed at building narrow, applied skills including how to use specialized welding equipment (Gregersen and Holek, 1996).</w:t>
      </w:r>
    </w:p>
    <w:p w14:paraId="75F8705C" w14:textId="77777777" w:rsidR="00B56D4E" w:rsidRPr="00073C14" w:rsidRDefault="00B56D4E" w:rsidP="00F0627B">
      <w:pPr>
        <w:ind w:left="-15" w:firstLine="0"/>
        <w:rPr>
          <w:lang w:val="en-US"/>
        </w:rPr>
      </w:pPr>
    </w:p>
    <w:p w14:paraId="6D004B6A" w14:textId="23E3C1DD" w:rsidR="00593CF7" w:rsidRPr="00073C14" w:rsidRDefault="00B56D4E" w:rsidP="00B56D4E">
      <w:pPr>
        <w:pStyle w:val="Caption"/>
        <w:jc w:val="center"/>
        <w:rPr>
          <w:lang w:val="en-US"/>
        </w:rPr>
      </w:pPr>
      <w:r w:rsidRPr="00073C14">
        <w:rPr>
          <w:lang w:val="en-US"/>
        </w:rPr>
        <w:t xml:space="preserve">Figure </w:t>
      </w:r>
      <w:r w:rsidRPr="00160986">
        <w:rPr>
          <w:lang w:val="en-US"/>
        </w:rPr>
        <w:fldChar w:fldCharType="begin"/>
      </w:r>
      <w:r w:rsidRPr="00073C14">
        <w:rPr>
          <w:lang w:val="en-US"/>
        </w:rPr>
        <w:instrText xml:space="preserve"> SEQ Figure \* ARABIC </w:instrText>
      </w:r>
      <w:r w:rsidRPr="00073C14">
        <w:rPr>
          <w:lang w:val="en-US"/>
        </w:rPr>
        <w:fldChar w:fldCharType="separate"/>
      </w:r>
      <w:r w:rsidR="000C10F9" w:rsidRPr="00160986">
        <w:rPr>
          <w:noProof/>
          <w:lang w:val="en-US"/>
        </w:rPr>
        <w:t>1</w:t>
      </w:r>
      <w:r w:rsidRPr="00160986">
        <w:rPr>
          <w:lang w:val="en-US"/>
        </w:rPr>
        <w:fldChar w:fldCharType="end"/>
      </w:r>
      <w:r w:rsidRPr="00160986">
        <w:rPr>
          <w:lang w:val="en-US"/>
        </w:rPr>
        <w:t>: Number of students who have started CE by year and type of program.</w:t>
      </w:r>
    </w:p>
    <w:p w14:paraId="34C8AD41" w14:textId="724D11DD" w:rsidR="00B56D4E" w:rsidRPr="00160986" w:rsidRDefault="00FF24AB" w:rsidP="00B56D4E">
      <w:pPr>
        <w:keepNext/>
        <w:spacing w:after="466" w:line="259" w:lineRule="auto"/>
        <w:ind w:left="0" w:firstLine="0"/>
        <w:jc w:val="left"/>
        <w:rPr>
          <w:lang w:val="en-US"/>
        </w:rPr>
      </w:pPr>
      <w:r w:rsidRPr="00160986">
        <w:rPr>
          <w:noProof/>
          <w:lang w:val="en-US"/>
        </w:rPr>
        <w:lastRenderedPageBreak/>
        <w:drawing>
          <wp:inline distT="0" distB="0" distL="0" distR="0" wp14:anchorId="2E854D6C" wp14:editId="4AF80538">
            <wp:extent cx="5943644" cy="2920699"/>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8"/>
                    <a:stretch>
                      <a:fillRect/>
                    </a:stretch>
                  </pic:blipFill>
                  <pic:spPr>
                    <a:xfrm>
                      <a:off x="0" y="0"/>
                      <a:ext cx="5943644" cy="2920699"/>
                    </a:xfrm>
                    <a:prstGeom prst="rect">
                      <a:avLst/>
                    </a:prstGeom>
                  </pic:spPr>
                </pic:pic>
              </a:graphicData>
            </a:graphic>
          </wp:inline>
        </w:drawing>
      </w:r>
    </w:p>
    <w:p w14:paraId="11AB6032" w14:textId="61A2D224" w:rsidR="00B56D4E" w:rsidRPr="00073C14" w:rsidRDefault="00B56D4E" w:rsidP="00B56D4E">
      <w:pPr>
        <w:spacing w:after="347" w:line="307" w:lineRule="auto"/>
        <w:ind w:left="946" w:right="936" w:hanging="10"/>
        <w:rPr>
          <w:lang w:val="en-US"/>
        </w:rPr>
      </w:pPr>
      <w:r w:rsidRPr="00073C14">
        <w:rPr>
          <w:sz w:val="18"/>
          <w:lang w:val="en-US"/>
        </w:rPr>
        <w:t>The figure is based on Danish administrative data on spells of CE participation at the individual-spell level. The number of students per year is the number of unique individuals pursuing a given type of program each year.</w:t>
      </w:r>
      <w:r w:rsidR="002606B9" w:rsidRPr="00073C14">
        <w:rPr>
          <w:sz w:val="18"/>
          <w:lang w:val="en-US"/>
        </w:rPr>
        <w:t xml:space="preserve"> The number of courses pursued will be higher for AMU participation, as some participants </w:t>
      </w:r>
      <w:r w:rsidR="000D7B1F" w:rsidRPr="00073C14">
        <w:rPr>
          <w:sz w:val="18"/>
          <w:lang w:val="en-US"/>
        </w:rPr>
        <w:t xml:space="preserve">go to more than one course per year. </w:t>
      </w:r>
      <w:r w:rsidRPr="00073C14">
        <w:rPr>
          <w:sz w:val="18"/>
          <w:lang w:val="en-US"/>
        </w:rPr>
        <w:t xml:space="preserve">  </w:t>
      </w:r>
    </w:p>
    <w:p w14:paraId="1C824F01" w14:textId="77777777" w:rsidR="00B72B6C" w:rsidRDefault="00FF24AB" w:rsidP="00B72B6C">
      <w:pPr>
        <w:ind w:left="0" w:firstLine="469"/>
        <w:rPr>
          <w:lang w:val="en-US"/>
        </w:rPr>
      </w:pPr>
      <w:r w:rsidRPr="00073C14">
        <w:rPr>
          <w:lang w:val="en-US"/>
        </w:rPr>
        <w:t>The number of CE students in Denmark has increased over time, both in the</w:t>
      </w:r>
      <w:r w:rsidR="00F22B6E" w:rsidRPr="00073C14">
        <w:rPr>
          <w:lang w:val="en-US"/>
        </w:rPr>
        <w:t xml:space="preserve"> </w:t>
      </w:r>
      <w:r w:rsidR="00794ECF" w:rsidRPr="00073C14">
        <w:rPr>
          <w:lang w:val="en-US"/>
        </w:rPr>
        <w:t xml:space="preserve">AMU </w:t>
      </w:r>
      <w:r w:rsidRPr="00073C14">
        <w:rPr>
          <w:lang w:val="en-US"/>
        </w:rPr>
        <w:t xml:space="preserve">programs and tertiary level </w:t>
      </w:r>
      <w:r w:rsidR="00FA627C" w:rsidRPr="00B72B6C">
        <w:rPr>
          <w:lang w:val="en-US"/>
        </w:rPr>
        <w:t>M</w:t>
      </w:r>
      <w:r w:rsidRPr="00B72B6C">
        <w:rPr>
          <w:lang w:val="en-US"/>
        </w:rPr>
        <w:t xml:space="preserve">aster and </w:t>
      </w:r>
      <w:r w:rsidR="00FA627C" w:rsidRPr="00B72B6C">
        <w:rPr>
          <w:lang w:val="en-US"/>
        </w:rPr>
        <w:t>D</w:t>
      </w:r>
      <w:r w:rsidRPr="00B72B6C">
        <w:rPr>
          <w:lang w:val="en-US"/>
        </w:rPr>
        <w:t xml:space="preserve">iplomas. Figure 1 shows the number of individuals who have started a course, by year and type of program. From 2000 to 2015 the number of new </w:t>
      </w:r>
      <w:r w:rsidR="00897ED1" w:rsidRPr="00B72B6C">
        <w:rPr>
          <w:lang w:val="en-US"/>
        </w:rPr>
        <w:t>M</w:t>
      </w:r>
      <w:r w:rsidRPr="00B72B6C">
        <w:rPr>
          <w:lang w:val="en-US"/>
        </w:rPr>
        <w:t xml:space="preserve">aster students rose from </w:t>
      </w:r>
      <w:r w:rsidR="00ED7EBB" w:rsidRPr="00B72B6C">
        <w:rPr>
          <w:lang w:val="en-US"/>
        </w:rPr>
        <w:t>five</w:t>
      </w:r>
      <w:r w:rsidRPr="00B72B6C">
        <w:rPr>
          <w:lang w:val="en-US"/>
        </w:rPr>
        <w:t xml:space="preserve"> to 5,200, and the number of </w:t>
      </w:r>
      <w:r w:rsidR="00FA627C" w:rsidRPr="00B72B6C">
        <w:rPr>
          <w:lang w:val="en-US"/>
        </w:rPr>
        <w:t>D</w:t>
      </w:r>
      <w:r w:rsidRPr="00B72B6C">
        <w:rPr>
          <w:lang w:val="en-US"/>
        </w:rPr>
        <w:t xml:space="preserve">iploma students rose from 4,100 to 24,400 students. </w:t>
      </w:r>
      <w:r w:rsidR="00073C14">
        <w:rPr>
          <w:lang w:val="en-US"/>
        </w:rPr>
        <w:t xml:space="preserve">This reflects the opening of many new tertiary CE programs across Danish education institutions. </w:t>
      </w:r>
      <w:r w:rsidRPr="00073C14">
        <w:rPr>
          <w:lang w:val="en-US"/>
        </w:rPr>
        <w:t xml:space="preserve">Over the same period, </w:t>
      </w:r>
      <w:r w:rsidR="00073C14">
        <w:rPr>
          <w:lang w:val="en-US"/>
        </w:rPr>
        <w:t xml:space="preserve">the number of </w:t>
      </w:r>
      <w:r w:rsidRPr="00073C14">
        <w:rPr>
          <w:lang w:val="en-US"/>
        </w:rPr>
        <w:t>AMU students increased from 173,000 in 2000 to 448,200 in 2009 during the Financial Crisis</w:t>
      </w:r>
      <w:r w:rsidR="00073C14">
        <w:rPr>
          <w:lang w:val="en-US"/>
        </w:rPr>
        <w:t xml:space="preserve">, declining then to </w:t>
      </w:r>
      <w:r w:rsidRPr="00073C14">
        <w:rPr>
          <w:lang w:val="en-US"/>
        </w:rPr>
        <w:t xml:space="preserve">198,900 in 2015. </w:t>
      </w:r>
      <w:r w:rsidR="00073C14">
        <w:rPr>
          <w:lang w:val="en-US"/>
        </w:rPr>
        <w:t>The different post-Crisis trends reflect different uses of programs, where AMU programs are used as unemployment-based training programs</w:t>
      </w:r>
      <w:r w:rsidR="00B72B6C">
        <w:rPr>
          <w:lang w:val="en-US"/>
        </w:rPr>
        <w:t>, while tertiary CE is a more substantial time- and monetary investment with increased usage over time.</w:t>
      </w:r>
    </w:p>
    <w:p w14:paraId="209E7DE7" w14:textId="4E1DA830" w:rsidR="00593CF7" w:rsidRDefault="00FF24AB" w:rsidP="00B72B6C">
      <w:pPr>
        <w:ind w:left="0" w:firstLine="469"/>
        <w:rPr>
          <w:lang w:val="en-US"/>
        </w:rPr>
      </w:pPr>
      <w:r w:rsidRPr="00B72B6C">
        <w:rPr>
          <w:lang w:val="en-US"/>
        </w:rPr>
        <w:t>Tertiary CE programs usually last between one and two years, while the average AMU course lasts 4 days, and tertiary CE is taken at more intense levels than AMU courses</w:t>
      </w:r>
      <w:r w:rsidR="00637AFB" w:rsidRPr="00B72B6C">
        <w:rPr>
          <w:lang w:val="en-US"/>
        </w:rPr>
        <w:t xml:space="preserve"> (Gregersen and Holek, 1996; Undervisningsministeriet, 2010)</w:t>
      </w:r>
      <w:r w:rsidRPr="00B72B6C">
        <w:rPr>
          <w:lang w:val="en-US"/>
        </w:rPr>
        <w:t xml:space="preserve">. </w:t>
      </w:r>
      <w:r w:rsidR="00637AFB" w:rsidRPr="00B72B6C">
        <w:rPr>
          <w:lang w:val="en-US"/>
        </w:rPr>
        <w:t xml:space="preserve">As a result, AMU courses are taken at less intensive levels than Diploma and Master programs. </w:t>
      </w:r>
      <w:r w:rsidR="0084327A" w:rsidRPr="00B72B6C">
        <w:rPr>
          <w:lang w:val="en-US"/>
        </w:rPr>
        <w:t xml:space="preserve"> As a proportion of the academic credits awarded to </w:t>
      </w:r>
      <w:r w:rsidR="009C2699" w:rsidRPr="00B72B6C">
        <w:rPr>
          <w:lang w:val="en-US"/>
        </w:rPr>
        <w:t>full-time</w:t>
      </w:r>
      <w:r w:rsidR="0084327A" w:rsidRPr="00B72B6C">
        <w:rPr>
          <w:lang w:val="en-US"/>
        </w:rPr>
        <w:t xml:space="preserve"> </w:t>
      </w:r>
      <w:r w:rsidR="0084327A" w:rsidRPr="00B72B6C">
        <w:rPr>
          <w:lang w:val="en-US"/>
        </w:rPr>
        <w:lastRenderedPageBreak/>
        <w:t>students</w:t>
      </w:r>
      <w:r w:rsidR="00D53683" w:rsidRPr="00B72B6C">
        <w:rPr>
          <w:lang w:val="en-US"/>
        </w:rPr>
        <w:t>,</w:t>
      </w:r>
      <w:r w:rsidR="0084327A" w:rsidRPr="00B72B6C">
        <w:rPr>
          <w:lang w:val="en-US"/>
        </w:rPr>
        <w:t xml:space="preserve"> </w:t>
      </w:r>
      <w:r w:rsidRPr="00B72B6C">
        <w:rPr>
          <w:lang w:val="en-US"/>
        </w:rPr>
        <w:t xml:space="preserve">Master and Diploma students </w:t>
      </w:r>
      <w:r w:rsidR="0084327A" w:rsidRPr="00B72B6C">
        <w:rPr>
          <w:lang w:val="en-US"/>
        </w:rPr>
        <w:t xml:space="preserve">achieve </w:t>
      </w:r>
      <w:r w:rsidRPr="00B72B6C">
        <w:rPr>
          <w:lang w:val="en-US"/>
        </w:rPr>
        <w:t xml:space="preserve">between 0.6 and 1.2 </w:t>
      </w:r>
      <w:r w:rsidR="0084327A" w:rsidRPr="00B72B6C">
        <w:rPr>
          <w:lang w:val="en-US"/>
        </w:rPr>
        <w:t xml:space="preserve">of a </w:t>
      </w:r>
      <w:r w:rsidRPr="00B72B6C">
        <w:rPr>
          <w:lang w:val="en-US"/>
        </w:rPr>
        <w:t xml:space="preserve">full-time equivalent </w:t>
      </w:r>
      <w:r w:rsidR="0084327A" w:rsidRPr="00B72B6C">
        <w:rPr>
          <w:lang w:val="en-US"/>
        </w:rPr>
        <w:t xml:space="preserve">study </w:t>
      </w:r>
      <w:r w:rsidRPr="00B72B6C">
        <w:rPr>
          <w:lang w:val="en-US"/>
        </w:rPr>
        <w:t xml:space="preserve">in a year on their programs, with intensity declining slightly </w:t>
      </w:r>
      <w:r w:rsidR="0084327A" w:rsidRPr="00B72B6C">
        <w:rPr>
          <w:lang w:val="en-US"/>
        </w:rPr>
        <w:t>in recent years</w:t>
      </w:r>
      <w:r w:rsidRPr="00B72B6C">
        <w:rPr>
          <w:lang w:val="en-US"/>
        </w:rPr>
        <w:t>. This likely reflects a change towards more flexible programs that allow students to spread coursework over additional years.</w:t>
      </w:r>
      <w:r w:rsidR="00FC119C" w:rsidRPr="00B72B6C">
        <w:rPr>
          <w:lang w:val="en-US"/>
        </w:rPr>
        <w:t xml:space="preserve"> AMU programs, in comparison, generally have a duration </w:t>
      </w:r>
      <w:r w:rsidR="00794ECF" w:rsidRPr="00B72B6C">
        <w:rPr>
          <w:lang w:val="en-US"/>
        </w:rPr>
        <w:t xml:space="preserve">of </w:t>
      </w:r>
      <w:r w:rsidR="00FC119C" w:rsidRPr="00B72B6C">
        <w:rPr>
          <w:lang w:val="en-US"/>
        </w:rPr>
        <w:t>a few days.</w:t>
      </w:r>
      <w:r w:rsidRPr="00B72B6C">
        <w:rPr>
          <w:lang w:val="en-US"/>
        </w:rPr>
        <w:t xml:space="preserve"> </w:t>
      </w:r>
    </w:p>
    <w:p w14:paraId="62CA1692" w14:textId="77777777" w:rsidR="00B72B6C" w:rsidRPr="00B72B6C" w:rsidRDefault="00B72B6C" w:rsidP="00B72B6C">
      <w:pPr>
        <w:ind w:left="0" w:firstLine="469"/>
        <w:rPr>
          <w:lang w:val="en-US"/>
        </w:rPr>
      </w:pPr>
    </w:p>
    <w:p w14:paraId="18990BA3" w14:textId="16D3737E" w:rsidR="00593CF7" w:rsidRPr="00B72B6C" w:rsidRDefault="00FF24AB">
      <w:pPr>
        <w:pStyle w:val="Heading1"/>
        <w:ind w:left="469" w:hanging="484"/>
        <w:rPr>
          <w:lang w:val="en-US"/>
        </w:rPr>
      </w:pPr>
      <w:r w:rsidRPr="00B72B6C">
        <w:rPr>
          <w:lang w:val="en-US"/>
        </w:rPr>
        <w:t>Data</w:t>
      </w:r>
      <w:r w:rsidR="00FA1358" w:rsidRPr="00B72B6C">
        <w:rPr>
          <w:lang w:val="en-US"/>
        </w:rPr>
        <w:t xml:space="preserve"> and methods</w:t>
      </w:r>
    </w:p>
    <w:p w14:paraId="426038CB" w14:textId="6FE44D63" w:rsidR="00593CF7" w:rsidRPr="00B72B6C" w:rsidRDefault="00FF24AB">
      <w:pPr>
        <w:ind w:left="-15" w:firstLine="0"/>
        <w:rPr>
          <w:lang w:val="en-US"/>
        </w:rPr>
      </w:pPr>
      <w:r w:rsidRPr="00B72B6C">
        <w:rPr>
          <w:lang w:val="en-US"/>
        </w:rPr>
        <w:t>To investigate the hypotheses</w:t>
      </w:r>
      <w:r w:rsidR="00FC119C" w:rsidRPr="00B72B6C">
        <w:rPr>
          <w:lang w:val="en-US"/>
        </w:rPr>
        <w:t xml:space="preserve"> discussed in section 1</w:t>
      </w:r>
      <w:r w:rsidRPr="00B72B6C">
        <w:rPr>
          <w:lang w:val="en-US"/>
        </w:rPr>
        <w:t xml:space="preserve"> we use the 2007 to 2015 waves of the Danish RDI surveys distributed to between 4000 and 5000 Danish companies yearly.</w:t>
      </w:r>
      <w:r w:rsidRPr="00160986">
        <w:rPr>
          <w:vertAlign w:val="superscript"/>
          <w:lang w:val="en-US"/>
        </w:rPr>
        <w:footnoteReference w:id="4"/>
      </w:r>
      <w:r w:rsidRPr="00160986">
        <w:rPr>
          <w:vertAlign w:val="superscript"/>
          <w:lang w:val="en-US"/>
        </w:rPr>
        <w:t xml:space="preserve"> </w:t>
      </w:r>
      <w:r w:rsidRPr="00073C14">
        <w:rPr>
          <w:lang w:val="en-US"/>
        </w:rPr>
        <w:t>From the survey</w:t>
      </w:r>
      <w:r w:rsidR="00DB5231" w:rsidRPr="00B72B6C">
        <w:rPr>
          <w:lang w:val="en-US"/>
        </w:rPr>
        <w:t>,</w:t>
      </w:r>
      <w:r w:rsidRPr="00B72B6C">
        <w:rPr>
          <w:lang w:val="en-US"/>
        </w:rPr>
        <w:t xml:space="preserve"> we collect information on innovation activities and collaboration patterns in connection with innovation, which we use as dependent variables.</w:t>
      </w:r>
    </w:p>
    <w:p w14:paraId="006F8FA7" w14:textId="7F979A04" w:rsidR="00593CF7" w:rsidRPr="00B72B6C" w:rsidRDefault="00FF24AB">
      <w:pPr>
        <w:ind w:left="-15" w:firstLine="339"/>
        <w:rPr>
          <w:lang w:val="en-US"/>
        </w:rPr>
      </w:pPr>
      <w:r w:rsidRPr="00B72B6C">
        <w:rPr>
          <w:lang w:val="en-US"/>
        </w:rPr>
        <w:t>Our main explanatory variable is a binary indicator for having or not having an employee who participated in tertiary CE two years prior.</w:t>
      </w:r>
      <w:r w:rsidRPr="00160986">
        <w:rPr>
          <w:vertAlign w:val="superscript"/>
          <w:lang w:val="en-US"/>
        </w:rPr>
        <w:footnoteReference w:id="5"/>
      </w:r>
      <w:r w:rsidRPr="00160986">
        <w:rPr>
          <w:vertAlign w:val="superscript"/>
          <w:lang w:val="en-US"/>
        </w:rPr>
        <w:t xml:space="preserve"> </w:t>
      </w:r>
      <w:r w:rsidRPr="00073C14">
        <w:rPr>
          <w:lang w:val="en-US"/>
        </w:rPr>
        <w:t>To crea</w:t>
      </w:r>
      <w:r w:rsidRPr="00B72B6C">
        <w:rPr>
          <w:lang w:val="en-US"/>
        </w:rPr>
        <w:t>te this variable we use Danish administrative data containing all individual CE spells at registered education institutions in Denmark. The dataset contains all CE spells pursued in Denmark at the individual-course level from 1974 to 2016.</w:t>
      </w:r>
      <w:r w:rsidRPr="00160986">
        <w:rPr>
          <w:vertAlign w:val="superscript"/>
          <w:lang w:val="en-US"/>
        </w:rPr>
        <w:footnoteReference w:id="6"/>
      </w:r>
      <w:r w:rsidRPr="00160986">
        <w:rPr>
          <w:vertAlign w:val="superscript"/>
          <w:lang w:val="en-US"/>
        </w:rPr>
        <w:t xml:space="preserve"> </w:t>
      </w:r>
      <w:r w:rsidRPr="00073C14">
        <w:rPr>
          <w:lang w:val="en-US"/>
        </w:rPr>
        <w:t>For each spell</w:t>
      </w:r>
      <w:r w:rsidR="00DB5231" w:rsidRPr="00B72B6C">
        <w:rPr>
          <w:lang w:val="en-US"/>
        </w:rPr>
        <w:t>,</w:t>
      </w:r>
      <w:r w:rsidRPr="00B72B6C">
        <w:rPr>
          <w:lang w:val="en-US"/>
        </w:rPr>
        <w:t xml:space="preserve"> we can identify the participant, start date, end date, scope in hours, the content of </w:t>
      </w:r>
      <w:r w:rsidR="00DA2CF5" w:rsidRPr="00B72B6C">
        <w:rPr>
          <w:lang w:val="en-US"/>
        </w:rPr>
        <w:t xml:space="preserve">the </w:t>
      </w:r>
      <w:r w:rsidRPr="00B72B6C">
        <w:rPr>
          <w:lang w:val="en-US"/>
        </w:rPr>
        <w:t xml:space="preserve">program, institution, and whether the participant passed the course or not. To use this for the construction of the main explanatory variable, we also use the dataset together with information from the Danish Ministry of Education on the location of education institutions to calculate distances to the nearest tertiary CE institution. We focus on </w:t>
      </w:r>
      <w:r w:rsidR="00FA627C" w:rsidRPr="00B72B6C">
        <w:rPr>
          <w:lang w:val="en-US"/>
        </w:rPr>
        <w:t>M</w:t>
      </w:r>
      <w:r w:rsidRPr="00B72B6C">
        <w:rPr>
          <w:lang w:val="en-US"/>
        </w:rPr>
        <w:t xml:space="preserve">aster and </w:t>
      </w:r>
      <w:r w:rsidR="00FA627C" w:rsidRPr="00B72B6C">
        <w:rPr>
          <w:lang w:val="en-US"/>
        </w:rPr>
        <w:t>D</w:t>
      </w:r>
      <w:r w:rsidRPr="00B72B6C">
        <w:rPr>
          <w:lang w:val="en-US"/>
        </w:rPr>
        <w:t>iploma level tertiary CE programs as these are the programs that employees are likely to participate in having already been in the labor market for some years.</w:t>
      </w:r>
    </w:p>
    <w:p w14:paraId="52E6AD38" w14:textId="5C2C5E49" w:rsidR="00593CF7" w:rsidRPr="00B72B6C" w:rsidRDefault="00FF24AB">
      <w:pPr>
        <w:spacing w:after="495"/>
        <w:ind w:left="-15" w:firstLine="339"/>
        <w:rPr>
          <w:lang w:val="en-US"/>
        </w:rPr>
      </w:pPr>
      <w:r w:rsidRPr="00B72B6C">
        <w:rPr>
          <w:lang w:val="en-US"/>
        </w:rPr>
        <w:lastRenderedPageBreak/>
        <w:t xml:space="preserve">We obtain several variables at the individual and firm-level from administrative data accessed at Statistics Denmark which is available for the full population of individuals in Denmark, as well as all firms from 1980 until 2015. For individuals, these include age, family status, education levels, income levels, and their location down to postal numbers. For firms, they include the number of employees, firm age, industry, and location. Finally, we supplement the administrative data with information on the locations of education institutions </w:t>
      </w:r>
      <w:r w:rsidR="005C2009" w:rsidRPr="00B72B6C">
        <w:rPr>
          <w:lang w:val="en-US"/>
        </w:rPr>
        <w:t xml:space="preserve">collected </w:t>
      </w:r>
      <w:r w:rsidRPr="00B72B6C">
        <w:rPr>
          <w:lang w:val="en-US"/>
        </w:rPr>
        <w:t>from the Danish Ministry of Education when</w:t>
      </w:r>
      <w:r w:rsidR="00574A34" w:rsidRPr="00B72B6C">
        <w:rPr>
          <w:lang w:val="en-US"/>
        </w:rPr>
        <w:t xml:space="preserve"> the institution still </w:t>
      </w:r>
      <w:r w:rsidR="009C2699" w:rsidRPr="00B72B6C">
        <w:rPr>
          <w:lang w:val="en-US"/>
        </w:rPr>
        <w:t>exists</w:t>
      </w:r>
      <w:r w:rsidRPr="00B72B6C">
        <w:rPr>
          <w:lang w:val="en-US"/>
        </w:rPr>
        <w:t xml:space="preserve"> and found </w:t>
      </w:r>
      <w:r w:rsidR="009C2699" w:rsidRPr="00B72B6C">
        <w:rPr>
          <w:lang w:val="en-US"/>
        </w:rPr>
        <w:t xml:space="preserve">e.g. </w:t>
      </w:r>
      <w:r w:rsidRPr="00B72B6C">
        <w:rPr>
          <w:lang w:val="en-US"/>
        </w:rPr>
        <w:t>in historical archives otherwise.</w:t>
      </w:r>
    </w:p>
    <w:p w14:paraId="769015FB" w14:textId="77777777" w:rsidR="00593CF7" w:rsidRPr="00B72B6C" w:rsidRDefault="00FF24AB" w:rsidP="00FA1358">
      <w:pPr>
        <w:pStyle w:val="Heading2"/>
        <w:rPr>
          <w:lang w:val="en-US"/>
        </w:rPr>
      </w:pPr>
      <w:r w:rsidRPr="00B72B6C">
        <w:rPr>
          <w:lang w:val="en-US"/>
        </w:rPr>
        <w:t>Methods</w:t>
      </w:r>
    </w:p>
    <w:p w14:paraId="10A84548" w14:textId="77777777" w:rsidR="00593CF7" w:rsidRPr="00B72B6C" w:rsidRDefault="00FF24AB">
      <w:pPr>
        <w:spacing w:after="255"/>
        <w:ind w:left="-15" w:firstLine="0"/>
        <w:rPr>
          <w:lang w:val="en-US"/>
        </w:rPr>
      </w:pPr>
      <w:r w:rsidRPr="00B72B6C">
        <w:rPr>
          <w:lang w:val="en-US"/>
        </w:rPr>
        <w:t>Our hypothesis concerns the effect of CE on innovation. Firms award employees with tertiary CE making the firm more likely to innovate but awarding CE may be endogenous as the innovation process may require employees to participate in tertiary CE. To handle this endogeneity problem and robustly identify the causal effects of awarding CE to employees on the firm’s innovation outcome we do two things:</w:t>
      </w:r>
    </w:p>
    <w:p w14:paraId="2276A1D1" w14:textId="77777777" w:rsidR="00593CF7" w:rsidRPr="00B72B6C" w:rsidRDefault="00FF24AB">
      <w:pPr>
        <w:numPr>
          <w:ilvl w:val="0"/>
          <w:numId w:val="1"/>
        </w:numPr>
        <w:spacing w:after="194"/>
        <w:ind w:left="546" w:hanging="279"/>
        <w:rPr>
          <w:lang w:val="en-US"/>
        </w:rPr>
      </w:pPr>
      <w:r w:rsidRPr="00B72B6C">
        <w:rPr>
          <w:lang w:val="en-US"/>
        </w:rPr>
        <w:t xml:space="preserve">We lag the CE variable to ensure that workers are awarded CE </w:t>
      </w:r>
      <w:r w:rsidR="00DB5231" w:rsidRPr="00B72B6C">
        <w:rPr>
          <w:lang w:val="en-US"/>
        </w:rPr>
        <w:t>before</w:t>
      </w:r>
      <w:r w:rsidRPr="00B72B6C">
        <w:rPr>
          <w:lang w:val="en-US"/>
        </w:rPr>
        <w:t xml:space="preserve"> the firm report </w:t>
      </w:r>
      <w:r w:rsidR="00DB5231" w:rsidRPr="00B72B6C">
        <w:rPr>
          <w:lang w:val="en-US"/>
        </w:rPr>
        <w:t>o</w:t>
      </w:r>
      <w:r w:rsidRPr="00B72B6C">
        <w:rPr>
          <w:lang w:val="en-US"/>
        </w:rPr>
        <w:t>n innovation</w:t>
      </w:r>
    </w:p>
    <w:p w14:paraId="3C2A8D6B" w14:textId="18201D10" w:rsidR="00593CF7" w:rsidRPr="00B72B6C" w:rsidRDefault="00FF24AB">
      <w:pPr>
        <w:numPr>
          <w:ilvl w:val="0"/>
          <w:numId w:val="1"/>
        </w:numPr>
        <w:spacing w:after="227"/>
        <w:ind w:left="546" w:hanging="279"/>
        <w:rPr>
          <w:lang w:val="en-US"/>
        </w:rPr>
      </w:pPr>
      <w:r w:rsidRPr="00B72B6C">
        <w:rPr>
          <w:lang w:val="en-US"/>
        </w:rPr>
        <w:t xml:space="preserve">We instrument CE as even the lagged </w:t>
      </w:r>
      <w:r w:rsidR="00DA2CF5" w:rsidRPr="00B72B6C">
        <w:rPr>
          <w:lang w:val="en-US"/>
        </w:rPr>
        <w:t>variable</w:t>
      </w:r>
      <w:r w:rsidRPr="00B72B6C">
        <w:rPr>
          <w:lang w:val="en-US"/>
        </w:rPr>
        <w:t xml:space="preserve"> may be endogenous if </w:t>
      </w:r>
      <w:r w:rsidR="00DB5231" w:rsidRPr="00B72B6C">
        <w:rPr>
          <w:lang w:val="en-US"/>
        </w:rPr>
        <w:t xml:space="preserve">innovating firms use tertiary CE </w:t>
      </w:r>
      <w:r w:rsidR="002A7E7E" w:rsidRPr="00B72B6C">
        <w:rPr>
          <w:lang w:val="en-US"/>
        </w:rPr>
        <w:t>in anticipation of needs arising from later innovation</w:t>
      </w:r>
      <w:r w:rsidR="00DB5231" w:rsidRPr="00B72B6C">
        <w:rPr>
          <w:lang w:val="en-US"/>
        </w:rPr>
        <w:t>.</w:t>
      </w:r>
    </w:p>
    <w:p w14:paraId="00935ED6" w14:textId="7B3D7F71" w:rsidR="00A875F1" w:rsidRPr="00B72B6C" w:rsidRDefault="00215952" w:rsidP="00A875F1">
      <w:pPr>
        <w:pStyle w:val="Heading2"/>
        <w:rPr>
          <w:lang w:val="en-US"/>
        </w:rPr>
      </w:pPr>
      <w:r w:rsidRPr="00B72B6C">
        <w:rPr>
          <w:lang w:val="en-US"/>
        </w:rPr>
        <w:t xml:space="preserve">Baseline Model </w:t>
      </w:r>
    </w:p>
    <w:p w14:paraId="47800814" w14:textId="77777777" w:rsidR="00593CF7" w:rsidRPr="00B72B6C" w:rsidRDefault="00FF24AB">
      <w:pPr>
        <w:spacing w:after="385"/>
        <w:ind w:left="-15" w:firstLine="339"/>
        <w:rPr>
          <w:lang w:val="en-US"/>
        </w:rPr>
      </w:pPr>
      <w:r w:rsidRPr="00B72B6C">
        <w:rPr>
          <w:lang w:val="en-US"/>
        </w:rPr>
        <w:t xml:space="preserve">We model </w:t>
      </w:r>
      <w:r w:rsidR="00DA2CF5" w:rsidRPr="00B72B6C">
        <w:rPr>
          <w:lang w:val="en-US"/>
        </w:rPr>
        <w:t>firm-level</w:t>
      </w:r>
      <w:r w:rsidRPr="00B72B6C">
        <w:rPr>
          <w:lang w:val="en-US"/>
        </w:rPr>
        <w:t xml:space="preserve"> innovation in an augmented innovation production function as is common in the innovation literature (Love et al., 2011; McGuirk et al., 2015). This entails </w:t>
      </w:r>
      <w:r w:rsidR="00DA2CF5" w:rsidRPr="00B72B6C">
        <w:rPr>
          <w:lang w:val="en-US"/>
        </w:rPr>
        <w:t>modeling</w:t>
      </w:r>
      <w:r w:rsidRPr="00B72B6C">
        <w:rPr>
          <w:lang w:val="en-US"/>
        </w:rPr>
        <w:t xml:space="preserve"> </w:t>
      </w:r>
      <w:r w:rsidR="00DA2CF5" w:rsidRPr="00B72B6C">
        <w:rPr>
          <w:lang w:val="en-US"/>
        </w:rPr>
        <w:t>firm-level</w:t>
      </w:r>
      <w:r w:rsidRPr="00B72B6C">
        <w:rPr>
          <w:lang w:val="en-US"/>
        </w:rPr>
        <w:t xml:space="preserve"> innovation outcomes as a function of characteristics that are internal to the firm and that can affect the firm’s propensity to innovate, augmented with an additional set of regressors capturing contextual factors in the firm’s environment that may </w:t>
      </w:r>
      <w:r w:rsidR="00DA2CF5" w:rsidRPr="00B72B6C">
        <w:rPr>
          <w:lang w:val="en-US"/>
        </w:rPr>
        <w:t>affect</w:t>
      </w:r>
      <w:r w:rsidRPr="00B72B6C">
        <w:rPr>
          <w:lang w:val="en-US"/>
        </w:rPr>
        <w:t xml:space="preserve"> its propensity to innovate. Equation 1 describes this framework for firm </w:t>
      </w:r>
      <w:r w:rsidRPr="00B72B6C">
        <w:rPr>
          <w:i/>
          <w:lang w:val="en-US"/>
        </w:rPr>
        <w:t xml:space="preserve">i </w:t>
      </w:r>
      <w:r w:rsidRPr="00B72B6C">
        <w:rPr>
          <w:lang w:val="en-US"/>
        </w:rPr>
        <w:t xml:space="preserve">at time </w:t>
      </w:r>
      <w:r w:rsidRPr="00B72B6C">
        <w:rPr>
          <w:i/>
          <w:lang w:val="en-US"/>
        </w:rPr>
        <w:t>t</w:t>
      </w:r>
      <w:r w:rsidRPr="00B72B6C">
        <w:rPr>
          <w:lang w:val="en-US"/>
        </w:rPr>
        <w:t xml:space="preserve">, where </w:t>
      </w:r>
      <w:r w:rsidRPr="00B72B6C">
        <w:rPr>
          <w:i/>
          <w:lang w:val="en-US"/>
        </w:rPr>
        <w:t>firm</w:t>
      </w:r>
      <w:r w:rsidRPr="00B72B6C">
        <w:rPr>
          <w:i/>
          <w:vertAlign w:val="subscript"/>
          <w:lang w:val="en-US"/>
        </w:rPr>
        <w:t xml:space="preserve">it </w:t>
      </w:r>
      <w:r w:rsidRPr="00B72B6C">
        <w:rPr>
          <w:lang w:val="en-US"/>
        </w:rPr>
        <w:t xml:space="preserve">are firm internal characteristics including </w:t>
      </w:r>
      <w:r w:rsidRPr="00B72B6C">
        <w:rPr>
          <w:lang w:val="en-US"/>
        </w:rPr>
        <w:lastRenderedPageBreak/>
        <w:t xml:space="preserve">our tertiary CE variable, and </w:t>
      </w:r>
      <w:r w:rsidRPr="00B72B6C">
        <w:rPr>
          <w:i/>
          <w:lang w:val="en-US"/>
        </w:rPr>
        <w:t>regional</w:t>
      </w:r>
      <w:r w:rsidRPr="00B72B6C">
        <w:rPr>
          <w:i/>
          <w:vertAlign w:val="subscript"/>
          <w:lang w:val="en-US"/>
        </w:rPr>
        <w:t xml:space="preserve">it </w:t>
      </w:r>
      <w:r w:rsidRPr="00B72B6C">
        <w:rPr>
          <w:lang w:val="en-US"/>
        </w:rPr>
        <w:t>are firm external factors, which in our data all refer to variables defined at the regional level. We expand on these variables below.</w:t>
      </w:r>
    </w:p>
    <w:p w14:paraId="15C2C8AD" w14:textId="40EBAABA" w:rsidR="00593CF7" w:rsidRPr="00B72B6C" w:rsidRDefault="00FF24AB">
      <w:pPr>
        <w:tabs>
          <w:tab w:val="center" w:pos="4680"/>
          <w:tab w:val="right" w:pos="9360"/>
        </w:tabs>
        <w:spacing w:after="527" w:line="265" w:lineRule="auto"/>
        <w:ind w:left="0" w:right="-15" w:firstLine="0"/>
        <w:jc w:val="left"/>
        <w:rPr>
          <w:lang w:val="en-US"/>
        </w:rPr>
      </w:pPr>
      <w:r w:rsidRPr="00B72B6C">
        <w:rPr>
          <w:rFonts w:ascii="Calibri" w:eastAsia="Calibri" w:hAnsi="Calibri" w:cs="Calibri"/>
          <w:lang w:val="en-US"/>
        </w:rPr>
        <w:tab/>
      </w:r>
      <w:r w:rsidRPr="00B72B6C">
        <w:rPr>
          <w:i/>
          <w:lang w:val="en-US"/>
        </w:rPr>
        <w:t>Innovation</w:t>
      </w:r>
      <w:r w:rsidRPr="00B72B6C">
        <w:rPr>
          <w:i/>
          <w:vertAlign w:val="subscript"/>
          <w:lang w:val="en-US"/>
        </w:rPr>
        <w:t xml:space="preserve">it </w:t>
      </w:r>
      <w:r w:rsidRPr="00B72B6C">
        <w:rPr>
          <w:lang w:val="en-US"/>
        </w:rPr>
        <w:t xml:space="preserve">= </w:t>
      </w:r>
      <w:r w:rsidRPr="00B72B6C">
        <w:rPr>
          <w:i/>
          <w:lang w:val="en-US"/>
        </w:rPr>
        <w:t>f</w:t>
      </w:r>
      <w:r w:rsidRPr="00B72B6C">
        <w:rPr>
          <w:lang w:val="en-US"/>
        </w:rPr>
        <w:t>(</w:t>
      </w:r>
      <w:r w:rsidRPr="00B72B6C">
        <w:rPr>
          <w:i/>
          <w:lang w:val="en-US"/>
        </w:rPr>
        <w:t>firm</w:t>
      </w:r>
      <w:r w:rsidRPr="00B72B6C">
        <w:rPr>
          <w:i/>
          <w:vertAlign w:val="subscript"/>
          <w:lang w:val="en-US"/>
        </w:rPr>
        <w:t>it</w:t>
      </w:r>
      <w:r w:rsidRPr="00B72B6C">
        <w:rPr>
          <w:i/>
          <w:lang w:val="en-US"/>
        </w:rPr>
        <w:t>,</w:t>
      </w:r>
      <w:r w:rsidR="00165755">
        <w:rPr>
          <w:i/>
          <w:lang w:val="en-US"/>
        </w:rPr>
        <w:t xml:space="preserve"> </w:t>
      </w:r>
      <w:r w:rsidRPr="00B72B6C">
        <w:rPr>
          <w:i/>
          <w:lang w:val="en-US"/>
        </w:rPr>
        <w:t>regional</w:t>
      </w:r>
      <w:r w:rsidRPr="00B72B6C">
        <w:rPr>
          <w:i/>
          <w:vertAlign w:val="subscript"/>
          <w:lang w:val="en-US"/>
        </w:rPr>
        <w:t>it</w:t>
      </w:r>
      <w:r w:rsidRPr="00B72B6C">
        <w:rPr>
          <w:lang w:val="en-US"/>
        </w:rPr>
        <w:t>)</w:t>
      </w:r>
      <w:r w:rsidRPr="00B72B6C">
        <w:rPr>
          <w:lang w:val="en-US"/>
        </w:rPr>
        <w:tab/>
        <w:t>(1)</w:t>
      </w:r>
    </w:p>
    <w:p w14:paraId="6C994D6B" w14:textId="371FA996" w:rsidR="00593CF7" w:rsidRPr="00B72B6C" w:rsidRDefault="00FF24AB">
      <w:pPr>
        <w:ind w:left="-15" w:firstLine="339"/>
        <w:rPr>
          <w:lang w:val="en-US"/>
        </w:rPr>
      </w:pPr>
      <w:r w:rsidRPr="00B72B6C">
        <w:rPr>
          <w:lang w:val="en-US"/>
        </w:rPr>
        <w:t>In the findings section, we first show OLS regressions according to equation 1, with an indicator for having innovated within the last year on the left-hand side, and an indicator for having an employee that has participated in tertiary CE two years prior as the main right-hand</w:t>
      </w:r>
      <w:r w:rsidR="00CE1A10" w:rsidRPr="00B72B6C">
        <w:rPr>
          <w:lang w:val="en-US"/>
        </w:rPr>
        <w:t>-</w:t>
      </w:r>
      <w:r w:rsidRPr="00B72B6C">
        <w:rPr>
          <w:lang w:val="en-US"/>
        </w:rPr>
        <w:t>side variable.</w:t>
      </w:r>
    </w:p>
    <w:p w14:paraId="503BE108" w14:textId="42A273FC" w:rsidR="00593CF7" w:rsidRPr="00B72B6C" w:rsidRDefault="00FF24AB">
      <w:pPr>
        <w:ind w:left="-15" w:firstLine="0"/>
        <w:rPr>
          <w:lang w:val="en-US"/>
        </w:rPr>
      </w:pPr>
      <w:r w:rsidRPr="00B72B6C">
        <w:rPr>
          <w:lang w:val="en-US"/>
        </w:rPr>
        <w:t xml:space="preserve">We show two main regressions, first controlling for year fixed effects to capture any fluctuations in overall innovation levels due e.g. </w:t>
      </w:r>
      <w:r w:rsidR="00BF64E4" w:rsidRPr="00B72B6C">
        <w:rPr>
          <w:lang w:val="en-US"/>
        </w:rPr>
        <w:t xml:space="preserve">to </w:t>
      </w:r>
      <w:r w:rsidRPr="00B72B6C">
        <w:rPr>
          <w:lang w:val="en-US"/>
        </w:rPr>
        <w:t>the Financial Crisis. Secondly, we control for firm and regional level factors that affect firms’ propensity for innovation separately from the effects of tertiary CE participation.</w:t>
      </w:r>
    </w:p>
    <w:p w14:paraId="53484F22" w14:textId="341C12A2" w:rsidR="003D3754" w:rsidRPr="00B72B6C" w:rsidRDefault="003D3754" w:rsidP="003D3754">
      <w:pPr>
        <w:spacing w:after="700"/>
        <w:ind w:left="-15" w:firstLine="339"/>
        <w:rPr>
          <w:rFonts w:ascii="Calibri" w:eastAsia="Calibri" w:hAnsi="Calibri" w:cs="Calibri"/>
          <w:lang w:val="en-US"/>
        </w:rPr>
      </w:pPr>
      <w:r w:rsidRPr="00B72B6C">
        <w:rPr>
          <w:lang w:val="en-US"/>
        </w:rPr>
        <w:t xml:space="preserve">The full model with year, firm, and regional controls can be seen in equation </w:t>
      </w:r>
      <w:r w:rsidR="002A7E7E" w:rsidRPr="00B72B6C">
        <w:rPr>
          <w:lang w:val="en-US"/>
        </w:rPr>
        <w:t>2</w:t>
      </w:r>
      <w:r w:rsidRPr="00B72B6C">
        <w:rPr>
          <w:lang w:val="en-US"/>
        </w:rPr>
        <w:t xml:space="preserve">. In the model, </w:t>
      </w:r>
      <w:r w:rsidRPr="00B72B6C">
        <w:rPr>
          <w:i/>
          <w:lang w:val="en-US"/>
        </w:rPr>
        <w:t xml:space="preserve">λ </w:t>
      </w:r>
      <w:r w:rsidRPr="00B72B6C">
        <w:rPr>
          <w:lang w:val="en-US"/>
        </w:rPr>
        <w:t xml:space="preserve">is the conditional relation between </w:t>
      </w:r>
      <w:r w:rsidRPr="00B72B6C">
        <w:rPr>
          <w:i/>
          <w:lang w:val="en-US"/>
        </w:rPr>
        <w:t xml:space="preserve">CE </w:t>
      </w:r>
      <w:r w:rsidRPr="00B72B6C">
        <w:rPr>
          <w:lang w:val="en-US"/>
        </w:rPr>
        <w:t xml:space="preserve">participation and firm innovation, and </w:t>
      </w:r>
      <w:r w:rsidRPr="00B72B6C">
        <w:rPr>
          <w:i/>
          <w:lang w:val="en-US"/>
        </w:rPr>
        <w:t xml:space="preserve">CE </w:t>
      </w:r>
      <w:r w:rsidRPr="00B72B6C">
        <w:rPr>
          <w:lang w:val="en-US"/>
        </w:rPr>
        <w:t xml:space="preserve">is either participation in Master or Diploma level tertiary CE. </w:t>
      </w:r>
      <w:r w:rsidRPr="00B72B6C">
        <w:rPr>
          <w:i/>
          <w:lang w:val="en-US"/>
        </w:rPr>
        <w:t>Year</w:t>
      </w:r>
      <w:r w:rsidRPr="00B72B6C">
        <w:rPr>
          <w:i/>
          <w:vertAlign w:val="subscript"/>
          <w:lang w:val="en-US"/>
        </w:rPr>
        <w:t xml:space="preserve">t  </w:t>
      </w:r>
      <w:r w:rsidRPr="00B72B6C">
        <w:rPr>
          <w:lang w:val="en-US"/>
        </w:rPr>
        <w:t xml:space="preserve">is a set of year indicators, </w:t>
      </w:r>
      <w:r w:rsidRPr="00B72B6C">
        <w:rPr>
          <w:i/>
          <w:lang w:val="en-US"/>
        </w:rPr>
        <w:t>firm</w:t>
      </w:r>
      <w:r w:rsidRPr="00B72B6C">
        <w:rPr>
          <w:i/>
          <w:vertAlign w:val="subscript"/>
          <w:lang w:val="en-US"/>
        </w:rPr>
        <w:t xml:space="preserve">it </w:t>
      </w:r>
      <w:r w:rsidRPr="00B72B6C">
        <w:rPr>
          <w:lang w:val="en-US"/>
        </w:rPr>
        <w:t xml:space="preserve">a vector of firm-level controls, and </w:t>
      </w:r>
      <w:r w:rsidRPr="00B72B6C">
        <w:rPr>
          <w:i/>
          <w:lang w:val="en-US"/>
        </w:rPr>
        <w:t>regional</w:t>
      </w:r>
      <w:r w:rsidRPr="00B72B6C">
        <w:rPr>
          <w:i/>
          <w:vertAlign w:val="subscript"/>
          <w:lang w:val="en-US"/>
        </w:rPr>
        <w:t xml:space="preserve">it </w:t>
      </w:r>
      <w:r w:rsidRPr="00B72B6C">
        <w:rPr>
          <w:lang w:val="en-US"/>
        </w:rPr>
        <w:t xml:space="preserve">the vector of regional controls. We estimate the model using OLS as opposed e.g. to probit or logit </w:t>
      </w:r>
      <w:r w:rsidR="00165755">
        <w:rPr>
          <w:lang w:val="en-US"/>
        </w:rPr>
        <w:t xml:space="preserve">modelling and ML estimation </w:t>
      </w:r>
      <w:r w:rsidRPr="00B72B6C">
        <w:rPr>
          <w:lang w:val="en-US"/>
        </w:rPr>
        <w:t>to get estimates of effect sizes that are readily interpretable from the regression coefficient (Angrist and Pischke, 2009, page 72).</w:t>
      </w:r>
    </w:p>
    <w:p w14:paraId="2DE27567" w14:textId="3EDDF186" w:rsidR="00C931EB" w:rsidRPr="00B72B6C" w:rsidRDefault="003D3754" w:rsidP="003D3754">
      <w:pPr>
        <w:spacing w:after="700" w:line="276" w:lineRule="auto"/>
        <w:ind w:left="-15" w:firstLine="339"/>
        <w:rPr>
          <w:rFonts w:ascii="Calibri" w:eastAsia="Calibri" w:hAnsi="Calibri" w:cs="Calibri"/>
          <w:lang w:val="en-US"/>
        </w:rPr>
      </w:pPr>
      <m:oMath>
        <m:r>
          <w:rPr>
            <w:rFonts w:ascii="Cambria Math" w:hAnsi="Cambria Math"/>
            <w:lang w:val="en-US"/>
          </w:rPr>
          <m:t>Innovatio</m:t>
        </m:r>
        <m:sSub>
          <m:sSubPr>
            <m:ctrlPr>
              <w:rPr>
                <w:rFonts w:ascii="Cambria Math" w:hAnsi="Cambria Math"/>
                <w:i/>
                <w:lang w:val="en-US"/>
              </w:rPr>
            </m:ctrlPr>
          </m:sSubPr>
          <m:e>
            <m:r>
              <w:rPr>
                <w:rFonts w:ascii="Cambria Math" w:hAnsi="Cambria Math"/>
                <w:lang w:val="en-US"/>
              </w:rPr>
              <m:t>n</m:t>
            </m:r>
          </m:e>
          <m:sub>
            <m:r>
              <w:rPr>
                <w:rFonts w:ascii="Cambria Math" w:hAnsi="Cambria Math"/>
                <w:vertAlign w:val="subscript"/>
                <w:lang w:val="en-US"/>
              </w:rPr>
              <m:t>it</m:t>
            </m:r>
          </m:sub>
        </m:sSub>
        <m:r>
          <w:rPr>
            <w:rFonts w:ascii="Cambria Math" w:hAnsi="Cambria Math"/>
            <w:vertAlign w:val="subscript"/>
            <w:lang w:val="en-US"/>
          </w:rPr>
          <m:t xml:space="preserve"> </m:t>
        </m:r>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α</m:t>
            </m:r>
          </m:e>
          <m:sub>
            <m:r>
              <w:rPr>
                <w:rFonts w:ascii="Cambria Math" w:hAnsi="Cambria Math"/>
                <w:vertAlign w:val="subscript"/>
                <w:lang w:val="en-US"/>
              </w:rPr>
              <m:t>1</m:t>
            </m:r>
          </m:sub>
        </m:sSub>
        <m:r>
          <w:rPr>
            <w:rFonts w:ascii="Cambria Math" w:hAnsi="Cambria Math"/>
            <w:vertAlign w:val="subscript"/>
            <w:lang w:val="en-US"/>
          </w:rPr>
          <m:t xml:space="preserve"> </m:t>
        </m:r>
        <m:r>
          <w:rPr>
            <w:rFonts w:ascii="Cambria Math" w:hAnsi="Cambria Math"/>
            <w:lang w:val="en-US"/>
          </w:rPr>
          <m:t xml:space="preserve">+ </m:t>
        </m:r>
        <m:r>
          <w:rPr>
            <w:rFonts w:ascii="Cambria Math" w:hAnsi="Cambria Math"/>
            <w:lang w:val="en-US"/>
          </w:rPr>
          <m:t>λC</m:t>
        </m:r>
        <m:sSub>
          <m:sSubPr>
            <m:ctrlPr>
              <w:rPr>
                <w:rFonts w:ascii="Cambria Math" w:hAnsi="Cambria Math"/>
                <w:i/>
                <w:lang w:val="en-US"/>
              </w:rPr>
            </m:ctrlPr>
          </m:sSubPr>
          <m:e>
            <m:r>
              <w:rPr>
                <w:rFonts w:ascii="Cambria Math" w:hAnsi="Cambria Math"/>
                <w:lang w:val="en-US"/>
              </w:rPr>
              <m:t>E</m:t>
            </m:r>
          </m:e>
          <m:sub>
            <m:r>
              <w:rPr>
                <w:rFonts w:ascii="Cambria Math" w:hAnsi="Cambria Math"/>
                <w:vertAlign w:val="subscript"/>
                <w:lang w:val="en-US"/>
              </w:rPr>
              <m:t>i</m:t>
            </m:r>
            <m:r>
              <w:rPr>
                <w:rFonts w:ascii="Cambria Math" w:hAnsi="Cambria Math"/>
                <w:vertAlign w:val="subscript"/>
                <w:lang w:val="en-US"/>
              </w:rPr>
              <m:t>t</m:t>
            </m:r>
            <m:r>
              <w:rPr>
                <w:rFonts w:ascii="Cambria Math" w:hAnsi="Cambria Math"/>
                <w:sz w:val="16"/>
                <w:lang w:val="en-US"/>
              </w:rPr>
              <m:t>-</m:t>
            </m:r>
            <m:r>
              <w:rPr>
                <w:rFonts w:ascii="Cambria Math" w:hAnsi="Cambria Math"/>
                <w:vertAlign w:val="subscript"/>
                <w:lang w:val="en-US"/>
              </w:rPr>
              <m:t>2</m:t>
            </m:r>
          </m:sub>
        </m:sSub>
        <m:r>
          <w:rPr>
            <w:rFonts w:ascii="Cambria Math" w:hAnsi="Cambria Math"/>
            <w:vertAlign w:val="subscript"/>
            <w:lang w:val="en-US"/>
          </w:rPr>
          <m:t xml:space="preserve"> </m:t>
        </m:r>
        <m:r>
          <w:rPr>
            <w:rFonts w:ascii="Cambria Math" w:hAnsi="Cambria Math"/>
            <w:lang w:val="en-US"/>
          </w:rPr>
          <m:t>+</m:t>
        </m:r>
        <m:nary>
          <m:naryPr>
            <m:chr m:val="∑"/>
            <m:supHide m:val="1"/>
            <m:ctrlPr>
              <w:rPr>
                <w:rFonts w:ascii="Cambria Math" w:hAnsi="Cambria Math"/>
                <w:i/>
                <w:lang w:val="en-US"/>
              </w:rPr>
            </m:ctrlPr>
          </m:naryPr>
          <m:sub>
            <m:r>
              <w:rPr>
                <w:rFonts w:ascii="Cambria Math" w:hAnsi="Cambria Math"/>
                <w:lang w:val="en-US"/>
              </w:rPr>
              <m:t>t</m:t>
            </m:r>
          </m:sub>
          <m:sup/>
          <m:e>
            <m:sSub>
              <m:sSubPr>
                <m:ctrlPr>
                  <w:rPr>
                    <w:rFonts w:ascii="Cambria Math" w:hAnsi="Cambria Math"/>
                    <w:i/>
                    <w:lang w:val="en-US"/>
                  </w:rPr>
                </m:ctrlPr>
              </m:sSubPr>
              <m:e>
                <m:r>
                  <w:rPr>
                    <w:rFonts w:ascii="Cambria Math" w:hAnsi="Cambria Math"/>
                    <w:lang w:val="en-US"/>
                  </w:rPr>
                  <m:t>θ</m:t>
                </m:r>
              </m:e>
              <m:sub>
                <m:r>
                  <w:rPr>
                    <w:rFonts w:ascii="Cambria Math" w:hAnsi="Cambria Math"/>
                    <w:vertAlign w:val="subscript"/>
                    <w:lang w:val="en-US"/>
                  </w:rPr>
                  <m:t>t</m:t>
                </m:r>
              </m:sub>
            </m:sSub>
            <m:r>
              <w:rPr>
                <w:rFonts w:ascii="Cambria Math" w:hAnsi="Cambria Math"/>
                <w:lang w:val="en-US"/>
              </w:rPr>
              <m:t>Yea</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t</m:t>
                </m:r>
              </m:sub>
            </m:sSub>
          </m:e>
        </m:nary>
        <m:r>
          <w:rPr>
            <w:rFonts w:ascii="Cambria Math" w:hAnsi="Cambria Math"/>
            <w:vertAlign w:val="subscript"/>
            <w:lang w:val="en-US"/>
          </w:rPr>
          <m:t xml:space="preserve"> </m:t>
        </m:r>
        <m:r>
          <w:rPr>
            <w:rFonts w:ascii="Cambria Math" w:hAnsi="Cambria Math"/>
            <w:lang w:val="en-US"/>
          </w:rPr>
          <m:t xml:space="preserve">+ </m:t>
        </m:r>
        <m:sSubSup>
          <m:sSubSupPr>
            <m:ctrlPr>
              <w:rPr>
                <w:rFonts w:ascii="Cambria Math" w:hAnsi="Cambria Math"/>
                <w:i/>
                <w:vertAlign w:val="superscript"/>
                <w:lang w:val="en-US"/>
              </w:rPr>
            </m:ctrlPr>
          </m:sSubSupPr>
          <m:e>
            <m:r>
              <w:rPr>
                <w:rFonts w:ascii="Cambria Math" w:hAnsi="Cambria Math"/>
                <w:lang w:val="en-US"/>
              </w:rPr>
              <m:t>γ</m:t>
            </m:r>
            <m:ctrlPr>
              <w:rPr>
                <w:rFonts w:ascii="Cambria Math" w:hAnsi="Cambria Math"/>
                <w:i/>
                <w:lang w:val="en-US"/>
              </w:rPr>
            </m:ctrlPr>
          </m:e>
          <m:sub>
            <m:r>
              <w:rPr>
                <w:rFonts w:ascii="Cambria Math" w:hAnsi="Cambria Math"/>
                <w:vertAlign w:val="subscript"/>
                <w:lang w:val="en-US"/>
              </w:rPr>
              <m:t>1</m:t>
            </m:r>
            <m:ctrlPr>
              <w:rPr>
                <w:rFonts w:ascii="Cambria Math" w:hAnsi="Cambria Math"/>
                <w:i/>
                <w:vertAlign w:val="subscript"/>
                <w:lang w:val="en-US"/>
              </w:rPr>
            </m:ctrlPr>
          </m:sub>
          <m:sup>
            <m:r>
              <w:rPr>
                <w:rFonts w:ascii="Cambria Math" w:hAnsi="Cambria Math"/>
                <w:vertAlign w:val="superscript"/>
                <w:lang w:val="en-US"/>
              </w:rPr>
              <m:t>'</m:t>
            </m:r>
          </m:sup>
        </m:sSubSup>
        <m:r>
          <w:rPr>
            <w:rFonts w:ascii="Cambria Math" w:hAnsi="Cambria Math"/>
            <w:vertAlign w:val="superscript"/>
            <w:lang w:val="en-US"/>
          </w:rPr>
          <m:t xml:space="preserve"> </m:t>
        </m:r>
        <m:r>
          <w:rPr>
            <w:rFonts w:ascii="Cambria Math" w:hAnsi="Cambria Math"/>
            <w:lang w:val="en-US"/>
          </w:rPr>
          <m:t>fir</m:t>
        </m:r>
        <m:sSub>
          <m:sSubPr>
            <m:ctrlPr>
              <w:rPr>
                <w:rFonts w:ascii="Cambria Math" w:hAnsi="Cambria Math"/>
                <w:i/>
                <w:lang w:val="en-US"/>
              </w:rPr>
            </m:ctrlPr>
          </m:sSubPr>
          <m:e>
            <m:r>
              <w:rPr>
                <w:rFonts w:ascii="Cambria Math" w:hAnsi="Cambria Math"/>
                <w:lang w:val="en-US"/>
              </w:rPr>
              <m:t>m</m:t>
            </m:r>
          </m:e>
          <m:sub>
            <m:r>
              <w:rPr>
                <w:rFonts w:ascii="Cambria Math" w:hAnsi="Cambria Math"/>
                <w:vertAlign w:val="subscript"/>
                <w:lang w:val="en-US"/>
              </w:rPr>
              <m:t>it</m:t>
            </m:r>
          </m:sub>
        </m:sSub>
        <m:r>
          <w:rPr>
            <w:rFonts w:ascii="Cambria Math" w:hAnsi="Cambria Math"/>
            <w:vertAlign w:val="subscript"/>
            <w:lang w:val="en-US"/>
          </w:rPr>
          <m:t xml:space="preserve"> </m:t>
        </m:r>
        <m:r>
          <w:rPr>
            <w:rFonts w:ascii="Cambria Math" w:hAnsi="Cambria Math"/>
            <w:lang w:val="en-US"/>
          </w:rPr>
          <m:t xml:space="preserve">+ </m:t>
        </m:r>
        <m:sSubSup>
          <m:sSubSupPr>
            <m:ctrlPr>
              <w:rPr>
                <w:rFonts w:ascii="Cambria Math" w:hAnsi="Cambria Math"/>
                <w:i/>
                <w:vertAlign w:val="superscript"/>
                <w:lang w:val="en-US"/>
              </w:rPr>
            </m:ctrlPr>
          </m:sSubSupPr>
          <m:e>
            <m:r>
              <w:rPr>
                <w:rFonts w:ascii="Cambria Math" w:hAnsi="Cambria Math"/>
                <w:lang w:val="en-US"/>
              </w:rPr>
              <m:t>γ</m:t>
            </m:r>
            <m:ctrlPr>
              <w:rPr>
                <w:rFonts w:ascii="Cambria Math" w:hAnsi="Cambria Math"/>
                <w:i/>
                <w:lang w:val="en-US"/>
              </w:rPr>
            </m:ctrlPr>
          </m:e>
          <m:sub>
            <m:r>
              <w:rPr>
                <w:rFonts w:ascii="Cambria Math" w:hAnsi="Cambria Math"/>
                <w:vertAlign w:val="subscript"/>
                <w:lang w:val="en-US"/>
              </w:rPr>
              <m:t>2</m:t>
            </m:r>
            <m:ctrlPr>
              <w:rPr>
                <w:rFonts w:ascii="Cambria Math" w:hAnsi="Cambria Math"/>
                <w:i/>
                <w:vertAlign w:val="subscript"/>
                <w:lang w:val="en-US"/>
              </w:rPr>
            </m:ctrlPr>
          </m:sub>
          <m:sup>
            <m:r>
              <w:rPr>
                <w:rFonts w:ascii="Cambria Math" w:hAnsi="Cambria Math"/>
                <w:vertAlign w:val="superscript"/>
                <w:lang w:val="en-US"/>
              </w:rPr>
              <m:t>'</m:t>
            </m:r>
          </m:sup>
        </m:sSubSup>
        <m:r>
          <w:rPr>
            <w:rFonts w:ascii="Cambria Math" w:hAnsi="Cambria Math"/>
            <w:vertAlign w:val="superscript"/>
            <w:lang w:val="en-US"/>
          </w:rPr>
          <m:t xml:space="preserve"> </m:t>
        </m:r>
        <m:r>
          <w:rPr>
            <w:rFonts w:ascii="Cambria Math" w:hAnsi="Cambria Math"/>
            <w:lang w:val="en-US"/>
          </w:rPr>
          <m:t>regiona</m:t>
        </m:r>
        <m:sSub>
          <m:sSubPr>
            <m:ctrlPr>
              <w:rPr>
                <w:rFonts w:ascii="Cambria Math" w:hAnsi="Cambria Math"/>
                <w:i/>
                <w:lang w:val="en-US"/>
              </w:rPr>
            </m:ctrlPr>
          </m:sSubPr>
          <m:e>
            <m:r>
              <w:rPr>
                <w:rFonts w:ascii="Cambria Math" w:hAnsi="Cambria Math"/>
                <w:lang w:val="en-US"/>
              </w:rPr>
              <m:t>l</m:t>
            </m:r>
          </m:e>
          <m:sub>
            <m:r>
              <w:rPr>
                <w:rFonts w:ascii="Cambria Math" w:hAnsi="Cambria Math"/>
                <w:vertAlign w:val="subscript"/>
                <w:lang w:val="en-US"/>
              </w:rPr>
              <m:t>it</m:t>
            </m:r>
          </m:sub>
        </m:sSub>
        <m:r>
          <w:rPr>
            <w:rFonts w:ascii="Cambria Math" w:hAnsi="Cambria Math"/>
            <w:vertAlign w:val="subscript"/>
            <w:lang w:val="en-US"/>
          </w:rPr>
          <m:t xml:space="preserve"> </m:t>
        </m:r>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ε</m:t>
            </m:r>
          </m:e>
          <m:sub>
            <m:r>
              <w:rPr>
                <w:rFonts w:ascii="Cambria Math" w:hAnsi="Cambria Math"/>
                <w:vertAlign w:val="subscript"/>
                <w:lang w:val="en-US"/>
              </w:rPr>
              <m:t>it</m:t>
            </m:r>
          </m:sub>
        </m:sSub>
      </m:oMath>
      <w:r w:rsidRPr="00160986">
        <w:rPr>
          <w:i/>
          <w:vertAlign w:val="subscript"/>
          <w:lang w:val="en-US"/>
        </w:rPr>
        <w:tab/>
      </w:r>
      <w:r w:rsidRPr="00073C14">
        <w:rPr>
          <w:lang w:val="en-US"/>
        </w:rPr>
        <w:t>(</w:t>
      </w:r>
      <w:r w:rsidR="002A7E7E" w:rsidRPr="00B72B6C">
        <w:rPr>
          <w:lang w:val="en-US"/>
        </w:rPr>
        <w:t>2</w:t>
      </w:r>
      <w:r w:rsidRPr="00B72B6C">
        <w:rPr>
          <w:lang w:val="en-US"/>
        </w:rPr>
        <w:t>)</w:t>
      </w:r>
    </w:p>
    <w:p w14:paraId="29C992FF" w14:textId="28496A21" w:rsidR="00C931EB" w:rsidRPr="00B72B6C" w:rsidRDefault="00C931EB" w:rsidP="00C931EB">
      <w:pPr>
        <w:pStyle w:val="Heading2"/>
        <w:rPr>
          <w:lang w:val="en-US"/>
        </w:rPr>
      </w:pPr>
      <w:r w:rsidRPr="00B72B6C">
        <w:rPr>
          <w:lang w:val="en-US"/>
        </w:rPr>
        <w:t xml:space="preserve">Controls </w:t>
      </w:r>
    </w:p>
    <w:p w14:paraId="2434BDC2" w14:textId="04109FC3" w:rsidR="00593CF7" w:rsidRPr="00B72B6C" w:rsidRDefault="00FF24AB">
      <w:pPr>
        <w:ind w:left="-15" w:firstLine="339"/>
        <w:rPr>
          <w:lang w:val="en-US"/>
        </w:rPr>
      </w:pPr>
      <w:r w:rsidRPr="00B72B6C">
        <w:rPr>
          <w:lang w:val="en-US"/>
        </w:rPr>
        <w:t>At the firm internal level, we control for common factors that have been found to correlate with innovation activity. We control for the firm’s main branch of economic activity as innovation is naturally more common in some industries compared to others (compare for example the pharmaceutical and construction sectors). We also control for firm size in terms of employment as larger firms have been empirically shown to be more likely to innovate than smaller firms (Cohen</w:t>
      </w:r>
      <w:r w:rsidR="00981B0C" w:rsidRPr="00B72B6C">
        <w:rPr>
          <w:lang w:val="en-US"/>
        </w:rPr>
        <w:t>,</w:t>
      </w:r>
      <w:r w:rsidRPr="00B72B6C">
        <w:rPr>
          <w:lang w:val="en-US"/>
        </w:rPr>
        <w:t xml:space="preserve"> 2010), and firm age in years since the firm was established as firms’ economic performance has been </w:t>
      </w:r>
      <w:r w:rsidRPr="00B72B6C">
        <w:rPr>
          <w:lang w:val="en-US"/>
        </w:rPr>
        <w:lastRenderedPageBreak/>
        <w:t>shown to vary with firm age (Coad et al., 2018). We also control for firm-level inputs to the innovation process by including a variable for the share of researchers in the workforce, as reported by the firm in the RDI surveys.</w:t>
      </w:r>
    </w:p>
    <w:p w14:paraId="16608AC1" w14:textId="1643F581" w:rsidR="00593CF7" w:rsidRPr="00B72B6C" w:rsidRDefault="00FF24AB">
      <w:pPr>
        <w:ind w:left="-15" w:firstLine="339"/>
        <w:rPr>
          <w:lang w:val="en-US"/>
        </w:rPr>
      </w:pPr>
      <w:r w:rsidRPr="00B72B6C">
        <w:rPr>
          <w:lang w:val="en-US"/>
        </w:rPr>
        <w:t xml:space="preserve">At the firm external level, we include two controls. The first is a control for the locally available resources for innovation: the share of the regional workforce with tertiary level education. A supply of highly educated labor benefits the firms’ innovation activities directly as a resource, and indirectly by allowing the firm increased flexibility when adapting its workforce after </w:t>
      </w:r>
      <w:r w:rsidR="00DA2CF5" w:rsidRPr="00B72B6C">
        <w:rPr>
          <w:lang w:val="en-US"/>
        </w:rPr>
        <w:t xml:space="preserve">the </w:t>
      </w:r>
      <w:r w:rsidRPr="00B72B6C">
        <w:rPr>
          <w:lang w:val="en-US"/>
        </w:rPr>
        <w:t>innovation has taken place. We define regions as commuting zones computed from the administrative data. Commuting zones are defined according to Statistics Denmark (2016)</w:t>
      </w:r>
      <w:r w:rsidR="005B1642" w:rsidRPr="00B72B6C">
        <w:rPr>
          <w:lang w:val="en-US"/>
        </w:rPr>
        <w:t>,</w:t>
      </w:r>
      <w:r w:rsidRPr="00B72B6C">
        <w:rPr>
          <w:lang w:val="en-US"/>
        </w:rPr>
        <w:t xml:space="preserve"> as a function of the size of working areas, the distance employees commute, and local economic activity. Around the main cities of Denmark, there are large commuting zones combined of multiple municipalities, while in the more peripheral areas commuting zones correspond to single municipalities. This means that there are significant differences in the regional innovation systems among our 27 regions. Some are small rural regions with only a few hundred firms, while others are geographically large regions centered around metropolitan university cities with several thousand firms. These differences are likely to correlate with our measure of the locally available resources for innovation, and the share of the local workforce with a tertiary education will thus also reflect differences in regional innovation systems more broadly.</w:t>
      </w:r>
    </w:p>
    <w:p w14:paraId="10B7C856" w14:textId="6E3697ED" w:rsidR="00593CF7" w:rsidRPr="00B72B6C" w:rsidRDefault="00FF24AB">
      <w:pPr>
        <w:spacing w:after="660"/>
        <w:ind w:left="-15" w:firstLine="339"/>
        <w:rPr>
          <w:lang w:val="en-US"/>
        </w:rPr>
      </w:pPr>
      <w:r w:rsidRPr="00B72B6C">
        <w:rPr>
          <w:lang w:val="en-US"/>
        </w:rPr>
        <w:t xml:space="preserve">While the first regional variable captures the general conditions for innovation in the regional innovation system, the second regional control variable reflects regional </w:t>
      </w:r>
      <w:r w:rsidR="00165755" w:rsidRPr="00B72B6C">
        <w:rPr>
          <w:lang w:val="en-US"/>
        </w:rPr>
        <w:t>spillovers</w:t>
      </w:r>
      <w:r w:rsidRPr="00B72B6C">
        <w:rPr>
          <w:lang w:val="en-US"/>
        </w:rPr>
        <w:t xml:space="preserve"> that are specifically useful for the specific firm. These are the Marshall-Arrow-Romer (MAR) externalities: A thick labor market, specialized suppliers, and informal interaction (Malmberg and Maskell, 2002). To measure the potential for MAR externalities for firm </w:t>
      </w:r>
      <w:r w:rsidRPr="00B72B6C">
        <w:rPr>
          <w:i/>
          <w:lang w:val="en-US"/>
        </w:rPr>
        <w:t xml:space="preserve">i </w:t>
      </w:r>
      <w:r w:rsidRPr="00B72B6C">
        <w:rPr>
          <w:lang w:val="en-US"/>
        </w:rPr>
        <w:t xml:space="preserve">in region </w:t>
      </w:r>
      <w:r w:rsidRPr="00B72B6C">
        <w:rPr>
          <w:i/>
          <w:lang w:val="en-US"/>
        </w:rPr>
        <w:t xml:space="preserve">r </w:t>
      </w:r>
      <w:r w:rsidRPr="00B72B6C">
        <w:rPr>
          <w:lang w:val="en-US"/>
        </w:rPr>
        <w:t xml:space="preserve">at time </w:t>
      </w:r>
      <w:r w:rsidRPr="00B72B6C">
        <w:rPr>
          <w:i/>
          <w:lang w:val="en-US"/>
        </w:rPr>
        <w:t xml:space="preserve">t </w:t>
      </w:r>
      <w:r w:rsidRPr="00B72B6C">
        <w:rPr>
          <w:lang w:val="en-US"/>
        </w:rPr>
        <w:t xml:space="preserve">we use an index for relatedness (Hidalgo et al., 2018; Neffke et al., 2017). That is, an index capturing the relatedness between the firm’s activities and the other activities in the region-year combination. More related activities entail a thicker labor market, a greater potential for specialized suppliers, and greater scope for informal interaction with peers. The specific index follows then employment weighted relatedness index as applied in Holm and </w:t>
      </w:r>
      <w:r w:rsidR="006115C8" w:rsidRPr="00B72B6C">
        <w:rPr>
          <w:lang w:val="en-US"/>
        </w:rPr>
        <w:t>Ø</w:t>
      </w:r>
      <w:r w:rsidRPr="00B72B6C">
        <w:rPr>
          <w:lang w:val="en-US"/>
        </w:rPr>
        <w:t>s</w:t>
      </w:r>
      <w:r w:rsidR="006115C8" w:rsidRPr="00B72B6C">
        <w:rPr>
          <w:lang w:val="en-US"/>
        </w:rPr>
        <w:t>te</w:t>
      </w:r>
      <w:r w:rsidRPr="00B72B6C">
        <w:rPr>
          <w:lang w:val="en-US"/>
        </w:rPr>
        <w:t>rgaard</w:t>
      </w:r>
      <w:r w:rsidR="002A7E7E" w:rsidRPr="00B72B6C">
        <w:rPr>
          <w:lang w:val="en-US"/>
        </w:rPr>
        <w:t xml:space="preserve"> (</w:t>
      </w:r>
      <w:r w:rsidRPr="00B72B6C">
        <w:rPr>
          <w:lang w:val="en-US"/>
        </w:rPr>
        <w:t xml:space="preserve">2018). We compute the index at the level of </w:t>
      </w:r>
      <w:r w:rsidRPr="00B72B6C">
        <w:rPr>
          <w:lang w:val="en-US"/>
        </w:rPr>
        <w:lastRenderedPageBreak/>
        <w:t xml:space="preserve">two-digit NACE industries and for industry-region-year </w:t>
      </w:r>
      <w:r w:rsidRPr="00B72B6C">
        <w:rPr>
          <w:i/>
          <w:lang w:val="en-US"/>
        </w:rPr>
        <w:t>krt</w:t>
      </w:r>
      <w:r w:rsidRPr="00B72B6C">
        <w:rPr>
          <w:lang w:val="en-US"/>
        </w:rPr>
        <w:t xml:space="preserve">. </w:t>
      </w:r>
      <w:r w:rsidR="007D6ADE" w:rsidRPr="00B72B6C">
        <w:rPr>
          <w:i/>
          <w:lang w:val="en-US"/>
        </w:rPr>
        <w:t>ER</w:t>
      </w:r>
      <w:r w:rsidR="007D6ADE" w:rsidRPr="00B72B6C">
        <w:rPr>
          <w:i/>
          <w:sz w:val="16"/>
          <w:lang w:val="en-US"/>
        </w:rPr>
        <w:t xml:space="preserve">krt </w:t>
      </w:r>
      <w:r w:rsidRPr="00B72B6C">
        <w:rPr>
          <w:lang w:val="en-US"/>
        </w:rPr>
        <w:t xml:space="preserve">is interpreted as the share of employment in the region-year, which is in industries that are related to industry </w:t>
      </w:r>
      <w:r w:rsidRPr="00B72B6C">
        <w:rPr>
          <w:i/>
          <w:lang w:val="en-US"/>
        </w:rPr>
        <w:t>k</w:t>
      </w:r>
      <w:r w:rsidRPr="00B72B6C">
        <w:rPr>
          <w:lang w:val="en-US"/>
        </w:rPr>
        <w:t>.</w:t>
      </w:r>
    </w:p>
    <w:p w14:paraId="054B2DE1" w14:textId="256A690E" w:rsidR="00593CF7" w:rsidRPr="00B72B6C" w:rsidRDefault="00FF24AB" w:rsidP="007D6ADE">
      <w:pPr>
        <w:spacing w:after="27"/>
        <w:ind w:left="-15" w:firstLine="339"/>
        <w:rPr>
          <w:lang w:val="en-US"/>
        </w:rPr>
      </w:pPr>
      <w:r w:rsidRPr="00B72B6C">
        <w:rPr>
          <w:rFonts w:ascii="Calibri" w:eastAsia="Calibri" w:hAnsi="Calibri" w:cs="Calibri"/>
          <w:lang w:val="en-US"/>
        </w:rPr>
        <w:tab/>
      </w:r>
    </w:p>
    <w:p w14:paraId="709F570D" w14:textId="115A1C9B" w:rsidR="007F3B64" w:rsidRPr="00B72B6C" w:rsidRDefault="007F3B64" w:rsidP="007F3B64">
      <w:pPr>
        <w:tabs>
          <w:tab w:val="center" w:pos="4675"/>
          <w:tab w:val="right" w:pos="9360"/>
        </w:tabs>
        <w:spacing w:after="0" w:line="265" w:lineRule="auto"/>
        <w:ind w:left="0" w:right="-15" w:firstLine="0"/>
        <w:jc w:val="left"/>
        <w:rPr>
          <w:lang w:val="en-US"/>
        </w:rPr>
      </w:pPr>
    </w:p>
    <w:p w14:paraId="2E7FCA42" w14:textId="4CA267D2" w:rsidR="003D3754" w:rsidRPr="00B72B6C" w:rsidRDefault="003D3754" w:rsidP="003D3754">
      <w:pPr>
        <w:pStyle w:val="Heading2"/>
        <w:rPr>
          <w:lang w:val="en-US"/>
        </w:rPr>
      </w:pPr>
      <w:r w:rsidRPr="00B72B6C">
        <w:rPr>
          <w:lang w:val="en-US"/>
        </w:rPr>
        <w:t>Instrumental Variable Estimation</w:t>
      </w:r>
    </w:p>
    <w:p w14:paraId="52644A3D" w14:textId="7E90223E" w:rsidR="00593CF7" w:rsidRPr="00B72B6C" w:rsidRDefault="00FF24AB">
      <w:pPr>
        <w:ind w:left="-15" w:firstLine="339"/>
        <w:rPr>
          <w:lang w:val="en-US"/>
        </w:rPr>
      </w:pPr>
      <w:r w:rsidRPr="00B72B6C">
        <w:rPr>
          <w:lang w:val="en-US"/>
        </w:rPr>
        <w:t xml:space="preserve">The OLS regression </w:t>
      </w:r>
      <w:r w:rsidR="00B21C1A" w:rsidRPr="00B72B6C">
        <w:rPr>
          <w:lang w:val="en-US"/>
        </w:rPr>
        <w:t>shows</w:t>
      </w:r>
      <w:r w:rsidRPr="00B72B6C">
        <w:rPr>
          <w:lang w:val="en-US"/>
        </w:rPr>
        <w:t xml:space="preserve"> descriptive evidence </w:t>
      </w:r>
      <w:r w:rsidR="005139C9" w:rsidRPr="00B72B6C">
        <w:rPr>
          <w:lang w:val="en-US"/>
        </w:rPr>
        <w:t>as to whether there exist</w:t>
      </w:r>
      <w:r w:rsidR="007D6ADE" w:rsidRPr="00B72B6C">
        <w:rPr>
          <w:lang w:val="en-US"/>
        </w:rPr>
        <w:t>s</w:t>
      </w:r>
      <w:r w:rsidR="005139C9" w:rsidRPr="00B72B6C">
        <w:rPr>
          <w:lang w:val="en-US"/>
        </w:rPr>
        <w:t xml:space="preserve"> a </w:t>
      </w:r>
      <w:r w:rsidRPr="00B72B6C">
        <w:rPr>
          <w:lang w:val="en-US"/>
        </w:rPr>
        <w:t>relation between the use of tertiary CE and the firm becoming more likely to innovate</w:t>
      </w:r>
      <w:r w:rsidR="005139C9" w:rsidRPr="00B72B6C">
        <w:rPr>
          <w:lang w:val="en-US"/>
        </w:rPr>
        <w:t>. T</w:t>
      </w:r>
      <w:r w:rsidRPr="00B72B6C">
        <w:rPr>
          <w:lang w:val="en-US"/>
        </w:rPr>
        <w:t>he use of CE may still be endogenous if firms that innovate simply are more likely to have</w:t>
      </w:r>
      <w:r w:rsidR="007D6ADE" w:rsidRPr="00B72B6C">
        <w:rPr>
          <w:lang w:val="en-US"/>
        </w:rPr>
        <w:t xml:space="preserve"> employees participate in</w:t>
      </w:r>
      <w:r w:rsidRPr="00B72B6C">
        <w:rPr>
          <w:lang w:val="en-US"/>
        </w:rPr>
        <w:t xml:space="preserve"> CE</w:t>
      </w:r>
      <w:r w:rsidR="002576A1" w:rsidRPr="00B72B6C">
        <w:rPr>
          <w:lang w:val="en-US"/>
        </w:rPr>
        <w:t>, for example</w:t>
      </w:r>
      <w:r w:rsidR="00AE646F" w:rsidRPr="00B72B6C">
        <w:rPr>
          <w:lang w:val="en-US"/>
        </w:rPr>
        <w:t>,</w:t>
      </w:r>
      <w:r w:rsidR="002576A1" w:rsidRPr="00B72B6C">
        <w:rPr>
          <w:lang w:val="en-US"/>
        </w:rPr>
        <w:t xml:space="preserve"> because they are expanding </w:t>
      </w:r>
      <w:r w:rsidR="00EC3468" w:rsidRPr="00B72B6C">
        <w:rPr>
          <w:lang w:val="en-US"/>
        </w:rPr>
        <w:t>their production</w:t>
      </w:r>
      <w:r w:rsidR="003D3754" w:rsidRPr="00B72B6C">
        <w:rPr>
          <w:lang w:val="en-US"/>
        </w:rPr>
        <w:t xml:space="preserve"> scale</w:t>
      </w:r>
      <w:r w:rsidRPr="00B72B6C">
        <w:rPr>
          <w:lang w:val="en-US"/>
        </w:rPr>
        <w:t xml:space="preserve">. To estimate the causal effects of tertiary CE on the innovation process we instrument the CE variable in equation </w:t>
      </w:r>
      <w:r w:rsidR="007D6ADE" w:rsidRPr="00B72B6C">
        <w:rPr>
          <w:lang w:val="en-US"/>
        </w:rPr>
        <w:t>2</w:t>
      </w:r>
      <w:r w:rsidRPr="00B72B6C">
        <w:rPr>
          <w:lang w:val="en-US"/>
        </w:rPr>
        <w:t>.</w:t>
      </w:r>
    </w:p>
    <w:p w14:paraId="6C80F919" w14:textId="5191A310" w:rsidR="00593CF7" w:rsidRPr="00B72B6C" w:rsidRDefault="00FF24AB">
      <w:pPr>
        <w:ind w:left="-15" w:firstLine="339"/>
        <w:rPr>
          <w:lang w:val="en-US"/>
        </w:rPr>
      </w:pPr>
      <w:r w:rsidRPr="00B72B6C">
        <w:rPr>
          <w:lang w:val="en-US"/>
        </w:rPr>
        <w:t xml:space="preserve">The instrument for CE is the distance to institutions offering CE. </w:t>
      </w:r>
      <w:r w:rsidR="00165755">
        <w:rPr>
          <w:lang w:val="en-US"/>
        </w:rPr>
        <w:t xml:space="preserve">One of the first uses of </w:t>
      </w:r>
      <w:r w:rsidRPr="00B72B6C">
        <w:rPr>
          <w:lang w:val="en-US"/>
        </w:rPr>
        <w:t xml:space="preserve">distances to education institutions as instruments was by Card (1993). Several authors have since extended the approach, including Mountjoy (2019). In our setting, the distance represents a </w:t>
      </w:r>
      <w:r w:rsidR="00165755" w:rsidRPr="00B72B6C">
        <w:rPr>
          <w:lang w:val="en-US"/>
        </w:rPr>
        <w:t>cost,</w:t>
      </w:r>
      <w:r w:rsidRPr="00B72B6C">
        <w:rPr>
          <w:lang w:val="en-US"/>
        </w:rPr>
        <w:t xml:space="preserve"> so firms located closer to institutions offering CE are more likely to award their workers with CE. The cost is made up of both the actual cost from transportation, but also as an information cost as firms located near such institutions are more likely to be aware of the possibilities of CE. While the pecuniary cost to the firm of an employee participating in CE is likely to be dominated by the cost of the course itself, there are also personal costs to the participants in terms of time away from home and family if participating in a program</w:t>
      </w:r>
    </w:p>
    <w:p w14:paraId="1A88FE53" w14:textId="2488524F" w:rsidR="00593CF7" w:rsidRPr="00B72B6C" w:rsidRDefault="00FF24AB" w:rsidP="000C2FC8">
      <w:pPr>
        <w:ind w:left="-15" w:firstLine="339"/>
        <w:rPr>
          <w:lang w:val="en-US"/>
        </w:rPr>
      </w:pPr>
      <w:r w:rsidRPr="00B72B6C">
        <w:rPr>
          <w:lang w:val="en-US"/>
        </w:rPr>
        <w:t xml:space="preserve">The distance between the firm and the CE offering institution is not a perfect instrument for whether firms award CE to their employees. The distance may not be random as more </w:t>
      </w:r>
      <w:r w:rsidR="00DA2CF5" w:rsidRPr="00B72B6C">
        <w:rPr>
          <w:lang w:val="en-US"/>
        </w:rPr>
        <w:t>knowledge-intensive</w:t>
      </w:r>
      <w:r w:rsidRPr="00B72B6C">
        <w:rPr>
          <w:lang w:val="en-US"/>
        </w:rPr>
        <w:t xml:space="preserve"> firms tend to locate near educational institutions (Bonaccorsi et al., 2014). There are other ways that the distance can affect innovation outcomes: Firms located a shorter distance to educational institutions will have better access to skilled labor, and access to new knowledge produced at the institution – especially if it is a research institution such as a university. However, including </w:t>
      </w:r>
      <w:r w:rsidR="00E610BD" w:rsidRPr="00B72B6C">
        <w:rPr>
          <w:lang w:val="en-US"/>
        </w:rPr>
        <w:t xml:space="preserve">the </w:t>
      </w:r>
      <w:r w:rsidRPr="00B72B6C">
        <w:rPr>
          <w:lang w:val="en-US"/>
        </w:rPr>
        <w:t xml:space="preserve">full </w:t>
      </w:r>
      <w:r w:rsidR="00E610BD" w:rsidRPr="00B72B6C">
        <w:rPr>
          <w:lang w:val="en-US"/>
        </w:rPr>
        <w:t xml:space="preserve">set of </w:t>
      </w:r>
      <w:r w:rsidRPr="00B72B6C">
        <w:rPr>
          <w:lang w:val="en-US"/>
        </w:rPr>
        <w:t xml:space="preserve">controls as in the methods section will control for both relevant regional and </w:t>
      </w:r>
      <w:r w:rsidR="000C2FC8" w:rsidRPr="00B72B6C">
        <w:rPr>
          <w:lang w:val="en-US"/>
        </w:rPr>
        <w:t>firm characteristics</w:t>
      </w:r>
      <w:r w:rsidRPr="00B72B6C">
        <w:rPr>
          <w:lang w:val="en-US"/>
        </w:rPr>
        <w:t>.</w:t>
      </w:r>
    </w:p>
    <w:p w14:paraId="14916F67" w14:textId="55C37819" w:rsidR="00593CF7" w:rsidRPr="00B72B6C" w:rsidRDefault="00FF24AB">
      <w:pPr>
        <w:ind w:left="-15" w:firstLine="339"/>
        <w:rPr>
          <w:lang w:val="en-US"/>
        </w:rPr>
      </w:pPr>
      <w:r w:rsidRPr="00B72B6C">
        <w:rPr>
          <w:lang w:val="en-US"/>
        </w:rPr>
        <w:lastRenderedPageBreak/>
        <w:t xml:space="preserve">The IV setup is a 2 stage least squares (2SLS) approach (Angrist and Pischke, 2009, </w:t>
      </w:r>
      <w:r w:rsidR="00165755" w:rsidRPr="00B72B6C">
        <w:rPr>
          <w:lang w:val="en-US"/>
        </w:rPr>
        <w:t>Ch.</w:t>
      </w:r>
      <w:r w:rsidRPr="00B72B6C">
        <w:rPr>
          <w:lang w:val="en-US"/>
        </w:rPr>
        <w:t xml:space="preserve"> 4). equation </w:t>
      </w:r>
      <w:r w:rsidR="007D6ADE" w:rsidRPr="00B72B6C">
        <w:rPr>
          <w:lang w:val="en-US"/>
        </w:rPr>
        <w:t>3</w:t>
      </w:r>
      <w:r w:rsidRPr="00B72B6C">
        <w:rPr>
          <w:lang w:val="en-US"/>
        </w:rPr>
        <w:t xml:space="preserve"> is our first stage from which we obtain fitted values for CE participation at the firm level using the instrument and the remaining independent variables from the augmented innovation production function as regressors.</w:t>
      </w:r>
    </w:p>
    <w:p w14:paraId="44898843" w14:textId="1D3C43C9" w:rsidR="005E5D2A" w:rsidRPr="00B72B6C" w:rsidRDefault="00160986" w:rsidP="005E5D2A">
      <w:pPr>
        <w:ind w:left="0" w:firstLine="720"/>
        <w:rPr>
          <w:lang w:val="en-US"/>
        </w:rPr>
      </w:pPr>
      <m:oMath>
        <m:sSub>
          <m:sSubPr>
            <m:ctrlPr>
              <w:rPr>
                <w:rFonts w:ascii="Cambria Math" w:hAnsi="Cambria Math"/>
                <w:i/>
                <w:lang w:val="en-US"/>
              </w:rPr>
            </m:ctrlPr>
          </m:sSubPr>
          <m:e>
            <m:r>
              <w:rPr>
                <w:rFonts w:ascii="Cambria Math" w:hAnsi="Cambria Math"/>
                <w:lang w:val="en-US"/>
              </w:rPr>
              <m:t>CE</m:t>
            </m:r>
          </m:e>
          <m:sub>
            <m:r>
              <w:rPr>
                <w:rFonts w:ascii="Cambria Math" w:hAnsi="Cambria Math"/>
                <w:vertAlign w:val="subscript"/>
                <w:lang w:val="en-US"/>
              </w:rPr>
              <m:t>it</m:t>
            </m:r>
          </m:sub>
        </m:sSub>
        <m:r>
          <w:rPr>
            <w:rFonts w:ascii="Cambria Math" w:hAnsi="Cambria Math"/>
            <w:vertAlign w:val="subscript"/>
            <w:lang w:val="en-US"/>
          </w:rPr>
          <m:t xml:space="preserve"> </m:t>
        </m:r>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m:t>
            </m:r>
          </m:e>
          <m:sub>
            <m:r>
              <w:rPr>
                <w:rFonts w:ascii="Cambria Math" w:hAnsi="Cambria Math"/>
                <w:vertAlign w:val="subscript"/>
                <w:lang w:val="en-US"/>
              </w:rPr>
              <m:t>1</m:t>
            </m:r>
          </m:sub>
        </m:sSub>
        <m:r>
          <w:rPr>
            <w:rFonts w:ascii="Cambria Math" w:hAnsi="Cambria Math"/>
            <w:vertAlign w:val="subscript"/>
            <w:lang w:val="en-US"/>
          </w:rPr>
          <m:t xml:space="preserve"> </m:t>
        </m:r>
        <m:r>
          <w:rPr>
            <w:rFonts w:ascii="Cambria Math" w:hAnsi="Cambria Math"/>
            <w:lang w:val="en-US"/>
          </w:rPr>
          <m:t>+</m:t>
        </m:r>
        <m:r>
          <w:rPr>
            <w:rFonts w:ascii="Cambria Math" w:hAnsi="Cambria Math"/>
            <w:lang w:val="en-US"/>
          </w:rPr>
          <m:t>ϕDistanc</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it</m:t>
            </m:r>
          </m:sub>
        </m:sSub>
        <m:r>
          <w:rPr>
            <w:rFonts w:ascii="Cambria Math" w:hAnsi="Cambria Math"/>
            <w:vertAlign w:val="subscript"/>
            <w:lang w:val="en-US"/>
          </w:rPr>
          <m:t xml:space="preserve"> </m:t>
        </m:r>
        <m:r>
          <w:rPr>
            <w:rFonts w:ascii="Cambria Math" w:hAnsi="Cambria Math"/>
            <w:lang w:val="en-US"/>
          </w:rPr>
          <m:t>+</m:t>
        </m:r>
        <m:nary>
          <m:naryPr>
            <m:chr m:val="∑"/>
            <m:supHide m:val="1"/>
            <m:ctrlPr>
              <w:rPr>
                <w:rFonts w:ascii="Cambria Math" w:hAnsi="Cambria Math"/>
                <w:i/>
                <w:lang w:val="en-US"/>
              </w:rPr>
            </m:ctrlPr>
          </m:naryPr>
          <m:sub>
            <m:r>
              <w:rPr>
                <w:rFonts w:ascii="Cambria Math" w:hAnsi="Cambria Math"/>
                <w:lang w:val="en-US"/>
              </w:rPr>
              <m:t>t</m:t>
            </m:r>
          </m:sub>
          <m:sup/>
          <m:e>
            <m:sSub>
              <m:sSubPr>
                <m:ctrlPr>
                  <w:rPr>
                    <w:rFonts w:ascii="Cambria Math" w:hAnsi="Cambria Math"/>
                    <w:i/>
                    <w:lang w:val="en-US"/>
                  </w:rPr>
                </m:ctrlPr>
              </m:sSubPr>
              <m:e>
                <m:r>
                  <w:rPr>
                    <w:rFonts w:ascii="Cambria Math" w:hAnsi="Cambria Math"/>
                    <w:lang w:val="en-US"/>
                  </w:rPr>
                  <m:t>θ</m:t>
                </m:r>
              </m:e>
              <m:sub>
                <m:r>
                  <w:rPr>
                    <w:rFonts w:ascii="Cambria Math" w:hAnsi="Cambria Math"/>
                    <w:vertAlign w:val="subscript"/>
                    <w:lang w:val="en-US"/>
                  </w:rPr>
                  <m:t>t</m:t>
                </m:r>
              </m:sub>
            </m:sSub>
            <m:r>
              <w:rPr>
                <w:rFonts w:ascii="Cambria Math" w:hAnsi="Cambria Math"/>
                <w:lang w:val="en-US"/>
              </w:rPr>
              <m:t>Yea</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t</m:t>
                </m:r>
              </m:sub>
            </m:sSub>
          </m:e>
        </m:nary>
        <m:r>
          <w:rPr>
            <w:rFonts w:ascii="Cambria Math" w:hAnsi="Cambria Math"/>
            <w:vertAlign w:val="subscript"/>
            <w:lang w:val="en-US"/>
          </w:rPr>
          <m:t xml:space="preserve"> </m:t>
        </m:r>
        <m:r>
          <w:rPr>
            <w:rFonts w:ascii="Cambria Math" w:hAnsi="Cambria Math"/>
            <w:lang w:val="en-US"/>
          </w:rPr>
          <m:t xml:space="preserve">+ </m:t>
        </m:r>
        <m:sSubSup>
          <m:sSubSupPr>
            <m:ctrlPr>
              <w:rPr>
                <w:rFonts w:ascii="Cambria Math" w:hAnsi="Cambria Math"/>
                <w:i/>
                <w:vertAlign w:val="superscript"/>
                <w:lang w:val="en-US"/>
              </w:rPr>
            </m:ctrlPr>
          </m:sSubSupPr>
          <m:e>
            <m:r>
              <w:rPr>
                <w:rFonts w:ascii="Cambria Math" w:hAnsi="Cambria Math"/>
                <w:lang w:val="en-US"/>
              </w:rPr>
              <m:t>γ</m:t>
            </m:r>
            <m:ctrlPr>
              <w:rPr>
                <w:rFonts w:ascii="Cambria Math" w:hAnsi="Cambria Math"/>
                <w:i/>
                <w:lang w:val="en-US"/>
              </w:rPr>
            </m:ctrlPr>
          </m:e>
          <m:sub>
            <m:r>
              <w:rPr>
                <w:rFonts w:ascii="Cambria Math" w:hAnsi="Cambria Math"/>
                <w:vertAlign w:val="subscript"/>
                <w:lang w:val="en-US"/>
              </w:rPr>
              <m:t>1</m:t>
            </m:r>
            <m:ctrlPr>
              <w:rPr>
                <w:rFonts w:ascii="Cambria Math" w:hAnsi="Cambria Math"/>
                <w:i/>
                <w:vertAlign w:val="subscript"/>
                <w:lang w:val="en-US"/>
              </w:rPr>
            </m:ctrlPr>
          </m:sub>
          <m:sup>
            <m:r>
              <w:rPr>
                <w:rFonts w:ascii="Cambria Math" w:hAnsi="Cambria Math"/>
                <w:vertAlign w:val="superscript"/>
                <w:lang w:val="en-US"/>
              </w:rPr>
              <m:t>'</m:t>
            </m:r>
          </m:sup>
        </m:sSubSup>
        <m:r>
          <w:rPr>
            <w:rFonts w:ascii="Cambria Math" w:hAnsi="Cambria Math"/>
            <w:vertAlign w:val="superscript"/>
            <w:lang w:val="en-US"/>
          </w:rPr>
          <m:t xml:space="preserve"> </m:t>
        </m:r>
        <m:r>
          <w:rPr>
            <w:rFonts w:ascii="Cambria Math" w:hAnsi="Cambria Math"/>
            <w:lang w:val="en-US"/>
          </w:rPr>
          <m:t>fir</m:t>
        </m:r>
        <m:sSub>
          <m:sSubPr>
            <m:ctrlPr>
              <w:rPr>
                <w:rFonts w:ascii="Cambria Math" w:hAnsi="Cambria Math"/>
                <w:i/>
                <w:lang w:val="en-US"/>
              </w:rPr>
            </m:ctrlPr>
          </m:sSubPr>
          <m:e>
            <m:r>
              <w:rPr>
                <w:rFonts w:ascii="Cambria Math" w:hAnsi="Cambria Math"/>
                <w:lang w:val="en-US"/>
              </w:rPr>
              <m:t>m</m:t>
            </m:r>
          </m:e>
          <m:sub>
            <m:r>
              <w:rPr>
                <w:rFonts w:ascii="Cambria Math" w:hAnsi="Cambria Math"/>
                <w:vertAlign w:val="subscript"/>
                <w:lang w:val="en-US"/>
              </w:rPr>
              <m:t>it</m:t>
            </m:r>
          </m:sub>
        </m:sSub>
        <m:r>
          <w:rPr>
            <w:rFonts w:ascii="Cambria Math" w:hAnsi="Cambria Math"/>
            <w:vertAlign w:val="subscript"/>
            <w:lang w:val="en-US"/>
          </w:rPr>
          <m:t xml:space="preserve"> </m:t>
        </m:r>
        <m:r>
          <w:rPr>
            <w:rFonts w:ascii="Cambria Math" w:hAnsi="Cambria Math"/>
            <w:lang w:val="en-US"/>
          </w:rPr>
          <m:t xml:space="preserve">+ </m:t>
        </m:r>
        <m:sSubSup>
          <m:sSubSupPr>
            <m:ctrlPr>
              <w:rPr>
                <w:rFonts w:ascii="Cambria Math" w:hAnsi="Cambria Math"/>
                <w:i/>
                <w:vertAlign w:val="superscript"/>
                <w:lang w:val="en-US"/>
              </w:rPr>
            </m:ctrlPr>
          </m:sSubSupPr>
          <m:e>
            <m:r>
              <w:rPr>
                <w:rFonts w:ascii="Cambria Math" w:hAnsi="Cambria Math"/>
                <w:lang w:val="en-US"/>
              </w:rPr>
              <m:t>γ</m:t>
            </m:r>
            <m:ctrlPr>
              <w:rPr>
                <w:rFonts w:ascii="Cambria Math" w:hAnsi="Cambria Math"/>
                <w:i/>
                <w:lang w:val="en-US"/>
              </w:rPr>
            </m:ctrlPr>
          </m:e>
          <m:sub>
            <m:r>
              <w:rPr>
                <w:rFonts w:ascii="Cambria Math" w:hAnsi="Cambria Math"/>
                <w:vertAlign w:val="subscript"/>
                <w:lang w:val="en-US"/>
              </w:rPr>
              <m:t>2</m:t>
            </m:r>
            <m:ctrlPr>
              <w:rPr>
                <w:rFonts w:ascii="Cambria Math" w:hAnsi="Cambria Math"/>
                <w:i/>
                <w:vertAlign w:val="subscript"/>
                <w:lang w:val="en-US"/>
              </w:rPr>
            </m:ctrlPr>
          </m:sub>
          <m:sup>
            <m:r>
              <w:rPr>
                <w:rFonts w:ascii="Cambria Math" w:hAnsi="Cambria Math"/>
                <w:vertAlign w:val="superscript"/>
                <w:lang w:val="en-US"/>
              </w:rPr>
              <m:t>'</m:t>
            </m:r>
          </m:sup>
        </m:sSubSup>
        <m:r>
          <w:rPr>
            <w:rFonts w:ascii="Cambria Math" w:hAnsi="Cambria Math"/>
            <w:vertAlign w:val="superscript"/>
            <w:lang w:val="en-US"/>
          </w:rPr>
          <m:t xml:space="preserve"> </m:t>
        </m:r>
        <m:r>
          <w:rPr>
            <w:rFonts w:ascii="Cambria Math" w:hAnsi="Cambria Math"/>
            <w:lang w:val="en-US"/>
          </w:rPr>
          <m:t>regiona</m:t>
        </m:r>
        <m:sSub>
          <m:sSubPr>
            <m:ctrlPr>
              <w:rPr>
                <w:rFonts w:ascii="Cambria Math" w:hAnsi="Cambria Math"/>
                <w:i/>
                <w:lang w:val="en-US"/>
              </w:rPr>
            </m:ctrlPr>
          </m:sSubPr>
          <m:e>
            <m:r>
              <w:rPr>
                <w:rFonts w:ascii="Cambria Math" w:hAnsi="Cambria Math"/>
                <w:lang w:val="en-US"/>
              </w:rPr>
              <m:t>l</m:t>
            </m:r>
          </m:e>
          <m:sub>
            <m:r>
              <w:rPr>
                <w:rFonts w:ascii="Cambria Math" w:hAnsi="Cambria Math"/>
                <w:vertAlign w:val="subscript"/>
                <w:lang w:val="en-US"/>
              </w:rPr>
              <m:t>it</m:t>
            </m:r>
          </m:sub>
        </m:sSub>
        <m:r>
          <w:rPr>
            <w:rFonts w:ascii="Cambria Math" w:hAnsi="Cambria Math"/>
            <w:vertAlign w:val="subscript"/>
            <w:lang w:val="en-US"/>
          </w:rPr>
          <m:t xml:space="preserve"> </m:t>
        </m:r>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ε</m:t>
            </m:r>
          </m:e>
          <m:sub>
            <m:r>
              <w:rPr>
                <w:rFonts w:ascii="Cambria Math" w:hAnsi="Cambria Math"/>
                <w:vertAlign w:val="subscript"/>
                <w:lang w:val="en-US"/>
              </w:rPr>
              <m:t>it</m:t>
            </m:r>
          </m:sub>
        </m:sSub>
      </m:oMath>
      <w:r w:rsidR="00FF24AB" w:rsidRPr="00160986">
        <w:rPr>
          <w:lang w:val="en-US"/>
        </w:rPr>
        <w:tab/>
        <w:t>(</w:t>
      </w:r>
      <w:r w:rsidR="007D6ADE" w:rsidRPr="00073C14">
        <w:rPr>
          <w:lang w:val="en-US"/>
        </w:rPr>
        <w:t>3</w:t>
      </w:r>
      <w:r w:rsidR="00FF24AB" w:rsidRPr="00B72B6C">
        <w:rPr>
          <w:lang w:val="en-US"/>
        </w:rPr>
        <w:t>)</w:t>
      </w:r>
    </w:p>
    <w:p w14:paraId="7DEC44DE" w14:textId="77777777" w:rsidR="005E5D2A" w:rsidRPr="00B72B6C" w:rsidRDefault="005E5D2A" w:rsidP="005E5D2A">
      <w:pPr>
        <w:ind w:left="0" w:firstLine="0"/>
        <w:rPr>
          <w:lang w:val="en-US"/>
        </w:rPr>
      </w:pPr>
    </w:p>
    <w:p w14:paraId="1CE9EDDA" w14:textId="085DE084" w:rsidR="00B72B6C" w:rsidRDefault="005E5D2A" w:rsidP="005E5D2A">
      <w:pPr>
        <w:ind w:left="0" w:firstLine="0"/>
        <w:rPr>
          <w:lang w:val="en-US"/>
        </w:rPr>
      </w:pPr>
      <w:r w:rsidRPr="00B72B6C">
        <w:rPr>
          <w:lang w:val="en-US"/>
        </w:rPr>
        <w:t xml:space="preserve">      </w:t>
      </w:r>
      <w:r w:rsidR="00DA2CF5" w:rsidRPr="00B72B6C">
        <w:rPr>
          <w:lang w:val="en-US"/>
        </w:rPr>
        <w:t>In</w:t>
      </w:r>
      <w:r w:rsidR="00FF24AB" w:rsidRPr="00B72B6C">
        <w:rPr>
          <w:lang w:val="en-US"/>
        </w:rPr>
        <w:t xml:space="preserve"> the second stage, we use these fitted values in place of </w:t>
      </w:r>
      <w:r w:rsidR="00FF24AB" w:rsidRPr="00B72B6C">
        <w:rPr>
          <w:i/>
          <w:lang w:val="en-US"/>
        </w:rPr>
        <w:t>CE</w:t>
      </w:r>
      <w:r w:rsidR="00FF24AB" w:rsidRPr="00B72B6C">
        <w:rPr>
          <w:i/>
          <w:vertAlign w:val="subscript"/>
          <w:lang w:val="en-US"/>
        </w:rPr>
        <w:t xml:space="preserve">it </w:t>
      </w:r>
      <w:r w:rsidR="00FF24AB" w:rsidRPr="00B72B6C">
        <w:rPr>
          <w:lang w:val="en-US"/>
        </w:rPr>
        <w:t xml:space="preserve">in the original model in equation </w:t>
      </w:r>
      <w:r w:rsidR="007D6ADE" w:rsidRPr="00B72B6C">
        <w:rPr>
          <w:lang w:val="en-US"/>
        </w:rPr>
        <w:t>2</w:t>
      </w:r>
      <w:r w:rsidR="00FF24AB" w:rsidRPr="00B72B6C">
        <w:rPr>
          <w:lang w:val="en-US"/>
        </w:rPr>
        <w:t xml:space="preserve"> to estimate the causal effects of CE on the likelihood of the firm innovating.</w:t>
      </w:r>
      <w:r w:rsidR="005E3538" w:rsidRPr="00B343F8">
        <w:rPr>
          <w:lang w:val="en-US"/>
        </w:rPr>
        <w:t xml:space="preserve"> </w:t>
      </w:r>
      <w:r w:rsidR="007D685E" w:rsidRPr="00B72B6C">
        <w:rPr>
          <w:lang w:val="en-US"/>
        </w:rPr>
        <w:t xml:space="preserve">For all IV regressions we </w:t>
      </w:r>
      <w:r w:rsidR="008B547E" w:rsidRPr="00B72B6C">
        <w:rPr>
          <w:lang w:val="en-US"/>
        </w:rPr>
        <w:t xml:space="preserve">also </w:t>
      </w:r>
      <w:r w:rsidR="009260D2" w:rsidRPr="00B72B6C">
        <w:rPr>
          <w:lang w:val="en-US"/>
        </w:rPr>
        <w:t xml:space="preserve">include the results from two tests. The first test is an F-test for weak instruments in the </w:t>
      </w:r>
      <w:r w:rsidR="00165755" w:rsidRPr="00B72B6C">
        <w:rPr>
          <w:lang w:val="en-US"/>
        </w:rPr>
        <w:t>first stage</w:t>
      </w:r>
      <w:r w:rsidR="003C04CE" w:rsidRPr="00B72B6C">
        <w:rPr>
          <w:lang w:val="en-US"/>
        </w:rPr>
        <w:t>, which as a rule-of-thumb should be above 10</w:t>
      </w:r>
      <w:r w:rsidR="000F13C6" w:rsidRPr="00B72B6C">
        <w:rPr>
          <w:lang w:val="en-US"/>
        </w:rPr>
        <w:t xml:space="preserve"> to ensure low levels of weak-IV-bias in the IV estimate</w:t>
      </w:r>
      <w:r w:rsidR="00D2766C" w:rsidRPr="00B72B6C">
        <w:rPr>
          <w:lang w:val="en-US"/>
        </w:rPr>
        <w:t xml:space="preserve"> (Angrist &amp; Pischke, 2009, </w:t>
      </w:r>
      <w:r w:rsidR="00165755" w:rsidRPr="00B72B6C">
        <w:rPr>
          <w:lang w:val="en-US"/>
        </w:rPr>
        <w:t>Ch.</w:t>
      </w:r>
      <w:r w:rsidR="00D2766C" w:rsidRPr="00B72B6C">
        <w:rPr>
          <w:lang w:val="en-US"/>
        </w:rPr>
        <w:t xml:space="preserve"> </w:t>
      </w:r>
      <w:r w:rsidR="00644AF3" w:rsidRPr="00B72B6C">
        <w:rPr>
          <w:lang w:val="en-US"/>
        </w:rPr>
        <w:t>4.6.4)</w:t>
      </w:r>
      <w:r w:rsidR="00FB052D" w:rsidRPr="00B72B6C">
        <w:rPr>
          <w:lang w:val="en-US"/>
        </w:rPr>
        <w:t xml:space="preserve">. </w:t>
      </w:r>
      <w:r w:rsidR="000F13C6" w:rsidRPr="00B72B6C">
        <w:rPr>
          <w:lang w:val="en-US"/>
        </w:rPr>
        <w:t xml:space="preserve">We report both the F-statistic and the p-value from the test. </w:t>
      </w:r>
      <w:r w:rsidR="0044102F" w:rsidRPr="00B72B6C">
        <w:rPr>
          <w:lang w:val="en-US"/>
        </w:rPr>
        <w:t xml:space="preserve">The </w:t>
      </w:r>
      <w:r w:rsidR="003C04CE" w:rsidRPr="00B72B6C">
        <w:rPr>
          <w:lang w:val="en-US"/>
        </w:rPr>
        <w:t>Wu-Hausman</w:t>
      </w:r>
      <w:r w:rsidR="00F25311" w:rsidRPr="00B72B6C">
        <w:rPr>
          <w:lang w:val="en-US"/>
        </w:rPr>
        <w:t xml:space="preserve"> test for </w:t>
      </w:r>
      <w:r w:rsidR="00421534" w:rsidRPr="00B72B6C">
        <w:rPr>
          <w:lang w:val="en-US"/>
        </w:rPr>
        <w:t xml:space="preserve">endogeneity </w:t>
      </w:r>
      <w:r w:rsidR="000F13C6" w:rsidRPr="00B72B6C">
        <w:rPr>
          <w:lang w:val="en-US"/>
        </w:rPr>
        <w:t xml:space="preserve">is the second test, which compares IV and OLS estimates to </w:t>
      </w:r>
      <w:r w:rsidR="00C74513" w:rsidRPr="00B72B6C">
        <w:rPr>
          <w:lang w:val="en-US"/>
        </w:rPr>
        <w:t>determine if the estimates are statistically different (Wooldridge, 2010, pp. 129-134)</w:t>
      </w:r>
      <w:r w:rsidR="00B72B6C">
        <w:rPr>
          <w:lang w:val="en-US"/>
        </w:rPr>
        <w:t>.</w:t>
      </w:r>
    </w:p>
    <w:p w14:paraId="58E01AC4" w14:textId="77777777" w:rsidR="00B72B6C" w:rsidRPr="00B72B6C" w:rsidRDefault="00B72B6C" w:rsidP="005E5D2A">
      <w:pPr>
        <w:ind w:left="0" w:firstLine="0"/>
        <w:rPr>
          <w:lang w:val="en-US"/>
        </w:rPr>
      </w:pPr>
    </w:p>
    <w:p w14:paraId="7131335B" w14:textId="77777777" w:rsidR="00593CF7" w:rsidRPr="00B72B6C" w:rsidRDefault="00FF24AB">
      <w:pPr>
        <w:pStyle w:val="Heading1"/>
        <w:ind w:left="469" w:hanging="484"/>
        <w:rPr>
          <w:lang w:val="en-US"/>
        </w:rPr>
      </w:pPr>
      <w:r w:rsidRPr="00B72B6C">
        <w:rPr>
          <w:lang w:val="en-US"/>
        </w:rPr>
        <w:t>Empirical Findings</w:t>
      </w:r>
    </w:p>
    <w:p w14:paraId="74053E9F" w14:textId="28DD37C0" w:rsidR="00593CF7" w:rsidRPr="00B72B6C" w:rsidRDefault="00FF24AB">
      <w:pPr>
        <w:ind w:left="-15" w:firstLine="339"/>
        <w:rPr>
          <w:lang w:val="en-US"/>
        </w:rPr>
      </w:pPr>
      <w:r w:rsidRPr="00B72B6C">
        <w:rPr>
          <w:lang w:val="en-US"/>
        </w:rPr>
        <w:t xml:space="preserve">The OLS regressions </w:t>
      </w:r>
      <w:r w:rsidR="003B581B" w:rsidRPr="00B72B6C">
        <w:rPr>
          <w:lang w:val="en-US"/>
        </w:rPr>
        <w:t xml:space="preserve">presented in </w:t>
      </w:r>
      <w:r w:rsidR="001C44C6" w:rsidRPr="00B72B6C">
        <w:rPr>
          <w:lang w:val="en-US"/>
        </w:rPr>
        <w:t>Table</w:t>
      </w:r>
      <w:r w:rsidR="003B581B" w:rsidRPr="00B72B6C">
        <w:rPr>
          <w:lang w:val="en-US"/>
        </w:rPr>
        <w:t xml:space="preserve"> 1 </w:t>
      </w:r>
      <w:r w:rsidRPr="00B72B6C">
        <w:rPr>
          <w:lang w:val="en-US"/>
        </w:rPr>
        <w:t xml:space="preserve">show a strong positive relation between firm innovation and participation in tertiary CE by the firm’s employees. We find a strong positive relation with both Master and Diploma CE participation. Firms that have an employee who has received Master level CE, have a 19 percentage points higher likelihood of having had a product innovation conditional on year fixed effects. When we include firm- and regional level controls, the firms are 13.6 percentage points more likely to have innovated. The relationship is weaker for process innovation at 16.9 percentage points and 12.2 percentage points but remains economically substantial. Firms with employees that have taken </w:t>
      </w:r>
      <w:r w:rsidR="00FA627C" w:rsidRPr="00B72B6C">
        <w:rPr>
          <w:lang w:val="en-US"/>
        </w:rPr>
        <w:t>D</w:t>
      </w:r>
      <w:r w:rsidRPr="00B72B6C">
        <w:rPr>
          <w:lang w:val="en-US"/>
        </w:rPr>
        <w:t>iploma level CE are also more likely to have had product and process innovations. In particular, their likelihood of having had a product innovation is 15.1 percentage points higher than firms without Diploma CE employees without controls and 12 percentage points with controls. The numbers are nearly similar for process innovations.</w:t>
      </w:r>
    </w:p>
    <w:p w14:paraId="084043CA" w14:textId="4AB16793" w:rsidR="00593CF7" w:rsidRPr="00B72B6C" w:rsidRDefault="00FF24AB">
      <w:pPr>
        <w:ind w:left="-15" w:firstLine="339"/>
        <w:rPr>
          <w:lang w:val="en-US"/>
        </w:rPr>
      </w:pPr>
      <w:r w:rsidRPr="00B72B6C">
        <w:rPr>
          <w:lang w:val="en-US"/>
        </w:rPr>
        <w:t xml:space="preserve">In summary, the OLS evidence </w:t>
      </w:r>
      <w:r w:rsidR="001C44C6" w:rsidRPr="00B72B6C">
        <w:rPr>
          <w:lang w:val="en-US"/>
        </w:rPr>
        <w:t>is</w:t>
      </w:r>
      <w:r w:rsidRPr="00B72B6C">
        <w:rPr>
          <w:lang w:val="en-US"/>
        </w:rPr>
        <w:t xml:space="preserve"> suggestive of the innovation effects of tertiary CE. Firms with employees who have taken CE are more likely to innovate</w:t>
      </w:r>
      <w:r w:rsidR="009078CE" w:rsidRPr="00B72B6C">
        <w:rPr>
          <w:lang w:val="en-US"/>
        </w:rPr>
        <w:t>.</w:t>
      </w:r>
      <w:r w:rsidRPr="00B72B6C">
        <w:rPr>
          <w:lang w:val="en-US"/>
        </w:rPr>
        <w:t xml:space="preserve"> </w:t>
      </w:r>
      <w:r w:rsidR="009078CE" w:rsidRPr="00B72B6C">
        <w:rPr>
          <w:lang w:val="en-US"/>
        </w:rPr>
        <w:t>T</w:t>
      </w:r>
      <w:r w:rsidRPr="00B72B6C">
        <w:rPr>
          <w:lang w:val="en-US"/>
        </w:rPr>
        <w:t xml:space="preserve">he result is robust to including several </w:t>
      </w:r>
      <w:r w:rsidRPr="00B72B6C">
        <w:rPr>
          <w:lang w:val="en-US"/>
        </w:rPr>
        <w:lastRenderedPageBreak/>
        <w:t>controls that can impact the firm’s innovation process. However, the OLS regressions can only be interpreted descriptively.</w:t>
      </w:r>
    </w:p>
    <w:p w14:paraId="247550C2" w14:textId="3C4538BF" w:rsidR="00593CF7" w:rsidRPr="00B72B6C" w:rsidRDefault="00FF24AB">
      <w:pPr>
        <w:ind w:left="-15" w:firstLine="339"/>
        <w:rPr>
          <w:lang w:val="en-US"/>
        </w:rPr>
      </w:pPr>
      <w:r w:rsidRPr="00B72B6C">
        <w:rPr>
          <w:lang w:val="en-US"/>
        </w:rPr>
        <w:t xml:space="preserve">Next, we turn to investigate whether the effects we find on innovation can be interpreted causally. Table </w:t>
      </w:r>
      <w:r w:rsidR="003B581B" w:rsidRPr="00B72B6C">
        <w:rPr>
          <w:lang w:val="en-US"/>
        </w:rPr>
        <w:t>2</w:t>
      </w:r>
      <w:r w:rsidRPr="00B72B6C">
        <w:rPr>
          <w:lang w:val="en-US"/>
        </w:rPr>
        <w:t xml:space="preserve"> contains Instrumental Variables estimates of the effect of tertiary CE on the likelihood that a firm has had a product or process innovation. The tertiary CE variables remain the same, as do left-hand side variables and firm and regional controls. We instrument lagged Master and Diploma education with </w:t>
      </w:r>
      <w:r w:rsidR="000F63F9" w:rsidRPr="00B72B6C">
        <w:rPr>
          <w:lang w:val="en-US"/>
        </w:rPr>
        <w:t xml:space="preserve">additionally </w:t>
      </w:r>
      <w:r w:rsidRPr="00B72B6C">
        <w:rPr>
          <w:lang w:val="en-US"/>
        </w:rPr>
        <w:t>(1-3 years) lagged distances to the nearest education institution providing the relevant type of education.</w:t>
      </w:r>
    </w:p>
    <w:p w14:paraId="43A7FB0B" w14:textId="6C7F75E5" w:rsidR="00593CF7" w:rsidRPr="00B72B6C" w:rsidRDefault="00FF24AB" w:rsidP="00B72B6C">
      <w:pPr>
        <w:ind w:left="-15" w:firstLine="339"/>
        <w:rPr>
          <w:lang w:val="en-US"/>
        </w:rPr>
      </w:pPr>
      <w:r w:rsidRPr="00B72B6C">
        <w:rPr>
          <w:lang w:val="en-US"/>
        </w:rPr>
        <w:t xml:space="preserve">Firms with Master level CE participants remain positively and statistically significantly more likely to have product and process innovations when we instrument for CE. It is noteworthy that the point estimate for both product and process innovation </w:t>
      </w:r>
      <w:r w:rsidR="00B72B6C" w:rsidRPr="00B72B6C">
        <w:rPr>
          <w:lang w:val="en-US"/>
        </w:rPr>
        <w:t>remain</w:t>
      </w:r>
      <w:r w:rsidRPr="00B72B6C">
        <w:rPr>
          <w:lang w:val="en-US"/>
        </w:rPr>
        <w:t xml:space="preserve"> nearly the same with and without controls. For product innovation, the estimate is 1.722, while it is .82 for process innovation without controls, and 0.788 with controls. This suggests that the specification is robust to plausible confounders and that we are capturing causal effects even if the estimates have been sized disproportionately. For Diploma level CE participation and the likelihood of innovating we find mixed evidence. While the likelihood of having a product innovation remains higher for tertiary CE participation with and without controls (a point estimate of 1.5), the effect on process innovation becomes negligible and statistically insignificant when controlling for firm and regional variables.</w:t>
      </w:r>
      <w:r w:rsidR="00340B87" w:rsidRPr="00B343F8">
        <w:rPr>
          <w:lang w:val="en-US"/>
        </w:rPr>
        <w:t xml:space="preserve"> </w:t>
      </w:r>
      <w:r w:rsidR="00340B87" w:rsidRPr="00B72B6C">
        <w:rPr>
          <w:lang w:val="en-US"/>
        </w:rPr>
        <w:t>Across specifications the first stage F-statistic is above 10, suggesting that the estimates do not suffer from weak instrument bias</w:t>
      </w:r>
      <w:r w:rsidR="00FA6CCE" w:rsidRPr="00B72B6C">
        <w:rPr>
          <w:lang w:val="en-US"/>
        </w:rPr>
        <w:t xml:space="preserve">. </w:t>
      </w:r>
      <w:r w:rsidR="004D085B" w:rsidRPr="00B72B6C">
        <w:rPr>
          <w:lang w:val="en-US"/>
        </w:rPr>
        <w:t>Additionally</w:t>
      </w:r>
      <w:r w:rsidR="00B72B6C">
        <w:rPr>
          <w:lang w:val="en-US"/>
        </w:rPr>
        <w:t>,</w:t>
      </w:r>
      <w:r w:rsidR="00FA6CCE" w:rsidRPr="00B72B6C">
        <w:rPr>
          <w:lang w:val="en-US"/>
        </w:rPr>
        <w:t xml:space="preserve"> for product innovation estimations we can reject equality of IV and OLS estimates, and </w:t>
      </w:r>
      <w:r w:rsidR="00200813" w:rsidRPr="00B72B6C">
        <w:rPr>
          <w:lang w:val="en-US"/>
        </w:rPr>
        <w:t xml:space="preserve">the p-values of the test suggests that there may be less issues of endogeneity in the Process innovation models. </w:t>
      </w:r>
    </w:p>
    <w:p w14:paraId="1E56A34C" w14:textId="5AB2172B" w:rsidR="00593CF7" w:rsidRPr="00B72B6C" w:rsidRDefault="00FF24AB">
      <w:pPr>
        <w:spacing w:after="337"/>
        <w:ind w:left="-15" w:firstLine="339"/>
        <w:rPr>
          <w:lang w:val="en-US"/>
        </w:rPr>
      </w:pPr>
      <w:r w:rsidRPr="00B72B6C">
        <w:rPr>
          <w:lang w:val="en-US"/>
        </w:rPr>
        <w:t>In total, our evidence suggests that Master level CE can positively impact a firm’s likelihood of having a product and process innovation, while Diploma level tertiary CE has a positive impact on the firm’s likelihood of having product innovations.</w:t>
      </w:r>
    </w:p>
    <w:p w14:paraId="7CC36D54" w14:textId="77777777" w:rsidR="00593CF7" w:rsidRPr="00B72B6C" w:rsidRDefault="00FF24AB">
      <w:pPr>
        <w:pStyle w:val="Heading2"/>
        <w:ind w:left="598" w:hanging="613"/>
        <w:rPr>
          <w:lang w:val="en-US"/>
        </w:rPr>
      </w:pPr>
      <w:r w:rsidRPr="00B72B6C">
        <w:rPr>
          <w:lang w:val="en-US"/>
        </w:rPr>
        <w:t>Collaboration with Universities</w:t>
      </w:r>
    </w:p>
    <w:p w14:paraId="70461DBC" w14:textId="77777777" w:rsidR="00593CF7" w:rsidRPr="00B72B6C" w:rsidRDefault="00FF24AB">
      <w:pPr>
        <w:ind w:left="-15" w:firstLine="0"/>
        <w:rPr>
          <w:lang w:val="en-US"/>
        </w:rPr>
      </w:pPr>
      <w:r w:rsidRPr="00B72B6C">
        <w:rPr>
          <w:lang w:val="en-US"/>
        </w:rPr>
        <w:t xml:space="preserve">Collaboration with universities is one potential driver of the effect of tertiary CE on the likelihood of innovation. In the RDI survey, we have access to information on firms’ participation in collaborations </w:t>
      </w:r>
      <w:r w:rsidRPr="00B72B6C">
        <w:rPr>
          <w:lang w:val="en-US"/>
        </w:rPr>
        <w:lastRenderedPageBreak/>
        <w:t>with universities to increase their likelihood of innovating. In this section</w:t>
      </w:r>
      <w:r w:rsidR="00DA2CF5" w:rsidRPr="00B72B6C">
        <w:rPr>
          <w:lang w:val="en-US"/>
        </w:rPr>
        <w:t>,</w:t>
      </w:r>
      <w:r w:rsidRPr="00B72B6C">
        <w:rPr>
          <w:lang w:val="en-US"/>
        </w:rPr>
        <w:t xml:space="preserve"> we investigate whether some or all of the effect of tertiary CE on the innovation likelihood can be explained by increased collaboration.</w:t>
      </w:r>
    </w:p>
    <w:p w14:paraId="1E727688" w14:textId="5CAC600C" w:rsidR="00593CF7" w:rsidRPr="00B72B6C" w:rsidRDefault="00FF24AB" w:rsidP="00F65681">
      <w:pPr>
        <w:ind w:left="-15" w:firstLine="339"/>
        <w:rPr>
          <w:lang w:val="en-US"/>
        </w:rPr>
      </w:pPr>
      <w:r w:rsidRPr="00B72B6C">
        <w:rPr>
          <w:lang w:val="en-US"/>
        </w:rPr>
        <w:t xml:space="preserve">We start by showing </w:t>
      </w:r>
      <w:r w:rsidR="00824AB4" w:rsidRPr="00B72B6C">
        <w:rPr>
          <w:lang w:val="en-US"/>
        </w:rPr>
        <w:t>that</w:t>
      </w:r>
      <w:r w:rsidRPr="00B72B6C">
        <w:rPr>
          <w:lang w:val="en-US"/>
        </w:rPr>
        <w:t xml:space="preserve"> having tertiary CE employees </w:t>
      </w:r>
      <w:r w:rsidR="00824AB4" w:rsidRPr="00B72B6C">
        <w:rPr>
          <w:lang w:val="en-US"/>
        </w:rPr>
        <w:t xml:space="preserve">correlates </w:t>
      </w:r>
      <w:r w:rsidR="00A07835" w:rsidRPr="00B72B6C">
        <w:rPr>
          <w:lang w:val="en-US"/>
        </w:rPr>
        <w:t xml:space="preserve">positively with </w:t>
      </w:r>
      <w:r w:rsidRPr="00B72B6C">
        <w:rPr>
          <w:lang w:val="en-US"/>
        </w:rPr>
        <w:t>university collaborations</w:t>
      </w:r>
      <w:r w:rsidR="00CF6F06" w:rsidRPr="00B72B6C">
        <w:rPr>
          <w:lang w:val="en-US"/>
        </w:rPr>
        <w:t xml:space="preserve">. </w:t>
      </w:r>
      <w:r w:rsidRPr="00B72B6C">
        <w:rPr>
          <w:lang w:val="en-US"/>
        </w:rPr>
        <w:t xml:space="preserve">Table </w:t>
      </w:r>
      <w:r w:rsidR="003B581B" w:rsidRPr="00B72B6C">
        <w:rPr>
          <w:lang w:val="en-US"/>
        </w:rPr>
        <w:t>3</w:t>
      </w:r>
      <w:r w:rsidRPr="00B72B6C">
        <w:rPr>
          <w:lang w:val="en-US"/>
        </w:rPr>
        <w:t xml:space="preserve"> contains the estimates, where model 1 and 2 shows the results for Master participation, and model 4 and 5 for Diploma participation. Firms who have employees that have participated in CE are 12.6 percentage points more likely to collaborate with universities for innovation compared to firms with no Master participants when comparing only with year controls, and 10.4 percentage points more likely to collaborate when we include all controls. For Diploma participation, the numbers are 8.9 percentage points and 7.6 percentage points. CE participation is a statistically significant predictor of collaborations, suggesting that this can explain part of the innovation effect we found in the las</w:t>
      </w:r>
      <w:r w:rsidR="00F65681" w:rsidRPr="00B72B6C">
        <w:rPr>
          <w:lang w:val="en-US"/>
        </w:rPr>
        <w:t xml:space="preserve">t </w:t>
      </w:r>
      <w:r w:rsidR="00D07691" w:rsidRPr="00B72B6C">
        <w:rPr>
          <w:lang w:val="en-US"/>
        </w:rPr>
        <w:t>s</w:t>
      </w:r>
      <w:r w:rsidRPr="00B72B6C">
        <w:rPr>
          <w:lang w:val="en-US"/>
        </w:rPr>
        <w:t>ection.</w:t>
      </w:r>
    </w:p>
    <w:p w14:paraId="283A034B" w14:textId="5BED952F" w:rsidR="00593CF7" w:rsidRPr="00B72B6C" w:rsidRDefault="00FF24AB">
      <w:pPr>
        <w:ind w:left="-15" w:firstLine="339"/>
        <w:rPr>
          <w:lang w:val="en-US"/>
        </w:rPr>
      </w:pPr>
      <w:r w:rsidRPr="00B72B6C">
        <w:rPr>
          <w:lang w:val="en-US"/>
        </w:rPr>
        <w:t xml:space="preserve">We </w:t>
      </w:r>
      <w:r w:rsidR="00974C64" w:rsidRPr="00B72B6C">
        <w:rPr>
          <w:lang w:val="en-US"/>
        </w:rPr>
        <w:t xml:space="preserve">also use our instrument </w:t>
      </w:r>
      <w:r w:rsidRPr="00B72B6C">
        <w:rPr>
          <w:lang w:val="en-US"/>
        </w:rPr>
        <w:t xml:space="preserve">to investigate for signs of causal effects. The results can be seen in models 3 and 6 in table </w:t>
      </w:r>
      <w:r w:rsidR="003B581B" w:rsidRPr="00B72B6C">
        <w:rPr>
          <w:lang w:val="en-US"/>
        </w:rPr>
        <w:t>3</w:t>
      </w:r>
      <w:r w:rsidRPr="00B72B6C">
        <w:rPr>
          <w:lang w:val="en-US"/>
        </w:rPr>
        <w:t xml:space="preserve">. The estimates remain positive and statistically significant as we instrument for participation CE, suggesting that we are </w:t>
      </w:r>
      <w:r w:rsidR="00974C64" w:rsidRPr="00B72B6C">
        <w:rPr>
          <w:lang w:val="en-US"/>
        </w:rPr>
        <w:t xml:space="preserve">likely </w:t>
      </w:r>
      <w:r w:rsidRPr="00B72B6C">
        <w:rPr>
          <w:lang w:val="en-US"/>
        </w:rPr>
        <w:t>observing causal effects.</w:t>
      </w:r>
    </w:p>
    <w:p w14:paraId="549D1D73" w14:textId="4C6F95FA" w:rsidR="00593CF7" w:rsidRPr="00B72B6C" w:rsidRDefault="00FF24AB">
      <w:pPr>
        <w:ind w:left="-15" w:firstLine="339"/>
        <w:rPr>
          <w:lang w:val="en-US"/>
        </w:rPr>
      </w:pPr>
      <w:r w:rsidRPr="00B72B6C">
        <w:rPr>
          <w:lang w:val="en-US"/>
        </w:rPr>
        <w:t xml:space="preserve">If all effects of tertiary CE on the likelihood of innovating can be explained by additional collaborations, then adding collaboration for innovation with a university as a control variable in our primary OLS and IV regressions should remove any independent effect of participation in CE on the likelihood of innovating. </w:t>
      </w:r>
      <w:r w:rsidR="00520C91" w:rsidRPr="00B72B6C">
        <w:rPr>
          <w:lang w:val="en-US"/>
        </w:rPr>
        <w:t>Therefore, w</w:t>
      </w:r>
      <w:r w:rsidRPr="00B72B6C">
        <w:rPr>
          <w:lang w:val="en-US"/>
        </w:rPr>
        <w:t xml:space="preserve">e next show our main IV regressions but add collaboration with universities </w:t>
      </w:r>
      <w:r w:rsidR="00C34406" w:rsidRPr="00B72B6C">
        <w:rPr>
          <w:lang w:val="en-US"/>
        </w:rPr>
        <w:t>for</w:t>
      </w:r>
      <w:r w:rsidRPr="00B72B6C">
        <w:rPr>
          <w:lang w:val="en-US"/>
        </w:rPr>
        <w:t xml:space="preserve"> </w:t>
      </w:r>
      <w:r w:rsidR="002331E6" w:rsidRPr="00B72B6C">
        <w:rPr>
          <w:lang w:val="en-US"/>
        </w:rPr>
        <w:t>innovation</w:t>
      </w:r>
      <w:r w:rsidRPr="00B72B6C">
        <w:rPr>
          <w:lang w:val="en-US"/>
        </w:rPr>
        <w:t xml:space="preserve"> (</w:t>
      </w:r>
      <w:r w:rsidRPr="00B72B6C">
        <w:rPr>
          <w:i/>
          <w:lang w:val="en-US"/>
        </w:rPr>
        <w:t>Collaboration with University</w:t>
      </w:r>
      <w:r w:rsidRPr="00B72B6C">
        <w:rPr>
          <w:lang w:val="en-US"/>
        </w:rPr>
        <w:t xml:space="preserve">) </w:t>
      </w:r>
      <w:r w:rsidR="00C34406" w:rsidRPr="00B72B6C">
        <w:rPr>
          <w:lang w:val="en-US"/>
        </w:rPr>
        <w:t xml:space="preserve">as a control </w:t>
      </w:r>
      <w:r w:rsidRPr="00B72B6C">
        <w:rPr>
          <w:lang w:val="en-US"/>
        </w:rPr>
        <w:t xml:space="preserve">to the regressions. The results can be seen in table </w:t>
      </w:r>
      <w:r w:rsidR="00D42AD5" w:rsidRPr="00B72B6C">
        <w:rPr>
          <w:lang w:val="en-US"/>
        </w:rPr>
        <w:t>4</w:t>
      </w:r>
      <w:r w:rsidRPr="00B72B6C">
        <w:rPr>
          <w:lang w:val="en-US"/>
        </w:rPr>
        <w:t>.</w:t>
      </w:r>
    </w:p>
    <w:p w14:paraId="59BE3CD0" w14:textId="77777777" w:rsidR="00BE0CCB" w:rsidRPr="00B72B6C" w:rsidRDefault="00FF24AB">
      <w:pPr>
        <w:ind w:left="-15" w:firstLine="339"/>
        <w:rPr>
          <w:lang w:val="en-US"/>
        </w:rPr>
      </w:pPr>
      <w:r w:rsidRPr="00B72B6C">
        <w:rPr>
          <w:lang w:val="en-US"/>
        </w:rPr>
        <w:t xml:space="preserve">We start by investigating the effect of Master participation on the likelihood of having a product innovation. When controlling for university collaboration, the IV estimate drops only little from 1.739 to 1.646 and remains statistically significant. While collaboration does appear to control for some of the effects of Master participation, there still seem to be other pathways through which CE participation affects the likelihood of having a product innovation. </w:t>
      </w:r>
    </w:p>
    <w:p w14:paraId="7F9E266B" w14:textId="4488D7C0" w:rsidR="00593CF7" w:rsidRPr="00B72B6C" w:rsidRDefault="00FF24AB" w:rsidP="00B51531">
      <w:pPr>
        <w:ind w:left="0" w:firstLine="0"/>
        <w:rPr>
          <w:lang w:val="en-US"/>
        </w:rPr>
      </w:pPr>
      <w:r w:rsidRPr="00B72B6C">
        <w:rPr>
          <w:lang w:val="en-US"/>
        </w:rPr>
        <w:t xml:space="preserve">The effect is somewhat similar when considering the effect on process innovation. The estimate drops slightly from .796 to .676, but the effect remains statistically significant. Finally, looking at Diploma participation, our results are broadly similar. Controlling for university collaboration makes </w:t>
      </w:r>
      <w:r w:rsidRPr="00B72B6C">
        <w:rPr>
          <w:lang w:val="en-US"/>
        </w:rPr>
        <w:lastRenderedPageBreak/>
        <w:t>the product innovation estimate drop from 1.476 to still statistically significant 1.394, whereas controlling for university collaboration in the regression for process innovation leads to a drop from .269 to .148, both ar</w:t>
      </w:r>
      <w:r w:rsidR="00B51531" w:rsidRPr="00B72B6C">
        <w:rPr>
          <w:lang w:val="en-US"/>
        </w:rPr>
        <w:t xml:space="preserve">e </w:t>
      </w:r>
      <w:r w:rsidRPr="00B72B6C">
        <w:rPr>
          <w:lang w:val="en-US"/>
        </w:rPr>
        <w:t>statistically insignificant.</w:t>
      </w:r>
    </w:p>
    <w:p w14:paraId="7134C503" w14:textId="77777777" w:rsidR="00593CF7" w:rsidRPr="00B72B6C" w:rsidRDefault="00FF24AB">
      <w:pPr>
        <w:spacing w:after="655"/>
        <w:ind w:left="-15" w:firstLine="339"/>
        <w:rPr>
          <w:lang w:val="en-US"/>
        </w:rPr>
      </w:pPr>
      <w:r w:rsidRPr="00B72B6C">
        <w:rPr>
          <w:lang w:val="en-US"/>
        </w:rPr>
        <w:t>In summary, while it appears that a higher likelihood of university collaboration is one effect of tertiary CE participation, tertiary CE still has a separate effect on the likelihood of innovating which is largely separate from the collaboration channel.</w:t>
      </w:r>
    </w:p>
    <w:p w14:paraId="107704E5" w14:textId="77777777" w:rsidR="00593CF7" w:rsidRPr="00B72B6C" w:rsidRDefault="00FF24AB">
      <w:pPr>
        <w:pStyle w:val="Heading1"/>
        <w:ind w:left="469" w:hanging="484"/>
        <w:rPr>
          <w:lang w:val="en-US"/>
        </w:rPr>
      </w:pPr>
      <w:r w:rsidRPr="00B72B6C">
        <w:rPr>
          <w:lang w:val="en-US"/>
        </w:rPr>
        <w:t>Conclusion</w:t>
      </w:r>
    </w:p>
    <w:p w14:paraId="410381F5" w14:textId="429E2656" w:rsidR="00593CF7" w:rsidRPr="00B72B6C" w:rsidRDefault="00FF24AB">
      <w:pPr>
        <w:ind w:left="-15" w:firstLine="0"/>
        <w:rPr>
          <w:lang w:val="en-US"/>
        </w:rPr>
      </w:pPr>
      <w:r w:rsidRPr="00B72B6C">
        <w:rPr>
          <w:lang w:val="en-US"/>
        </w:rPr>
        <w:t xml:space="preserve">In this chapter, we have investigated how firms’ use of tertiary CE can impact their likelihood of having either product or process innovations. </w:t>
      </w:r>
      <w:r w:rsidR="00D42AD5" w:rsidRPr="00B72B6C">
        <w:rPr>
          <w:lang w:val="en-US"/>
        </w:rPr>
        <w:t>Participation in t</w:t>
      </w:r>
      <w:r w:rsidRPr="00B72B6C">
        <w:rPr>
          <w:lang w:val="en-US"/>
        </w:rPr>
        <w:t>ertiary CE, such as Master and Diploma education has</w:t>
      </w:r>
      <w:r w:rsidR="00D42AD5" w:rsidRPr="00B72B6C">
        <w:rPr>
          <w:lang w:val="en-US"/>
        </w:rPr>
        <w:t xml:space="preserve"> been increasing</w:t>
      </w:r>
      <w:r w:rsidRPr="00B72B6C">
        <w:rPr>
          <w:lang w:val="en-US"/>
        </w:rPr>
        <w:t xml:space="preserve"> since the early 2000s. This can be relevant for firms’ product and process innovation procedures both by bringing specialized human capital to the firm and by strengthening relations and collaborations with universities that can aid in the innovation process.</w:t>
      </w:r>
    </w:p>
    <w:p w14:paraId="3E9D79C2" w14:textId="1BB37813" w:rsidR="00593CF7" w:rsidRPr="00B72B6C" w:rsidRDefault="00FF24AB">
      <w:pPr>
        <w:ind w:left="-15" w:firstLine="339"/>
        <w:rPr>
          <w:lang w:val="en-US"/>
        </w:rPr>
      </w:pPr>
      <w:r w:rsidRPr="00B72B6C">
        <w:rPr>
          <w:lang w:val="en-US"/>
        </w:rPr>
        <w:t>We use survey</w:t>
      </w:r>
      <w:r w:rsidR="00D42AD5" w:rsidRPr="00B72B6C">
        <w:rPr>
          <w:lang w:val="en-US"/>
        </w:rPr>
        <w:t xml:space="preserve"> data</w:t>
      </w:r>
      <w:r w:rsidRPr="00B72B6C">
        <w:rPr>
          <w:lang w:val="en-US"/>
        </w:rPr>
        <w:t xml:space="preserve"> merged with firm and individual level administrative data to investigate the effects of tertiary CE on firms’ likelihood of having a process or product innovation. In descriptive regressions, we find that having at least one employee who has participated in</w:t>
      </w:r>
      <w:r w:rsidR="00D42AD5" w:rsidRPr="00B72B6C">
        <w:rPr>
          <w:lang w:val="en-US"/>
        </w:rPr>
        <w:t xml:space="preserve"> tertiary</w:t>
      </w:r>
      <w:r w:rsidRPr="00B72B6C">
        <w:rPr>
          <w:lang w:val="en-US"/>
        </w:rPr>
        <w:t xml:space="preserve"> CE increases the likelihood of having had a product or process innovation. The relation is robust to controlling for a large set of firm and regional variables that capture both size, age, industry, and knowledge appropriation characteristics, as well as year fixed effects.</w:t>
      </w:r>
    </w:p>
    <w:p w14:paraId="3A54D494" w14:textId="120DEA1C" w:rsidR="00593CF7" w:rsidRPr="00B72B6C" w:rsidRDefault="00FF24AB">
      <w:pPr>
        <w:ind w:left="-15" w:firstLine="339"/>
        <w:rPr>
          <w:lang w:val="en-US"/>
        </w:rPr>
      </w:pPr>
      <w:r w:rsidRPr="00B72B6C">
        <w:rPr>
          <w:lang w:val="en-US"/>
        </w:rPr>
        <w:t xml:space="preserve">We then implement IV regressions using distances to </w:t>
      </w:r>
      <w:r w:rsidR="005235D8" w:rsidRPr="00B72B6C">
        <w:rPr>
          <w:lang w:val="en-US"/>
        </w:rPr>
        <w:t xml:space="preserve">the </w:t>
      </w:r>
      <w:r w:rsidRPr="00B72B6C">
        <w:rPr>
          <w:lang w:val="en-US"/>
        </w:rPr>
        <w:t xml:space="preserve">nearest tertiary CE institution as </w:t>
      </w:r>
      <w:r w:rsidR="005235D8" w:rsidRPr="00B72B6C">
        <w:rPr>
          <w:lang w:val="en-US"/>
        </w:rPr>
        <w:t xml:space="preserve">an </w:t>
      </w:r>
      <w:r w:rsidRPr="00B72B6C">
        <w:rPr>
          <w:lang w:val="en-US"/>
        </w:rPr>
        <w:t>instrument for having employees who have participated in tertiary CE to estimate whether tertiary CE has causal effects on the likelihood of having product and process innovations. The IV regressions indicate that there is a causal effect of Master level tertiary CE on the likelihood of firms having both product and process innovations. The estimated effect of Master level CE also is greater than the estimated effect for Diploma level CE for product innovations. There appears to be no credible evidence for Diploma effects on process innovations.</w:t>
      </w:r>
    </w:p>
    <w:p w14:paraId="636C0815" w14:textId="49FE756A" w:rsidR="00593CF7" w:rsidRPr="00B72B6C" w:rsidRDefault="00FF24AB">
      <w:pPr>
        <w:ind w:left="-15" w:firstLine="339"/>
        <w:rPr>
          <w:lang w:val="en-US"/>
        </w:rPr>
      </w:pPr>
      <w:r w:rsidRPr="00B72B6C">
        <w:rPr>
          <w:lang w:val="en-US"/>
        </w:rPr>
        <w:t>Finally,</w:t>
      </w:r>
      <w:r w:rsidR="00165755">
        <w:rPr>
          <w:lang w:val="en-US"/>
        </w:rPr>
        <w:t xml:space="preserve"> </w:t>
      </w:r>
      <w:r w:rsidRPr="00B72B6C">
        <w:rPr>
          <w:lang w:val="en-US"/>
        </w:rPr>
        <w:t xml:space="preserve">to test whether the effects of tertiary CE can be explained through university-related networks and collaborations we first show that both Master and Diploma CE participation is a strong </w:t>
      </w:r>
      <w:r w:rsidRPr="00B72B6C">
        <w:rPr>
          <w:lang w:val="en-US"/>
        </w:rPr>
        <w:lastRenderedPageBreak/>
        <w:t xml:space="preserve">predictor of firms having collaborations with universities to innovate. However, adding university collaboration as a control in our main IV regressions does not substantially change </w:t>
      </w:r>
      <w:r w:rsidR="00D14329" w:rsidRPr="00B72B6C">
        <w:rPr>
          <w:lang w:val="en-US"/>
        </w:rPr>
        <w:t xml:space="preserve">the </w:t>
      </w:r>
      <w:r w:rsidRPr="00B72B6C">
        <w:rPr>
          <w:lang w:val="en-US"/>
        </w:rPr>
        <w:t>results. It seems that network and collaboration channels do not explain the effects of tertiary CE on firms’ likelihood of innovating, leaving further room for further research on how the specialized human capital from tertiary CE impacts innovation.</w:t>
      </w:r>
    </w:p>
    <w:p w14:paraId="427EF10F" w14:textId="316DE20C" w:rsidR="00593CF7" w:rsidRPr="00B72B6C" w:rsidRDefault="00FF24AB">
      <w:pPr>
        <w:ind w:left="-15" w:firstLine="339"/>
        <w:rPr>
          <w:lang w:val="en-US"/>
        </w:rPr>
      </w:pPr>
      <w:r w:rsidRPr="00B72B6C">
        <w:rPr>
          <w:lang w:val="en-US"/>
        </w:rPr>
        <w:t xml:space="preserve">The increasing </w:t>
      </w:r>
      <w:r w:rsidR="00DB30C2" w:rsidRPr="00B72B6C">
        <w:rPr>
          <w:lang w:val="en-US"/>
        </w:rPr>
        <w:t xml:space="preserve">use </w:t>
      </w:r>
      <w:r w:rsidRPr="00B72B6C">
        <w:rPr>
          <w:lang w:val="en-US"/>
        </w:rPr>
        <w:t xml:space="preserve">in Denmark </w:t>
      </w:r>
      <w:r w:rsidR="00DB30C2" w:rsidRPr="00B72B6C">
        <w:rPr>
          <w:lang w:val="en-US"/>
        </w:rPr>
        <w:t xml:space="preserve">of </w:t>
      </w:r>
      <w:r w:rsidRPr="00B72B6C">
        <w:rPr>
          <w:lang w:val="en-US"/>
        </w:rPr>
        <w:t xml:space="preserve">tertiary level CE relative to other forms of CE appears merited as tertiary level CE increases the probability of innovation at the firm level and increases the probability of collaboration between firms and universities. The current study does not give any reason to believe that the effect of AMU-type CE on incremental shop floor innovations has lessened over time and hence cannot suggest that policy should shift focus from the AMU system to tertiary level CE. The study does, however, suggest that policy should attempt to make tertiary level programs more accessible. This can be achieved by increasing the number of places in Denmark that such programs are offered or by lowering the cost of attending the programs. However, the cost may also represent an important selection mechanism resulting in </w:t>
      </w:r>
      <w:r w:rsidR="00F96836" w:rsidRPr="00B72B6C">
        <w:rPr>
          <w:lang w:val="en-US"/>
        </w:rPr>
        <w:t xml:space="preserve">firms primarily using </w:t>
      </w:r>
      <w:r w:rsidRPr="00B72B6C">
        <w:rPr>
          <w:lang w:val="en-US"/>
        </w:rPr>
        <w:t xml:space="preserve">tertiary level CE when the expected economic benefit is substantial. Another aspect of the costs of participation in tertiary level CE is the degree to which the costs, pecuniary as well as nonpecuniary, are born by the employee and not the employer. Employees can have a strong incentive to participate in CE to remain adaptive and attractive in the labor market and thus be willing to assume part of the costs. The role of costs is thus </w:t>
      </w:r>
      <w:r w:rsidR="007D7130" w:rsidRPr="00B72B6C">
        <w:rPr>
          <w:lang w:val="en-US"/>
        </w:rPr>
        <w:t>complicated,</w:t>
      </w:r>
      <w:r w:rsidRPr="00B72B6C">
        <w:rPr>
          <w:lang w:val="en-US"/>
        </w:rPr>
        <w:t xml:space="preserve"> and more research is needed before policy recommendations can be reached.</w:t>
      </w:r>
    </w:p>
    <w:p w14:paraId="1AF2A7B7" w14:textId="77777777" w:rsidR="00593CF7" w:rsidRPr="00B72B6C" w:rsidRDefault="00FF24AB">
      <w:pPr>
        <w:spacing w:after="460"/>
        <w:ind w:left="-15" w:firstLine="339"/>
        <w:rPr>
          <w:lang w:val="en-US"/>
        </w:rPr>
      </w:pPr>
      <w:r w:rsidRPr="00B72B6C">
        <w:rPr>
          <w:lang w:val="en-US"/>
        </w:rPr>
        <w:t>Finally, our results are only suggestive of the effects of smaller changes to the tertiary CE system, whereas more research is warranted to investigate large scale changes to the tertiary CE system.</w:t>
      </w:r>
    </w:p>
    <w:p w14:paraId="6A18D418" w14:textId="77777777" w:rsidR="00593CF7" w:rsidRPr="00B72B6C" w:rsidRDefault="00FF24AB">
      <w:pPr>
        <w:pStyle w:val="Heading1"/>
        <w:numPr>
          <w:ilvl w:val="0"/>
          <w:numId w:val="0"/>
        </w:numPr>
        <w:ind w:left="-5"/>
        <w:rPr>
          <w:lang w:val="en-US"/>
        </w:rPr>
      </w:pPr>
      <w:r w:rsidRPr="00B72B6C">
        <w:rPr>
          <w:lang w:val="en-US"/>
        </w:rPr>
        <w:t>References</w:t>
      </w:r>
    </w:p>
    <w:p w14:paraId="347C3EE6" w14:textId="77777777" w:rsidR="003460CF" w:rsidRPr="00B72B6C" w:rsidRDefault="00FF24AB" w:rsidP="003460CF">
      <w:pPr>
        <w:rPr>
          <w:lang w:val="en-US"/>
        </w:rPr>
      </w:pPr>
      <w:r w:rsidRPr="00B72B6C">
        <w:rPr>
          <w:lang w:val="en-US"/>
        </w:rPr>
        <w:t xml:space="preserve">Ahern, K. R., Duchin, R., and Shumway, T. (2014). Peer Effects in Risk Aversion and Trust. </w:t>
      </w:r>
      <w:r w:rsidRPr="00B72B6C">
        <w:rPr>
          <w:i/>
          <w:lang w:val="en-US"/>
        </w:rPr>
        <w:t>Review of Financial Studies</w:t>
      </w:r>
      <w:r w:rsidRPr="00B72B6C">
        <w:rPr>
          <w:lang w:val="en-US"/>
        </w:rPr>
        <w:t>, 27(11):3213–3240.</w:t>
      </w:r>
    </w:p>
    <w:p w14:paraId="1D85D320" w14:textId="27E8338A" w:rsidR="003460CF" w:rsidRPr="00B72B6C" w:rsidRDefault="00FF24AB" w:rsidP="003460CF">
      <w:pPr>
        <w:rPr>
          <w:lang w:val="en-US"/>
        </w:rPr>
      </w:pPr>
      <w:r w:rsidRPr="00B72B6C">
        <w:rPr>
          <w:lang w:val="en-US"/>
        </w:rPr>
        <w:t>Altonji, J.</w:t>
      </w:r>
      <w:r w:rsidR="005235D8" w:rsidRPr="00B72B6C">
        <w:rPr>
          <w:lang w:val="en-US"/>
        </w:rPr>
        <w:t>,</w:t>
      </w:r>
      <w:r w:rsidRPr="00B72B6C">
        <w:rPr>
          <w:lang w:val="en-US"/>
        </w:rPr>
        <w:t xml:space="preserve"> and Zhong, L. (2020). The Labor Market Returns to Advanced Degrees. </w:t>
      </w:r>
      <w:r w:rsidR="003460CF" w:rsidRPr="00B72B6C">
        <w:rPr>
          <w:lang w:val="en-US"/>
        </w:rPr>
        <w:t xml:space="preserve">NBER Working Paper Series, </w:t>
      </w:r>
      <w:r w:rsidR="009A7BA6" w:rsidRPr="00B72B6C">
        <w:rPr>
          <w:lang w:val="en-US"/>
        </w:rPr>
        <w:t xml:space="preserve">Working Paper </w:t>
      </w:r>
      <w:r w:rsidRPr="00B72B6C">
        <w:rPr>
          <w:lang w:val="en-US"/>
        </w:rPr>
        <w:t>26959, National Bureau of Economic Research, Cambridge, MA.</w:t>
      </w:r>
    </w:p>
    <w:p w14:paraId="320136BC" w14:textId="77777777" w:rsidR="003460CF" w:rsidRPr="00B72B6C" w:rsidRDefault="00FF24AB" w:rsidP="003460CF">
      <w:pPr>
        <w:rPr>
          <w:lang w:val="en-US"/>
        </w:rPr>
      </w:pPr>
      <w:r w:rsidRPr="00B72B6C">
        <w:rPr>
          <w:lang w:val="en-US"/>
        </w:rPr>
        <w:lastRenderedPageBreak/>
        <w:t xml:space="preserve">Angrist, J. D. and Pischke, J.-S. (2009). </w:t>
      </w:r>
      <w:r w:rsidRPr="00B72B6C">
        <w:rPr>
          <w:i/>
          <w:lang w:val="en-US"/>
        </w:rPr>
        <w:t>Mostly Harmless Econometrics: An Empiricist’s Companion</w:t>
      </w:r>
      <w:r w:rsidRPr="00B72B6C">
        <w:rPr>
          <w:lang w:val="en-US"/>
        </w:rPr>
        <w:t>. Princeton University Press.</w:t>
      </w:r>
    </w:p>
    <w:p w14:paraId="02527D05" w14:textId="77777777" w:rsidR="003460CF" w:rsidRPr="00B72B6C" w:rsidRDefault="00FF24AB" w:rsidP="003460CF">
      <w:pPr>
        <w:rPr>
          <w:lang w:val="en-US"/>
        </w:rPr>
      </w:pPr>
      <w:r w:rsidRPr="00B72B6C">
        <w:rPr>
          <w:lang w:val="en-US"/>
        </w:rPr>
        <w:t xml:space="preserve">Audretsch, D. B., Hafenstein, M., Kritikos, A. S., and Schiersch, A. (2018). Firm Size and Innovation in the Service Sector. </w:t>
      </w:r>
      <w:r w:rsidRPr="00B72B6C">
        <w:rPr>
          <w:i/>
          <w:lang w:val="en-US"/>
        </w:rPr>
        <w:t>IZA Discussion Paper Series, 12035</w:t>
      </w:r>
      <w:r w:rsidRPr="00B72B6C">
        <w:rPr>
          <w:lang w:val="en-US"/>
        </w:rPr>
        <w:t>, (12035).</w:t>
      </w:r>
    </w:p>
    <w:p w14:paraId="3707D933" w14:textId="77777777" w:rsidR="003460CF" w:rsidRPr="00B72B6C" w:rsidRDefault="00FF24AB" w:rsidP="003460CF">
      <w:pPr>
        <w:rPr>
          <w:lang w:val="en-US"/>
        </w:rPr>
      </w:pPr>
      <w:r w:rsidRPr="00B72B6C">
        <w:rPr>
          <w:lang w:val="en-US"/>
        </w:rPr>
        <w:t xml:space="preserve">Barney, J. (1991). Firm Resources and Sustained Competitive Advantage. </w:t>
      </w:r>
      <w:r w:rsidRPr="00B72B6C">
        <w:rPr>
          <w:i/>
          <w:lang w:val="en-US"/>
        </w:rPr>
        <w:t>Journal of Management</w:t>
      </w:r>
      <w:r w:rsidRPr="00B72B6C">
        <w:rPr>
          <w:lang w:val="en-US"/>
        </w:rPr>
        <w:t>, 17(1):99–120.</w:t>
      </w:r>
    </w:p>
    <w:p w14:paraId="43244B93" w14:textId="77777777" w:rsidR="003460CF" w:rsidRPr="00B72B6C" w:rsidRDefault="00FF24AB" w:rsidP="003460CF">
      <w:pPr>
        <w:rPr>
          <w:lang w:val="en-US"/>
        </w:rPr>
      </w:pPr>
      <w:r w:rsidRPr="00B72B6C">
        <w:rPr>
          <w:lang w:val="en-US"/>
        </w:rPr>
        <w:t xml:space="preserve">Bauernschuster, S., Falck, O., and Heblich, S. (2009). Training and Innovation. </w:t>
      </w:r>
      <w:r w:rsidRPr="00B72B6C">
        <w:rPr>
          <w:i/>
          <w:lang w:val="en-US"/>
        </w:rPr>
        <w:t>Journal of Human Capital</w:t>
      </w:r>
      <w:r w:rsidRPr="00B72B6C">
        <w:rPr>
          <w:lang w:val="en-US"/>
        </w:rPr>
        <w:t>, 3(4):323–353.</w:t>
      </w:r>
    </w:p>
    <w:p w14:paraId="62741C45" w14:textId="147ADF1A" w:rsidR="003460CF" w:rsidRPr="00B72B6C" w:rsidRDefault="00FF24AB" w:rsidP="003460CF">
      <w:pPr>
        <w:rPr>
          <w:lang w:val="en-US"/>
        </w:rPr>
      </w:pPr>
      <w:r w:rsidRPr="00B72B6C">
        <w:rPr>
          <w:lang w:val="en-US"/>
        </w:rPr>
        <w:t xml:space="preserve">Becker, G. S. (1993). </w:t>
      </w:r>
      <w:r w:rsidRPr="00B72B6C">
        <w:rPr>
          <w:i/>
          <w:lang w:val="en-US"/>
        </w:rPr>
        <w:t xml:space="preserve">Human Capital - A Theoretical and Empirical Analysis </w:t>
      </w:r>
      <w:r w:rsidR="00165755" w:rsidRPr="00B72B6C">
        <w:rPr>
          <w:i/>
          <w:lang w:val="en-US"/>
        </w:rPr>
        <w:t>with</w:t>
      </w:r>
      <w:r w:rsidRPr="00B72B6C">
        <w:rPr>
          <w:i/>
          <w:lang w:val="en-US"/>
        </w:rPr>
        <w:t xml:space="preserve"> Special Reference to Education</w:t>
      </w:r>
      <w:r w:rsidRPr="00B72B6C">
        <w:rPr>
          <w:lang w:val="en-US"/>
        </w:rPr>
        <w:t>. Chicago University Press, Chicago, third edition.</w:t>
      </w:r>
    </w:p>
    <w:p w14:paraId="1DF0B2A0" w14:textId="6FEF2A32" w:rsidR="00165755" w:rsidRDefault="00165755" w:rsidP="00165755">
      <w:pPr>
        <w:spacing w:after="0" w:line="480" w:lineRule="auto"/>
        <w:ind w:left="0" w:firstLine="0"/>
        <w:jc w:val="left"/>
        <w:rPr>
          <w:rFonts w:ascii="Times New Roman" w:eastAsia="Times New Roman" w:hAnsi="Times New Roman" w:cs="Times New Roman"/>
          <w:color w:val="auto"/>
          <w:sz w:val="24"/>
        </w:rPr>
      </w:pPr>
      <w:r>
        <w:t xml:space="preserve">Bell, A., Chetty, R., Jaravel, X., Petkova, N., &amp; Van Reenen, J. (2019). Who Becomes an Inventor in America? The Importance of Exposure To Innovation. </w:t>
      </w:r>
      <w:r>
        <w:rPr>
          <w:i/>
          <w:iCs/>
        </w:rPr>
        <w:t>The Quarterly Journal of Economics</w:t>
      </w:r>
      <w:r>
        <w:t xml:space="preserve">, </w:t>
      </w:r>
      <w:r>
        <w:rPr>
          <w:i/>
          <w:iCs/>
        </w:rPr>
        <w:t>134</w:t>
      </w:r>
      <w:r>
        <w:t xml:space="preserve">(2), 647–713. </w:t>
      </w:r>
    </w:p>
    <w:p w14:paraId="518EFCC2" w14:textId="77777777" w:rsidR="003460CF" w:rsidRPr="00B72B6C" w:rsidRDefault="00FF24AB" w:rsidP="003460CF">
      <w:pPr>
        <w:rPr>
          <w:lang w:val="en-US"/>
        </w:rPr>
      </w:pPr>
      <w:r w:rsidRPr="00B72B6C">
        <w:rPr>
          <w:lang w:val="en-US"/>
        </w:rPr>
        <w:t xml:space="preserve">Bertrand, M., Goldin, C., and Katz, L. F. (2010). Dynamics of the gender gap for young professionals in the financial and corporate sectors. </w:t>
      </w:r>
      <w:r w:rsidRPr="00B72B6C">
        <w:rPr>
          <w:i/>
          <w:lang w:val="en-US"/>
        </w:rPr>
        <w:t>American Economic Journal: Applied Economics</w:t>
      </w:r>
      <w:r w:rsidRPr="00B72B6C">
        <w:rPr>
          <w:lang w:val="en-US"/>
        </w:rPr>
        <w:t>, 2(3):228–255.</w:t>
      </w:r>
    </w:p>
    <w:p w14:paraId="75837C5C" w14:textId="77777777" w:rsidR="003460CF" w:rsidRPr="00B72B6C" w:rsidRDefault="00FF24AB" w:rsidP="003460CF">
      <w:pPr>
        <w:rPr>
          <w:lang w:val="en-US"/>
        </w:rPr>
      </w:pPr>
      <w:r w:rsidRPr="00B72B6C">
        <w:rPr>
          <w:lang w:val="en-US"/>
        </w:rPr>
        <w:t xml:space="preserve">Bhuller, M., Mogstad, M., and Salvanes, K. G. (2017). Life-Cycle Earnings, Education Premiums, and Internal Rates of Return. </w:t>
      </w:r>
      <w:r w:rsidRPr="00B72B6C">
        <w:rPr>
          <w:i/>
          <w:lang w:val="en-US"/>
        </w:rPr>
        <w:t>Journal of Labor Economics</w:t>
      </w:r>
      <w:r w:rsidRPr="00B72B6C">
        <w:rPr>
          <w:lang w:val="en-US"/>
        </w:rPr>
        <w:t>, 35(4):993–1030.</w:t>
      </w:r>
    </w:p>
    <w:p w14:paraId="462B2791" w14:textId="77777777" w:rsidR="003460CF" w:rsidRPr="00B72B6C" w:rsidRDefault="00FF24AB" w:rsidP="003460CF">
      <w:pPr>
        <w:rPr>
          <w:lang w:val="en-US"/>
        </w:rPr>
      </w:pPr>
      <w:r w:rsidRPr="00B72B6C">
        <w:rPr>
          <w:lang w:val="en-US"/>
        </w:rPr>
        <w:t xml:space="preserve">Bolvig, I., Kristensen, N., and Skipper, L. (2017). </w:t>
      </w:r>
      <w:r w:rsidRPr="00B72B6C">
        <w:rPr>
          <w:i/>
          <w:lang w:val="en-US"/>
        </w:rPr>
        <w:t>Effektevaluering Af Voksen- Og Efteruddannelsesindsatsen</w:t>
      </w:r>
      <w:r w:rsidRPr="00B72B6C">
        <w:rPr>
          <w:lang w:val="en-US"/>
        </w:rPr>
        <w:t>. KORA - Det Nationale Institut for Kommuners og Regioners Analyse og Forskning.</w:t>
      </w:r>
    </w:p>
    <w:p w14:paraId="0099C823" w14:textId="77777777" w:rsidR="009A7BA6" w:rsidRPr="00B72B6C" w:rsidRDefault="00FF24AB" w:rsidP="009A7BA6">
      <w:pPr>
        <w:rPr>
          <w:lang w:val="en-US"/>
        </w:rPr>
      </w:pPr>
      <w:r w:rsidRPr="00B72B6C">
        <w:rPr>
          <w:lang w:val="en-US"/>
        </w:rPr>
        <w:t xml:space="preserve">Bonaccorsi, A., Colombo, M. G., Guerini, M., and Rossi-Lamastra, C. (2014). The impact of local and external university knowledge on the creation of knowledge-intensive firms: Evidence from the Italian case. </w:t>
      </w:r>
      <w:r w:rsidRPr="00B72B6C">
        <w:rPr>
          <w:i/>
          <w:lang w:val="en-US"/>
        </w:rPr>
        <w:t>Small Business Economics</w:t>
      </w:r>
      <w:r w:rsidRPr="00B72B6C">
        <w:rPr>
          <w:lang w:val="en-US"/>
        </w:rPr>
        <w:t>, 43(2):261–287.</w:t>
      </w:r>
    </w:p>
    <w:p w14:paraId="269F8DC1" w14:textId="77777777" w:rsidR="009A7BA6" w:rsidRPr="00B72B6C" w:rsidRDefault="00FF24AB" w:rsidP="009A7BA6">
      <w:pPr>
        <w:rPr>
          <w:lang w:val="en-US"/>
        </w:rPr>
      </w:pPr>
      <w:r w:rsidRPr="00B72B6C">
        <w:rPr>
          <w:lang w:val="en-US"/>
        </w:rPr>
        <w:t xml:space="preserve">Boneva, T., Golin, M., and Rauh, C. (2019). Can Perceived Returns Explain Enrollment Gaps in Postgraduate Education? </w:t>
      </w:r>
      <w:r w:rsidRPr="00B72B6C">
        <w:rPr>
          <w:i/>
          <w:lang w:val="en-US"/>
        </w:rPr>
        <w:t>HCEO Working Paper Series 2019-045</w:t>
      </w:r>
      <w:r w:rsidRPr="00B72B6C">
        <w:rPr>
          <w:lang w:val="en-US"/>
        </w:rPr>
        <w:t>.</w:t>
      </w:r>
    </w:p>
    <w:p w14:paraId="520DF0F1" w14:textId="77777777" w:rsidR="009A7BA6" w:rsidRPr="00B72B6C" w:rsidRDefault="00FF24AB" w:rsidP="009A7BA6">
      <w:pPr>
        <w:rPr>
          <w:lang w:val="en-US"/>
        </w:rPr>
      </w:pPr>
      <w:r w:rsidRPr="00B72B6C">
        <w:rPr>
          <w:lang w:val="en-US"/>
        </w:rPr>
        <w:t xml:space="preserve">Børing, P. (2017). The relationship between training and innovation activities in enterprises: The relationship between training and innovation activities. </w:t>
      </w:r>
      <w:r w:rsidRPr="00B72B6C">
        <w:rPr>
          <w:i/>
          <w:lang w:val="en-US"/>
        </w:rPr>
        <w:t>International Journal of Training and Development</w:t>
      </w:r>
      <w:r w:rsidRPr="00B72B6C">
        <w:rPr>
          <w:lang w:val="en-US"/>
        </w:rPr>
        <w:t>, 21(2):113–129.</w:t>
      </w:r>
    </w:p>
    <w:p w14:paraId="29392EC1" w14:textId="77777777" w:rsidR="009A7BA6" w:rsidRPr="00B72B6C" w:rsidRDefault="00FF24AB" w:rsidP="009A7BA6">
      <w:pPr>
        <w:rPr>
          <w:lang w:val="en-US"/>
        </w:rPr>
      </w:pPr>
      <w:r w:rsidRPr="00B72B6C">
        <w:rPr>
          <w:lang w:val="en-US"/>
        </w:rPr>
        <w:lastRenderedPageBreak/>
        <w:t xml:space="preserve">Cantner, U. and Graf, H. (2006). The network of innovators in Jena: An application of social network analysis. </w:t>
      </w:r>
      <w:r w:rsidRPr="00B72B6C">
        <w:rPr>
          <w:i/>
          <w:lang w:val="en-US"/>
        </w:rPr>
        <w:t>Research Policy</w:t>
      </w:r>
      <w:r w:rsidRPr="00B72B6C">
        <w:rPr>
          <w:lang w:val="en-US"/>
        </w:rPr>
        <w:t>, 35(4):463–480.</w:t>
      </w:r>
    </w:p>
    <w:p w14:paraId="11C359B7" w14:textId="35F8775D" w:rsidR="009A7BA6" w:rsidRPr="00B72B6C" w:rsidRDefault="00FF24AB" w:rsidP="009A7BA6">
      <w:pPr>
        <w:rPr>
          <w:lang w:val="en-US"/>
        </w:rPr>
      </w:pPr>
      <w:r w:rsidRPr="00B72B6C">
        <w:rPr>
          <w:lang w:val="en-US"/>
        </w:rPr>
        <w:t xml:space="preserve">Card, D. (1993). Using Geographic Variation in College Proximity to Estimate the Return to Schooling. </w:t>
      </w:r>
      <w:r w:rsidR="009A7BA6" w:rsidRPr="00B72B6C">
        <w:rPr>
          <w:lang w:val="en-US"/>
        </w:rPr>
        <w:t xml:space="preserve">National Bureau of </w:t>
      </w:r>
      <w:r w:rsidR="00DA2CF5" w:rsidRPr="00B72B6C">
        <w:rPr>
          <w:lang w:val="en-US"/>
        </w:rPr>
        <w:t>Economic</w:t>
      </w:r>
      <w:r w:rsidR="006524C9" w:rsidRPr="00B72B6C">
        <w:rPr>
          <w:lang w:val="en-US"/>
        </w:rPr>
        <w:t xml:space="preserve"> </w:t>
      </w:r>
      <w:r w:rsidR="009A7BA6" w:rsidRPr="00B72B6C">
        <w:rPr>
          <w:lang w:val="en-US"/>
        </w:rPr>
        <w:t xml:space="preserve">Research, </w:t>
      </w:r>
      <w:r w:rsidRPr="00B72B6C">
        <w:rPr>
          <w:lang w:val="en-US"/>
        </w:rPr>
        <w:t>Working Paper 4483, National Bureau of Economic Research.</w:t>
      </w:r>
    </w:p>
    <w:p w14:paraId="0E556C6B" w14:textId="2DFBF526" w:rsidR="009A7BA6" w:rsidRPr="00B72B6C" w:rsidRDefault="00FF24AB" w:rsidP="009A7BA6">
      <w:pPr>
        <w:rPr>
          <w:lang w:val="en-US"/>
        </w:rPr>
      </w:pPr>
      <w:r w:rsidRPr="00B72B6C">
        <w:rPr>
          <w:lang w:val="en-US"/>
        </w:rPr>
        <w:t xml:space="preserve">Card, D., Kluve, J., and Weber, A. (2018). What Works? A </w:t>
      </w:r>
      <w:r w:rsidR="006524C9" w:rsidRPr="00B72B6C">
        <w:rPr>
          <w:lang w:val="en-US"/>
        </w:rPr>
        <w:t>Meta-Analysis</w:t>
      </w:r>
      <w:r w:rsidRPr="00B72B6C">
        <w:rPr>
          <w:lang w:val="en-US"/>
        </w:rPr>
        <w:t xml:space="preserve"> of Recent Active Labor Market Program Evaluations. </w:t>
      </w:r>
      <w:r w:rsidRPr="00B72B6C">
        <w:rPr>
          <w:i/>
          <w:lang w:val="en-US"/>
        </w:rPr>
        <w:t>Journal of the European Economic Association</w:t>
      </w:r>
      <w:r w:rsidRPr="00B72B6C">
        <w:rPr>
          <w:lang w:val="en-US"/>
        </w:rPr>
        <w:t>, 16(3):894–931.</w:t>
      </w:r>
    </w:p>
    <w:p w14:paraId="7E2CFB6A" w14:textId="77777777" w:rsidR="009A7BA6" w:rsidRPr="00B72B6C" w:rsidRDefault="00FF24AB" w:rsidP="009A7BA6">
      <w:pPr>
        <w:rPr>
          <w:lang w:val="en-US"/>
        </w:rPr>
      </w:pPr>
      <w:r w:rsidRPr="00B72B6C">
        <w:rPr>
          <w:lang w:val="en-US"/>
        </w:rPr>
        <w:t xml:space="preserve">Coad, A., Holm, J. R., Krafft, J., and Quatraro, F. (2018). Firm age and performance. </w:t>
      </w:r>
      <w:r w:rsidRPr="00B72B6C">
        <w:rPr>
          <w:i/>
          <w:lang w:val="en-US"/>
        </w:rPr>
        <w:t>Journal of Evolutionary Economics</w:t>
      </w:r>
      <w:r w:rsidRPr="00B72B6C">
        <w:rPr>
          <w:lang w:val="en-US"/>
        </w:rPr>
        <w:t>, 28(1):1–11.</w:t>
      </w:r>
    </w:p>
    <w:p w14:paraId="1EB61AB4" w14:textId="77777777" w:rsidR="009A7BA6" w:rsidRPr="00B72B6C" w:rsidRDefault="00FF24AB" w:rsidP="009A7BA6">
      <w:pPr>
        <w:rPr>
          <w:lang w:val="en-US"/>
        </w:rPr>
      </w:pPr>
      <w:r w:rsidRPr="00B72B6C">
        <w:rPr>
          <w:lang w:val="en-US"/>
        </w:rPr>
        <w:t xml:space="preserve">Cohen, W. M. (2010). Fifty years of empirical studies of innovative activity and performance. In Hall, B. H. and Rosenberg, N., editors, </w:t>
      </w:r>
      <w:r w:rsidRPr="00B72B6C">
        <w:rPr>
          <w:i/>
          <w:lang w:val="en-US"/>
        </w:rPr>
        <w:t>Handbook of the Economics of Innovation</w:t>
      </w:r>
      <w:r w:rsidRPr="00B72B6C">
        <w:rPr>
          <w:lang w:val="en-US"/>
        </w:rPr>
        <w:t>, volume 1, chapter 4, pages 129–213. North-Holland.</w:t>
      </w:r>
    </w:p>
    <w:p w14:paraId="4B2B3558" w14:textId="77777777" w:rsidR="009A7BA6" w:rsidRPr="00B72B6C" w:rsidRDefault="00FF24AB" w:rsidP="009A7BA6">
      <w:pPr>
        <w:rPr>
          <w:lang w:val="en-US"/>
        </w:rPr>
      </w:pPr>
      <w:r w:rsidRPr="00B72B6C">
        <w:rPr>
          <w:lang w:val="en-US"/>
        </w:rPr>
        <w:t xml:space="preserve">Cohen, W. M., Nelson, R. R., and Walsh, J. P. (2002). Links and impacts: The influence of public research on industrial R&amp;D. </w:t>
      </w:r>
      <w:r w:rsidRPr="00B72B6C">
        <w:rPr>
          <w:i/>
          <w:lang w:val="en-US"/>
        </w:rPr>
        <w:t>Management Science</w:t>
      </w:r>
      <w:r w:rsidRPr="00B72B6C">
        <w:rPr>
          <w:lang w:val="en-US"/>
        </w:rPr>
        <w:t>, 48(1):1–23.</w:t>
      </w:r>
    </w:p>
    <w:p w14:paraId="53AA5586" w14:textId="77777777" w:rsidR="009A7BA6" w:rsidRPr="00B72B6C" w:rsidRDefault="00FF24AB" w:rsidP="009A7BA6">
      <w:pPr>
        <w:rPr>
          <w:lang w:val="en-US"/>
        </w:rPr>
      </w:pPr>
      <w:r w:rsidRPr="00B72B6C">
        <w:rPr>
          <w:lang w:val="en-US"/>
        </w:rPr>
        <w:t xml:space="preserve">Dahl, M. S. and Pedersen, C. Ø. R. (2004). Knowledge flows through informal contacts in industrial clusters: Myth or reality? </w:t>
      </w:r>
      <w:r w:rsidRPr="00B72B6C">
        <w:rPr>
          <w:i/>
          <w:lang w:val="en-US"/>
        </w:rPr>
        <w:t>Research Policy</w:t>
      </w:r>
      <w:r w:rsidRPr="00B72B6C">
        <w:rPr>
          <w:lang w:val="en-US"/>
        </w:rPr>
        <w:t>, 33(10):1673–1686.</w:t>
      </w:r>
    </w:p>
    <w:p w14:paraId="489FC661" w14:textId="77777777" w:rsidR="009A7BA6" w:rsidRPr="00B72B6C" w:rsidRDefault="00FF24AB" w:rsidP="009A7BA6">
      <w:pPr>
        <w:rPr>
          <w:lang w:val="en-US"/>
        </w:rPr>
      </w:pPr>
      <w:r w:rsidRPr="00B72B6C">
        <w:rPr>
          <w:lang w:val="en-US"/>
        </w:rPr>
        <w:t xml:space="preserve">Danmarks Evalueringsinstitut (2008). </w:t>
      </w:r>
      <w:r w:rsidRPr="00B72B6C">
        <w:rPr>
          <w:i/>
          <w:lang w:val="en-US"/>
        </w:rPr>
        <w:t>Nyt AMU: med fokus p</w:t>
      </w:r>
      <w:r w:rsidR="009A7BA6" w:rsidRPr="00B72B6C">
        <w:rPr>
          <w:i/>
          <w:lang w:val="en-US"/>
        </w:rPr>
        <w:t>å</w:t>
      </w:r>
      <w:r w:rsidRPr="00B72B6C">
        <w:rPr>
          <w:i/>
          <w:lang w:val="en-US"/>
        </w:rPr>
        <w:t xml:space="preserve"> kompetencer og fleksibilitet</w:t>
      </w:r>
      <w:r w:rsidRPr="00B72B6C">
        <w:rPr>
          <w:lang w:val="en-US"/>
        </w:rPr>
        <w:t xml:space="preserve">. </w:t>
      </w:r>
      <w:r w:rsidR="009A7BA6" w:rsidRPr="00B72B6C">
        <w:rPr>
          <w:lang w:val="en-US"/>
        </w:rPr>
        <w:t>Danmarks Evalueringsinstitut, Kbh.</w:t>
      </w:r>
    </w:p>
    <w:p w14:paraId="348A42C4" w14:textId="77777777" w:rsidR="009A7BA6" w:rsidRPr="00B72B6C" w:rsidRDefault="00FF24AB" w:rsidP="009A7BA6">
      <w:pPr>
        <w:rPr>
          <w:lang w:val="en-US"/>
        </w:rPr>
      </w:pPr>
      <w:r w:rsidRPr="00B72B6C">
        <w:rPr>
          <w:lang w:val="en-US"/>
        </w:rPr>
        <w:t xml:space="preserve">Danmarks Evalueringsinstitut (2012). </w:t>
      </w:r>
      <w:r w:rsidRPr="00B72B6C">
        <w:rPr>
          <w:i/>
          <w:lang w:val="en-US"/>
        </w:rPr>
        <w:t>AMU som springbræt til fortsat uddannelse</w:t>
      </w:r>
      <w:r w:rsidRPr="00B72B6C">
        <w:rPr>
          <w:lang w:val="en-US"/>
        </w:rPr>
        <w:t>. Danmarks Evalueringsinstitut, Kbh.</w:t>
      </w:r>
    </w:p>
    <w:p w14:paraId="373036A4" w14:textId="77777777" w:rsidR="009A7BA6" w:rsidRPr="00B72B6C" w:rsidRDefault="00FF24AB" w:rsidP="009A7BA6">
      <w:pPr>
        <w:rPr>
          <w:lang w:val="en-US"/>
        </w:rPr>
      </w:pPr>
      <w:r w:rsidRPr="00B72B6C">
        <w:rPr>
          <w:lang w:val="en-US"/>
        </w:rPr>
        <w:t xml:space="preserve">Danmarks Evalueringsinstitut (2019). </w:t>
      </w:r>
      <w:r w:rsidRPr="00B72B6C">
        <w:rPr>
          <w:i/>
          <w:lang w:val="en-US"/>
        </w:rPr>
        <w:t xml:space="preserve">Virksomheders brug og </w:t>
      </w:r>
      <w:proofErr w:type="spellStart"/>
      <w:r w:rsidRPr="00B72B6C">
        <w:rPr>
          <w:i/>
          <w:lang w:val="en-US"/>
        </w:rPr>
        <w:t>vurderinger</w:t>
      </w:r>
      <w:proofErr w:type="spellEnd"/>
      <w:r w:rsidRPr="00B72B6C">
        <w:rPr>
          <w:i/>
          <w:lang w:val="en-US"/>
        </w:rPr>
        <w:t xml:space="preserve"> </w:t>
      </w:r>
      <w:proofErr w:type="spellStart"/>
      <w:r w:rsidRPr="00B72B6C">
        <w:rPr>
          <w:i/>
          <w:lang w:val="en-US"/>
        </w:rPr>
        <w:t>af</w:t>
      </w:r>
      <w:proofErr w:type="spellEnd"/>
      <w:r w:rsidRPr="00B72B6C">
        <w:rPr>
          <w:i/>
          <w:lang w:val="en-US"/>
        </w:rPr>
        <w:t xml:space="preserve"> AMU i 2019 - </w:t>
      </w:r>
      <w:proofErr w:type="spellStart"/>
      <w:r w:rsidRPr="00B72B6C">
        <w:rPr>
          <w:i/>
          <w:lang w:val="en-US"/>
        </w:rPr>
        <w:t>belyst</w:t>
      </w:r>
      <w:proofErr w:type="spellEnd"/>
      <w:r w:rsidRPr="00B72B6C">
        <w:rPr>
          <w:i/>
          <w:lang w:val="en-US"/>
        </w:rPr>
        <w:t xml:space="preserve"> </w:t>
      </w:r>
      <w:proofErr w:type="spellStart"/>
      <w:r w:rsidRPr="00B72B6C">
        <w:rPr>
          <w:i/>
          <w:lang w:val="en-US"/>
        </w:rPr>
        <w:t>gennem</w:t>
      </w:r>
      <w:proofErr w:type="spellEnd"/>
      <w:r w:rsidRPr="00B72B6C">
        <w:rPr>
          <w:i/>
          <w:lang w:val="en-US"/>
        </w:rPr>
        <w:t xml:space="preserve"> surveys i 2007, 2011, 2015 og 2019</w:t>
      </w:r>
      <w:r w:rsidRPr="00B72B6C">
        <w:rPr>
          <w:lang w:val="en-US"/>
        </w:rPr>
        <w:t>. Danmarks Evalueringsinstitut, Kbh.</w:t>
      </w:r>
    </w:p>
    <w:p w14:paraId="4FACF876" w14:textId="77777777" w:rsidR="009A7BA6" w:rsidRPr="00B72B6C" w:rsidRDefault="00FF24AB" w:rsidP="009A7BA6">
      <w:pPr>
        <w:rPr>
          <w:lang w:val="en-US"/>
        </w:rPr>
      </w:pPr>
      <w:r w:rsidRPr="00B72B6C">
        <w:rPr>
          <w:lang w:val="en-US"/>
        </w:rPr>
        <w:t xml:space="preserve">D’Este, P., </w:t>
      </w:r>
      <w:proofErr w:type="spellStart"/>
      <w:r w:rsidRPr="00B72B6C">
        <w:rPr>
          <w:lang w:val="en-US"/>
        </w:rPr>
        <w:t>Rentocchini</w:t>
      </w:r>
      <w:proofErr w:type="spellEnd"/>
      <w:r w:rsidRPr="00B72B6C">
        <w:rPr>
          <w:lang w:val="en-US"/>
        </w:rPr>
        <w:t xml:space="preserve">, F., and Vega-Jurado, J. (2014). The Role of Human Capital in Lowering the Barriers to Engaging in Innovation: Evidence from the Spanish Innovation Survey. </w:t>
      </w:r>
      <w:r w:rsidRPr="00B72B6C">
        <w:rPr>
          <w:i/>
          <w:lang w:val="en-US"/>
        </w:rPr>
        <w:t>Industry and Innovation</w:t>
      </w:r>
      <w:r w:rsidRPr="00B72B6C">
        <w:rPr>
          <w:lang w:val="en-US"/>
        </w:rPr>
        <w:t>, 21(1):1–19.</w:t>
      </w:r>
    </w:p>
    <w:p w14:paraId="39C49A43" w14:textId="77777777" w:rsidR="009A7BA6" w:rsidRPr="00B72B6C" w:rsidRDefault="00FF24AB" w:rsidP="009A7BA6">
      <w:pPr>
        <w:rPr>
          <w:lang w:val="en-US"/>
        </w:rPr>
      </w:pPr>
      <w:r w:rsidRPr="00B72B6C">
        <w:rPr>
          <w:lang w:val="en-US"/>
        </w:rPr>
        <w:t xml:space="preserve">Dostie, B. (2018). The Impact of Training on Innovation. </w:t>
      </w:r>
      <w:r w:rsidRPr="00B72B6C">
        <w:rPr>
          <w:i/>
          <w:lang w:val="en-US"/>
        </w:rPr>
        <w:t>ILR Review</w:t>
      </w:r>
      <w:r w:rsidRPr="00B72B6C">
        <w:rPr>
          <w:lang w:val="en-US"/>
        </w:rPr>
        <w:t>, 71(1):64–87.</w:t>
      </w:r>
    </w:p>
    <w:p w14:paraId="403FC964" w14:textId="77777777" w:rsidR="009A7BA6" w:rsidRPr="00B72B6C" w:rsidRDefault="00FF24AB" w:rsidP="009A7BA6">
      <w:pPr>
        <w:rPr>
          <w:lang w:val="en-US"/>
        </w:rPr>
      </w:pPr>
      <w:r w:rsidRPr="00B72B6C">
        <w:rPr>
          <w:lang w:val="en-US"/>
        </w:rPr>
        <w:t xml:space="preserve">Gonzalez-Brambila, C. N., Veloso, F. M., and </w:t>
      </w:r>
      <w:proofErr w:type="spellStart"/>
      <w:r w:rsidRPr="00B72B6C">
        <w:rPr>
          <w:lang w:val="en-US"/>
        </w:rPr>
        <w:t>Krackhardt</w:t>
      </w:r>
      <w:proofErr w:type="spellEnd"/>
      <w:r w:rsidRPr="00B72B6C">
        <w:rPr>
          <w:lang w:val="en-US"/>
        </w:rPr>
        <w:t xml:space="preserve">, D. (2013). The impact of network embeddedness on research output. </w:t>
      </w:r>
      <w:r w:rsidRPr="00B72B6C">
        <w:rPr>
          <w:i/>
          <w:lang w:val="en-US"/>
        </w:rPr>
        <w:t>Research Policy</w:t>
      </w:r>
      <w:r w:rsidRPr="00B72B6C">
        <w:rPr>
          <w:lang w:val="en-US"/>
        </w:rPr>
        <w:t>, 42(9):1555–1567.</w:t>
      </w:r>
    </w:p>
    <w:p w14:paraId="6A1DD5B2" w14:textId="77777777" w:rsidR="009A7BA6" w:rsidRPr="00B72B6C" w:rsidRDefault="00FF24AB" w:rsidP="009A7BA6">
      <w:pPr>
        <w:rPr>
          <w:lang w:val="en-US"/>
        </w:rPr>
      </w:pPr>
      <w:r w:rsidRPr="00B72B6C">
        <w:rPr>
          <w:lang w:val="en-US"/>
        </w:rPr>
        <w:lastRenderedPageBreak/>
        <w:t xml:space="preserve">Gregersen, O. and Holek, L. (1996). </w:t>
      </w:r>
      <w:proofErr w:type="spellStart"/>
      <w:r w:rsidRPr="00B72B6C">
        <w:rPr>
          <w:i/>
          <w:lang w:val="en-US"/>
        </w:rPr>
        <w:t>Arbejdsmarkedsuddannelserne</w:t>
      </w:r>
      <w:proofErr w:type="spellEnd"/>
      <w:r w:rsidRPr="00B72B6C">
        <w:rPr>
          <w:i/>
          <w:lang w:val="en-US"/>
        </w:rPr>
        <w:t xml:space="preserve"> - </w:t>
      </w:r>
      <w:proofErr w:type="spellStart"/>
      <w:r w:rsidRPr="00B72B6C">
        <w:rPr>
          <w:i/>
          <w:lang w:val="en-US"/>
        </w:rPr>
        <w:t>En</w:t>
      </w:r>
      <w:proofErr w:type="spellEnd"/>
      <w:r w:rsidRPr="00B72B6C">
        <w:rPr>
          <w:i/>
          <w:lang w:val="en-US"/>
        </w:rPr>
        <w:t xml:space="preserve"> </w:t>
      </w:r>
      <w:proofErr w:type="spellStart"/>
      <w:r w:rsidRPr="00B72B6C">
        <w:rPr>
          <w:i/>
          <w:lang w:val="en-US"/>
        </w:rPr>
        <w:t>Vidensopsamling</w:t>
      </w:r>
      <w:proofErr w:type="spellEnd"/>
      <w:r w:rsidRPr="00B72B6C">
        <w:rPr>
          <w:lang w:val="en-US"/>
        </w:rPr>
        <w:t xml:space="preserve">. </w:t>
      </w:r>
      <w:proofErr w:type="spellStart"/>
      <w:r w:rsidRPr="00B72B6C">
        <w:rPr>
          <w:lang w:val="en-US"/>
        </w:rPr>
        <w:t>Socialforskningsinstituttet</w:t>
      </w:r>
      <w:proofErr w:type="spellEnd"/>
      <w:r w:rsidRPr="00B72B6C">
        <w:rPr>
          <w:lang w:val="en-US"/>
        </w:rPr>
        <w:t xml:space="preserve">, </w:t>
      </w:r>
      <w:proofErr w:type="spellStart"/>
      <w:r w:rsidRPr="00B72B6C">
        <w:rPr>
          <w:lang w:val="en-US"/>
        </w:rPr>
        <w:t>København</w:t>
      </w:r>
      <w:proofErr w:type="spellEnd"/>
      <w:r w:rsidRPr="00B72B6C">
        <w:rPr>
          <w:lang w:val="en-US"/>
        </w:rPr>
        <w:t>.</w:t>
      </w:r>
    </w:p>
    <w:p w14:paraId="159BFBBD" w14:textId="77777777" w:rsidR="009A7BA6" w:rsidRPr="00B72B6C" w:rsidRDefault="00FF24AB" w:rsidP="009A7BA6">
      <w:pPr>
        <w:rPr>
          <w:lang w:val="en-US"/>
        </w:rPr>
      </w:pPr>
      <w:r w:rsidRPr="00B72B6C">
        <w:rPr>
          <w:lang w:val="en-US"/>
        </w:rPr>
        <w:t xml:space="preserve">Hacamo, I. and Kleiner, K. (2020). Competing for Talent: Firms, Managers and Social Networks. </w:t>
      </w:r>
      <w:r w:rsidRPr="00B72B6C">
        <w:rPr>
          <w:i/>
          <w:lang w:val="en-US"/>
        </w:rPr>
        <w:t>Kelly School of Business Research Paper No. 17-34</w:t>
      </w:r>
      <w:r w:rsidRPr="00B72B6C">
        <w:rPr>
          <w:lang w:val="en-US"/>
        </w:rPr>
        <w:t>, page 56.</w:t>
      </w:r>
    </w:p>
    <w:p w14:paraId="73AA3CA3" w14:textId="77777777" w:rsidR="009A7BA6" w:rsidRPr="00B72B6C" w:rsidRDefault="00FF24AB" w:rsidP="009A7BA6">
      <w:pPr>
        <w:rPr>
          <w:lang w:val="en-US"/>
        </w:rPr>
      </w:pPr>
      <w:r w:rsidRPr="00B72B6C">
        <w:rPr>
          <w:lang w:val="en-US"/>
        </w:rPr>
        <w:t xml:space="preserve">Hidalgo, C. A., </w:t>
      </w:r>
      <w:proofErr w:type="spellStart"/>
      <w:r w:rsidRPr="00B72B6C">
        <w:rPr>
          <w:lang w:val="en-US"/>
        </w:rPr>
        <w:t>Balland</w:t>
      </w:r>
      <w:proofErr w:type="spellEnd"/>
      <w:r w:rsidRPr="00B72B6C">
        <w:rPr>
          <w:lang w:val="en-US"/>
        </w:rPr>
        <w:t xml:space="preserve">, P.-A., </w:t>
      </w:r>
      <w:proofErr w:type="spellStart"/>
      <w:r w:rsidRPr="00B72B6C">
        <w:rPr>
          <w:lang w:val="en-US"/>
        </w:rPr>
        <w:t>Boschma</w:t>
      </w:r>
      <w:proofErr w:type="spellEnd"/>
      <w:r w:rsidRPr="00B72B6C">
        <w:rPr>
          <w:lang w:val="en-US"/>
        </w:rPr>
        <w:t xml:space="preserve">, R., Delgado, M., Feldman, M., </w:t>
      </w:r>
      <w:proofErr w:type="spellStart"/>
      <w:r w:rsidRPr="00B72B6C">
        <w:rPr>
          <w:lang w:val="en-US"/>
        </w:rPr>
        <w:t>Frenken</w:t>
      </w:r>
      <w:proofErr w:type="spellEnd"/>
      <w:r w:rsidRPr="00B72B6C">
        <w:rPr>
          <w:lang w:val="en-US"/>
        </w:rPr>
        <w:t xml:space="preserve">, K., </w:t>
      </w:r>
      <w:proofErr w:type="spellStart"/>
      <w:r w:rsidRPr="00B72B6C">
        <w:rPr>
          <w:lang w:val="en-US"/>
        </w:rPr>
        <w:t>Glaeser</w:t>
      </w:r>
      <w:proofErr w:type="spellEnd"/>
      <w:r w:rsidRPr="00B72B6C">
        <w:rPr>
          <w:lang w:val="en-US"/>
        </w:rPr>
        <w:t xml:space="preserve">, E., He, C., </w:t>
      </w:r>
      <w:proofErr w:type="spellStart"/>
      <w:r w:rsidRPr="00B72B6C">
        <w:rPr>
          <w:lang w:val="en-US"/>
        </w:rPr>
        <w:t>Kogler</w:t>
      </w:r>
      <w:proofErr w:type="spellEnd"/>
      <w:r w:rsidRPr="00B72B6C">
        <w:rPr>
          <w:lang w:val="en-US"/>
        </w:rPr>
        <w:t xml:space="preserve">, D. F., Morrison, A., and Others (2018). The principle of relatedness. In </w:t>
      </w:r>
      <w:r w:rsidRPr="00B72B6C">
        <w:rPr>
          <w:i/>
          <w:lang w:val="en-US"/>
        </w:rPr>
        <w:t>International Conference on Complex Systems</w:t>
      </w:r>
      <w:r w:rsidRPr="00B72B6C">
        <w:rPr>
          <w:lang w:val="en-US"/>
        </w:rPr>
        <w:t>, pages 451–457. Springer.</w:t>
      </w:r>
    </w:p>
    <w:p w14:paraId="64E51FDD" w14:textId="4BEB4F53" w:rsidR="009A7BA6" w:rsidRPr="00B72B6C" w:rsidRDefault="00FF24AB" w:rsidP="009A7BA6">
      <w:pPr>
        <w:rPr>
          <w:lang w:val="en-US"/>
        </w:rPr>
      </w:pPr>
      <w:r w:rsidRPr="00B72B6C">
        <w:rPr>
          <w:lang w:val="en-US"/>
        </w:rPr>
        <w:t>Holm, J. R.</w:t>
      </w:r>
      <w:r w:rsidR="006524C9" w:rsidRPr="00B72B6C">
        <w:rPr>
          <w:lang w:val="en-US"/>
        </w:rPr>
        <w:t>,</w:t>
      </w:r>
      <w:r w:rsidRPr="00B72B6C">
        <w:rPr>
          <w:lang w:val="en-US"/>
        </w:rPr>
        <w:t xml:space="preserve"> and </w:t>
      </w:r>
      <w:r w:rsidR="009A7BA6" w:rsidRPr="00B72B6C">
        <w:rPr>
          <w:lang w:val="en-US"/>
        </w:rPr>
        <w:t>Ø</w:t>
      </w:r>
      <w:r w:rsidRPr="00B72B6C">
        <w:rPr>
          <w:lang w:val="en-US"/>
        </w:rPr>
        <w:t xml:space="preserve">stergaard, C. R. (2018). </w:t>
      </w:r>
      <w:r w:rsidRPr="00B72B6C">
        <w:rPr>
          <w:i/>
          <w:lang w:val="en-US"/>
        </w:rPr>
        <w:t>Changes in Regional Diversification: The Conditional Role of Knowledge Flows</w:t>
      </w:r>
      <w:r w:rsidRPr="00B72B6C">
        <w:rPr>
          <w:lang w:val="en-US"/>
        </w:rPr>
        <w:t>.</w:t>
      </w:r>
      <w:r w:rsidR="009A7BA6" w:rsidRPr="00B72B6C">
        <w:rPr>
          <w:lang w:val="en-US"/>
        </w:rPr>
        <w:t xml:space="preserve"> Working Paper presented at the Regional Innovation Policies Conference, Bergen, October 11- October 12.</w:t>
      </w:r>
    </w:p>
    <w:p w14:paraId="0B658DE3" w14:textId="2ADFE867" w:rsidR="00EF3EB9" w:rsidRPr="00073C14" w:rsidRDefault="00EF3EB9" w:rsidP="009A7BA6">
      <w:pPr>
        <w:rPr>
          <w:lang w:val="en-US"/>
        </w:rPr>
      </w:pPr>
      <w:r w:rsidRPr="00B72B6C">
        <w:rPr>
          <w:highlight w:val="yellow"/>
          <w:lang w:val="en-US"/>
        </w:rPr>
        <w:t>Holm et al</w:t>
      </w:r>
      <w:r w:rsidR="00B72B6C" w:rsidRPr="00B72B6C">
        <w:rPr>
          <w:highlight w:val="yellow"/>
          <w:lang w:val="en-US"/>
        </w:rPr>
        <w:t>.</w:t>
      </w:r>
      <w:r w:rsidRPr="00B72B6C">
        <w:rPr>
          <w:highlight w:val="yellow"/>
          <w:lang w:val="en-US"/>
        </w:rPr>
        <w:t xml:space="preserve"> (2020) (= </w:t>
      </w:r>
      <w:r w:rsidR="006524C9" w:rsidRPr="00B72B6C">
        <w:rPr>
          <w:highlight w:val="yellow"/>
          <w:lang w:val="en-US"/>
        </w:rPr>
        <w:t>another chapter</w:t>
      </w:r>
      <w:r w:rsidRPr="00B72B6C">
        <w:rPr>
          <w:highlight w:val="yellow"/>
          <w:lang w:val="en-US"/>
        </w:rPr>
        <w:t>)</w:t>
      </w:r>
      <w:r w:rsidRPr="00160986">
        <w:rPr>
          <w:lang w:val="en-US"/>
        </w:rPr>
        <w:t xml:space="preserve"> </w:t>
      </w:r>
    </w:p>
    <w:p w14:paraId="45045BCB" w14:textId="77777777" w:rsidR="009A7BA6" w:rsidRPr="00B72B6C" w:rsidRDefault="00FF24AB" w:rsidP="009A7BA6">
      <w:pPr>
        <w:rPr>
          <w:lang w:val="en-US"/>
        </w:rPr>
      </w:pPr>
      <w:r w:rsidRPr="00B72B6C">
        <w:rPr>
          <w:lang w:val="en-US"/>
        </w:rPr>
        <w:t xml:space="preserve">Jaffe, A. (1989). Real Effects of Academic Research. </w:t>
      </w:r>
      <w:r w:rsidRPr="00B72B6C">
        <w:rPr>
          <w:i/>
          <w:lang w:val="en-US"/>
        </w:rPr>
        <w:t>The American Economic Review</w:t>
      </w:r>
      <w:r w:rsidRPr="00B72B6C">
        <w:rPr>
          <w:lang w:val="en-US"/>
        </w:rPr>
        <w:t>, 79(5):957– 970.</w:t>
      </w:r>
    </w:p>
    <w:p w14:paraId="6A8140B4" w14:textId="77777777" w:rsidR="009A7BA6" w:rsidRPr="00B72B6C" w:rsidRDefault="00FF24AB" w:rsidP="009A7BA6">
      <w:pPr>
        <w:rPr>
          <w:lang w:val="en-US"/>
        </w:rPr>
      </w:pPr>
      <w:r w:rsidRPr="00B72B6C">
        <w:rPr>
          <w:lang w:val="en-US"/>
        </w:rPr>
        <w:t xml:space="preserve">LaLonde, R. (2003). Employment and Training Programs. In Moffitt, R., editor, </w:t>
      </w:r>
      <w:r w:rsidRPr="00B72B6C">
        <w:rPr>
          <w:i/>
          <w:lang w:val="en-US"/>
        </w:rPr>
        <w:t>Means-Tested</w:t>
      </w:r>
      <w:r w:rsidR="009A7BA6" w:rsidRPr="00B72B6C">
        <w:rPr>
          <w:lang w:val="en-US"/>
        </w:rPr>
        <w:t xml:space="preserve"> </w:t>
      </w:r>
      <w:r w:rsidRPr="00B72B6C">
        <w:rPr>
          <w:i/>
          <w:lang w:val="en-US"/>
        </w:rPr>
        <w:t>Transfer Programs in the United States</w:t>
      </w:r>
      <w:r w:rsidRPr="00B72B6C">
        <w:rPr>
          <w:lang w:val="en-US"/>
        </w:rPr>
        <w:t>, A National Bureau of Economic Research Conference Report, pages 517–585. University of Chicago Press, Chicago.</w:t>
      </w:r>
    </w:p>
    <w:p w14:paraId="7B9C24D6" w14:textId="12B92C89" w:rsidR="009A7BA6" w:rsidRPr="00B72B6C" w:rsidRDefault="00FF24AB" w:rsidP="009A7BA6">
      <w:pPr>
        <w:rPr>
          <w:lang w:val="en-US"/>
        </w:rPr>
      </w:pPr>
      <w:r w:rsidRPr="00B72B6C">
        <w:rPr>
          <w:lang w:val="en-US"/>
        </w:rPr>
        <w:t>Lemieux, T. (2006). The ”Mincer Equation” Thirty Years after Schooling, Experience</w:t>
      </w:r>
      <w:r w:rsidR="00B97819" w:rsidRPr="00B343F8">
        <w:rPr>
          <w:lang w:val="en-US"/>
        </w:rPr>
        <w:t>,</w:t>
      </w:r>
      <w:r w:rsidRPr="00B72B6C">
        <w:rPr>
          <w:lang w:val="en-US"/>
        </w:rPr>
        <w:t xml:space="preserve"> and Earnings. In </w:t>
      </w:r>
      <w:proofErr w:type="spellStart"/>
      <w:r w:rsidRPr="00B72B6C">
        <w:rPr>
          <w:lang w:val="en-US"/>
        </w:rPr>
        <w:t>Grossbard</w:t>
      </w:r>
      <w:proofErr w:type="spellEnd"/>
      <w:r w:rsidRPr="00B72B6C">
        <w:rPr>
          <w:lang w:val="en-US"/>
        </w:rPr>
        <w:t xml:space="preserve">, S., editor, </w:t>
      </w:r>
      <w:r w:rsidRPr="00B72B6C">
        <w:rPr>
          <w:i/>
          <w:lang w:val="en-US"/>
        </w:rPr>
        <w:t>Jacob Mincer - A Pioneer of Modern Labor Economics</w:t>
      </w:r>
      <w:r w:rsidRPr="00B72B6C">
        <w:rPr>
          <w:lang w:val="en-US"/>
        </w:rPr>
        <w:t>. Springer.</w:t>
      </w:r>
    </w:p>
    <w:p w14:paraId="303E11B7" w14:textId="77777777" w:rsidR="009A7BA6" w:rsidRPr="00B72B6C" w:rsidRDefault="00FF24AB" w:rsidP="009A7BA6">
      <w:pPr>
        <w:rPr>
          <w:lang w:val="en-US"/>
        </w:rPr>
      </w:pPr>
      <w:r w:rsidRPr="00B72B6C">
        <w:rPr>
          <w:lang w:val="en-US"/>
        </w:rPr>
        <w:t xml:space="preserve">Lenihan, H., McGuirk, H., and Murphy, K. R. (2019). Driving innovation: Public policy and human capital. </w:t>
      </w:r>
      <w:r w:rsidRPr="00B72B6C">
        <w:rPr>
          <w:i/>
          <w:lang w:val="en-US"/>
        </w:rPr>
        <w:t>Research Policy</w:t>
      </w:r>
      <w:r w:rsidRPr="00B72B6C">
        <w:rPr>
          <w:lang w:val="en-US"/>
        </w:rPr>
        <w:t>, 48(9):103791.</w:t>
      </w:r>
    </w:p>
    <w:p w14:paraId="583A6994" w14:textId="658AA3C2" w:rsidR="009A7BA6" w:rsidRPr="00B72B6C" w:rsidRDefault="00FF24AB" w:rsidP="009A7BA6">
      <w:pPr>
        <w:rPr>
          <w:lang w:val="en-US"/>
        </w:rPr>
      </w:pPr>
      <w:r w:rsidRPr="00B72B6C">
        <w:rPr>
          <w:lang w:val="en-US"/>
        </w:rPr>
        <w:t>Lerner, J.</w:t>
      </w:r>
      <w:r w:rsidR="00B97819" w:rsidRPr="00B72B6C">
        <w:rPr>
          <w:lang w:val="en-US"/>
        </w:rPr>
        <w:t>,</w:t>
      </w:r>
      <w:r w:rsidRPr="00B72B6C">
        <w:rPr>
          <w:lang w:val="en-US"/>
        </w:rPr>
        <w:t xml:space="preserve"> and Malmendier, U. (2013). With a little help from my (random) friends: Success and failure in post-business school entrepreneurship. </w:t>
      </w:r>
      <w:r w:rsidRPr="00B72B6C">
        <w:rPr>
          <w:i/>
          <w:lang w:val="en-US"/>
        </w:rPr>
        <w:t>Review of Financial Studies</w:t>
      </w:r>
      <w:r w:rsidRPr="00B72B6C">
        <w:rPr>
          <w:lang w:val="en-US"/>
        </w:rPr>
        <w:t>, 26(10):2411–2452.</w:t>
      </w:r>
    </w:p>
    <w:p w14:paraId="53F13346" w14:textId="683F7579" w:rsidR="009A7BA6" w:rsidRPr="00B72B6C" w:rsidRDefault="00FF24AB" w:rsidP="009A7BA6">
      <w:pPr>
        <w:rPr>
          <w:lang w:val="en-US"/>
        </w:rPr>
      </w:pPr>
      <w:r w:rsidRPr="00B72B6C">
        <w:rPr>
          <w:lang w:val="en-US"/>
        </w:rPr>
        <w:t>Love, J. H., Roper, S., and Bryson, J. R. (2011). Openness, knowledge, innovation</w:t>
      </w:r>
      <w:r w:rsidR="00B97819" w:rsidRPr="00B343F8">
        <w:rPr>
          <w:lang w:val="en-US"/>
        </w:rPr>
        <w:t>,</w:t>
      </w:r>
      <w:r w:rsidRPr="00B72B6C">
        <w:rPr>
          <w:lang w:val="en-US"/>
        </w:rPr>
        <w:t xml:space="preserve"> and growth in UK business services. </w:t>
      </w:r>
      <w:r w:rsidRPr="00B72B6C">
        <w:rPr>
          <w:i/>
          <w:lang w:val="en-US"/>
        </w:rPr>
        <w:t>Research Policy</w:t>
      </w:r>
      <w:r w:rsidRPr="00B72B6C">
        <w:rPr>
          <w:lang w:val="en-US"/>
        </w:rPr>
        <w:t>, 40(10):1438–1452.</w:t>
      </w:r>
    </w:p>
    <w:p w14:paraId="6748DC78" w14:textId="77777777" w:rsidR="009A7BA6" w:rsidRPr="00B72B6C" w:rsidRDefault="00FF24AB" w:rsidP="009A7BA6">
      <w:pPr>
        <w:rPr>
          <w:lang w:val="en-US"/>
        </w:rPr>
      </w:pPr>
      <w:r w:rsidRPr="00B72B6C">
        <w:rPr>
          <w:lang w:val="en-US"/>
        </w:rPr>
        <w:t>Lundvall, B.-</w:t>
      </w:r>
      <w:r w:rsidR="009A7BA6" w:rsidRPr="00B72B6C">
        <w:rPr>
          <w:lang w:val="en-US"/>
        </w:rPr>
        <w:t>Å</w:t>
      </w:r>
      <w:r w:rsidRPr="00B72B6C">
        <w:rPr>
          <w:lang w:val="en-US"/>
        </w:rPr>
        <w:t>. (1992). Introduction. In Lundvall, B.-</w:t>
      </w:r>
      <w:r w:rsidR="009A7BA6" w:rsidRPr="00B72B6C">
        <w:rPr>
          <w:lang w:val="en-US"/>
        </w:rPr>
        <w:t>Å</w:t>
      </w:r>
      <w:r w:rsidRPr="00B72B6C">
        <w:rPr>
          <w:lang w:val="en-US"/>
        </w:rPr>
        <w:t xml:space="preserve">., editor, </w:t>
      </w:r>
      <w:r w:rsidRPr="00B72B6C">
        <w:rPr>
          <w:i/>
          <w:lang w:val="en-US"/>
        </w:rPr>
        <w:t>National Systems of Innovation Toward a Theory of Innovation and Interactive Learning</w:t>
      </w:r>
      <w:r w:rsidRPr="00B72B6C">
        <w:rPr>
          <w:lang w:val="en-US"/>
        </w:rPr>
        <w:t xml:space="preserve">, chapter 1, pages 1–19. Pinter, London. </w:t>
      </w:r>
    </w:p>
    <w:p w14:paraId="713ED1D7" w14:textId="77777777" w:rsidR="009A7BA6" w:rsidRPr="00B72B6C" w:rsidRDefault="00FF24AB" w:rsidP="009A7BA6">
      <w:pPr>
        <w:rPr>
          <w:lang w:val="en-US"/>
        </w:rPr>
      </w:pPr>
      <w:r w:rsidRPr="00B72B6C">
        <w:rPr>
          <w:lang w:val="en-US"/>
        </w:rPr>
        <w:t>Lundvall, B.-</w:t>
      </w:r>
      <w:r w:rsidR="009A7BA6" w:rsidRPr="00B72B6C">
        <w:rPr>
          <w:lang w:val="en-US"/>
        </w:rPr>
        <w:t>Å</w:t>
      </w:r>
      <w:r w:rsidRPr="00B72B6C">
        <w:rPr>
          <w:lang w:val="en-US"/>
        </w:rPr>
        <w:t xml:space="preserve">. (2016). </w:t>
      </w:r>
      <w:r w:rsidRPr="00B72B6C">
        <w:rPr>
          <w:i/>
          <w:lang w:val="en-US"/>
        </w:rPr>
        <w:t>The Learning Economy and the Economics of Hope</w:t>
      </w:r>
      <w:r w:rsidRPr="00B72B6C">
        <w:rPr>
          <w:lang w:val="en-US"/>
        </w:rPr>
        <w:t>. Anthem Press.</w:t>
      </w:r>
    </w:p>
    <w:p w14:paraId="120514AD" w14:textId="4738C737" w:rsidR="009A7BA6" w:rsidRPr="00B72B6C" w:rsidRDefault="00FF24AB" w:rsidP="009A7BA6">
      <w:pPr>
        <w:rPr>
          <w:lang w:val="en-US"/>
        </w:rPr>
      </w:pPr>
      <w:r w:rsidRPr="00B72B6C">
        <w:rPr>
          <w:lang w:val="en-US"/>
        </w:rPr>
        <w:t>Malmberg, A.</w:t>
      </w:r>
      <w:r w:rsidR="00B97819" w:rsidRPr="00B72B6C">
        <w:rPr>
          <w:lang w:val="en-US"/>
        </w:rPr>
        <w:t>,</w:t>
      </w:r>
      <w:r w:rsidRPr="00B72B6C">
        <w:rPr>
          <w:lang w:val="en-US"/>
        </w:rPr>
        <w:t xml:space="preserve"> and Maskell, P. (2002). The elusive concept of localization economies: Towards a knowledge-based theory of spatial clustering. </w:t>
      </w:r>
      <w:r w:rsidRPr="00B72B6C">
        <w:rPr>
          <w:i/>
          <w:lang w:val="en-US"/>
        </w:rPr>
        <w:t>Environment and Planning A: Economy and Space</w:t>
      </w:r>
      <w:r w:rsidRPr="00B72B6C">
        <w:rPr>
          <w:lang w:val="en-US"/>
        </w:rPr>
        <w:t>, 34(3):429–449.</w:t>
      </w:r>
    </w:p>
    <w:p w14:paraId="67F6F627" w14:textId="77777777" w:rsidR="009A7BA6" w:rsidRPr="00B72B6C" w:rsidRDefault="00FF24AB" w:rsidP="009A7BA6">
      <w:pPr>
        <w:rPr>
          <w:lang w:val="en-US"/>
        </w:rPr>
      </w:pPr>
      <w:r w:rsidRPr="00B72B6C">
        <w:rPr>
          <w:lang w:val="en-US"/>
        </w:rPr>
        <w:lastRenderedPageBreak/>
        <w:t xml:space="preserve">McGuirk, H., Lenihan, H., and Hart, M. (2015). Measuring the impact of innovative human capital on small firms’ propensity to innovate. </w:t>
      </w:r>
      <w:r w:rsidRPr="00B72B6C">
        <w:rPr>
          <w:i/>
          <w:lang w:val="en-US"/>
        </w:rPr>
        <w:t>Research Policy</w:t>
      </w:r>
      <w:r w:rsidRPr="00B72B6C">
        <w:rPr>
          <w:lang w:val="en-US"/>
        </w:rPr>
        <w:t>, 44(4):965–976.</w:t>
      </w:r>
    </w:p>
    <w:p w14:paraId="084E370C" w14:textId="77777777" w:rsidR="00DF4D03" w:rsidRPr="00B72B6C" w:rsidRDefault="00FF24AB" w:rsidP="00DF4D03">
      <w:pPr>
        <w:rPr>
          <w:lang w:val="en-US"/>
        </w:rPr>
      </w:pPr>
      <w:r w:rsidRPr="00B72B6C">
        <w:rPr>
          <w:lang w:val="en-US"/>
        </w:rPr>
        <w:t xml:space="preserve">Mountjoy, J. (2019). Community Colleges and Upward Mobility. </w:t>
      </w:r>
      <w:r w:rsidRPr="00B72B6C">
        <w:rPr>
          <w:i/>
          <w:lang w:val="en-US"/>
        </w:rPr>
        <w:t>Working Paper</w:t>
      </w:r>
      <w:r w:rsidRPr="00B72B6C">
        <w:rPr>
          <w:lang w:val="en-US"/>
        </w:rPr>
        <w:t>.</w:t>
      </w:r>
    </w:p>
    <w:p w14:paraId="3BA28B05" w14:textId="7D597064" w:rsidR="00DF4D03" w:rsidRPr="00B343F8" w:rsidRDefault="00FF24AB" w:rsidP="00DF4D03">
      <w:pPr>
        <w:rPr>
          <w:lang w:val="en-US"/>
        </w:rPr>
      </w:pPr>
      <w:r w:rsidRPr="00B72B6C">
        <w:rPr>
          <w:lang w:val="en-US"/>
        </w:rPr>
        <w:t xml:space="preserve">Neffke, F. M. H., Otto, A., and </w:t>
      </w:r>
      <w:proofErr w:type="spellStart"/>
      <w:r w:rsidRPr="00B72B6C">
        <w:rPr>
          <w:lang w:val="en-US"/>
        </w:rPr>
        <w:t>Weyh</w:t>
      </w:r>
      <w:proofErr w:type="spellEnd"/>
      <w:r w:rsidRPr="00B72B6C">
        <w:rPr>
          <w:lang w:val="en-US"/>
        </w:rPr>
        <w:t xml:space="preserve">, A. (2017). Inter-industry labor flows. </w:t>
      </w:r>
      <w:r w:rsidRPr="00B72B6C">
        <w:rPr>
          <w:i/>
          <w:lang w:val="en-US"/>
        </w:rPr>
        <w:t>Journal of Economic Behavior &amp; Organization</w:t>
      </w:r>
      <w:r w:rsidRPr="00B72B6C">
        <w:rPr>
          <w:lang w:val="en-US"/>
        </w:rPr>
        <w:t>, 142:275–292.</w:t>
      </w:r>
    </w:p>
    <w:p w14:paraId="6B39B718" w14:textId="1FFCFB13" w:rsidR="00EF3EB9" w:rsidRPr="00160986" w:rsidRDefault="00EF3EB9" w:rsidP="00DF4D03">
      <w:pPr>
        <w:rPr>
          <w:lang w:val="en-US"/>
        </w:rPr>
      </w:pPr>
      <w:r w:rsidRPr="00165755">
        <w:rPr>
          <w:highlight w:val="yellow"/>
          <w:lang w:val="en-US"/>
        </w:rPr>
        <w:t xml:space="preserve">Nielsen et al. (2020). (= </w:t>
      </w:r>
      <w:r w:rsidR="00B97819" w:rsidRPr="00165755">
        <w:rPr>
          <w:highlight w:val="yellow"/>
          <w:lang w:val="en-US"/>
        </w:rPr>
        <w:t>another chapter</w:t>
      </w:r>
      <w:r w:rsidRPr="00165755">
        <w:rPr>
          <w:highlight w:val="yellow"/>
          <w:lang w:val="en-US"/>
        </w:rPr>
        <w:t>)</w:t>
      </w:r>
      <w:r w:rsidRPr="00B72B6C">
        <w:rPr>
          <w:lang w:val="en-US"/>
        </w:rPr>
        <w:t xml:space="preserve"> </w:t>
      </w:r>
    </w:p>
    <w:p w14:paraId="65BC197A" w14:textId="77777777" w:rsidR="00DF4D03" w:rsidRPr="00B72B6C" w:rsidRDefault="00FF24AB" w:rsidP="00DF4D03">
      <w:pPr>
        <w:rPr>
          <w:lang w:val="en-US"/>
        </w:rPr>
      </w:pPr>
      <w:r w:rsidRPr="00073C14">
        <w:rPr>
          <w:lang w:val="en-US"/>
        </w:rPr>
        <w:t xml:space="preserve">Østergaard, </w:t>
      </w:r>
      <w:r w:rsidRPr="00B72B6C">
        <w:rPr>
          <w:lang w:val="en-US"/>
        </w:rPr>
        <w:t xml:space="preserve">C. R., Timmermans, B., and </w:t>
      </w:r>
      <w:proofErr w:type="spellStart"/>
      <w:r w:rsidRPr="00B72B6C">
        <w:rPr>
          <w:lang w:val="en-US"/>
        </w:rPr>
        <w:t>Kristinsson</w:t>
      </w:r>
      <w:proofErr w:type="spellEnd"/>
      <w:r w:rsidRPr="00B72B6C">
        <w:rPr>
          <w:lang w:val="en-US"/>
        </w:rPr>
        <w:t xml:space="preserve">, K. (2011). Does a Different View Create Something New? The Effect of Employee Diversity on Innovation. </w:t>
      </w:r>
      <w:r w:rsidRPr="00B72B6C">
        <w:rPr>
          <w:i/>
          <w:lang w:val="en-US"/>
        </w:rPr>
        <w:t>Research Policy</w:t>
      </w:r>
      <w:r w:rsidRPr="00B72B6C">
        <w:rPr>
          <w:lang w:val="en-US"/>
        </w:rPr>
        <w:t>, 40(3):500– 509.</w:t>
      </w:r>
    </w:p>
    <w:p w14:paraId="7C2A5547" w14:textId="77777777" w:rsidR="00DF4D03" w:rsidRPr="00B72B6C" w:rsidRDefault="00FF24AB" w:rsidP="00DF4D03">
      <w:pPr>
        <w:rPr>
          <w:lang w:val="en-US"/>
        </w:rPr>
      </w:pPr>
      <w:r w:rsidRPr="00B72B6C">
        <w:rPr>
          <w:lang w:val="en-US"/>
        </w:rPr>
        <w:t xml:space="preserve">Pedersen, V. H., Andresen, S., and Lassen, M. (2012). </w:t>
      </w:r>
      <w:proofErr w:type="spellStart"/>
      <w:r w:rsidRPr="00B72B6C">
        <w:rPr>
          <w:i/>
          <w:lang w:val="en-US"/>
        </w:rPr>
        <w:t>En</w:t>
      </w:r>
      <w:proofErr w:type="spellEnd"/>
      <w:r w:rsidRPr="00B72B6C">
        <w:rPr>
          <w:i/>
          <w:lang w:val="en-US"/>
        </w:rPr>
        <w:t xml:space="preserve"> </w:t>
      </w:r>
      <w:proofErr w:type="spellStart"/>
      <w:r w:rsidRPr="00B72B6C">
        <w:rPr>
          <w:i/>
          <w:lang w:val="en-US"/>
        </w:rPr>
        <w:t>Fortælling</w:t>
      </w:r>
      <w:proofErr w:type="spellEnd"/>
      <w:r w:rsidRPr="00B72B6C">
        <w:rPr>
          <w:i/>
          <w:lang w:val="en-US"/>
        </w:rPr>
        <w:t xml:space="preserve"> Om AMU: </w:t>
      </w:r>
      <w:proofErr w:type="spellStart"/>
      <w:r w:rsidRPr="00B72B6C">
        <w:rPr>
          <w:i/>
          <w:lang w:val="en-US"/>
        </w:rPr>
        <w:t>Arbejdsmarkedsuddannelserne</w:t>
      </w:r>
      <w:proofErr w:type="spellEnd"/>
      <w:r w:rsidRPr="00B72B6C">
        <w:rPr>
          <w:i/>
          <w:lang w:val="en-US"/>
        </w:rPr>
        <w:t xml:space="preserve"> i </w:t>
      </w:r>
      <w:proofErr w:type="spellStart"/>
      <w:r w:rsidRPr="00B72B6C">
        <w:rPr>
          <w:i/>
          <w:lang w:val="en-US"/>
        </w:rPr>
        <w:t>En</w:t>
      </w:r>
      <w:proofErr w:type="spellEnd"/>
      <w:r w:rsidRPr="00B72B6C">
        <w:rPr>
          <w:i/>
          <w:lang w:val="en-US"/>
        </w:rPr>
        <w:t xml:space="preserve"> </w:t>
      </w:r>
      <w:proofErr w:type="spellStart"/>
      <w:r w:rsidRPr="00B72B6C">
        <w:rPr>
          <w:i/>
          <w:lang w:val="en-US"/>
        </w:rPr>
        <w:t>Verden</w:t>
      </w:r>
      <w:proofErr w:type="spellEnd"/>
      <w:r w:rsidRPr="00B72B6C">
        <w:rPr>
          <w:i/>
          <w:lang w:val="en-US"/>
        </w:rPr>
        <w:t xml:space="preserve"> </w:t>
      </w:r>
      <w:proofErr w:type="spellStart"/>
      <w:r w:rsidRPr="00B72B6C">
        <w:rPr>
          <w:i/>
          <w:lang w:val="en-US"/>
        </w:rPr>
        <w:t>Af</w:t>
      </w:r>
      <w:proofErr w:type="spellEnd"/>
      <w:r w:rsidRPr="00B72B6C">
        <w:rPr>
          <w:i/>
          <w:lang w:val="en-US"/>
        </w:rPr>
        <w:t xml:space="preserve"> </w:t>
      </w:r>
      <w:proofErr w:type="spellStart"/>
      <w:r w:rsidRPr="00B72B6C">
        <w:rPr>
          <w:i/>
          <w:lang w:val="en-US"/>
        </w:rPr>
        <w:t>Forandring</w:t>
      </w:r>
      <w:proofErr w:type="spellEnd"/>
      <w:r w:rsidRPr="00B72B6C">
        <w:rPr>
          <w:lang w:val="en-US"/>
        </w:rPr>
        <w:t>. Aalborg University Press, Aalborg.</w:t>
      </w:r>
    </w:p>
    <w:p w14:paraId="1CDC691D" w14:textId="77777777" w:rsidR="00DF4D03" w:rsidRPr="00B72B6C" w:rsidRDefault="00FF24AB" w:rsidP="00DF4D03">
      <w:pPr>
        <w:rPr>
          <w:lang w:val="en-US"/>
        </w:rPr>
      </w:pPr>
      <w:r w:rsidRPr="00B72B6C">
        <w:rPr>
          <w:lang w:val="en-US"/>
        </w:rPr>
        <w:t xml:space="preserve">Peteraf, M. A. (1993). The cornerstones of competitive advantage: A resource-based view. </w:t>
      </w:r>
      <w:r w:rsidRPr="00B72B6C">
        <w:rPr>
          <w:i/>
          <w:lang w:val="en-US"/>
        </w:rPr>
        <w:t>Strategic Management Journal</w:t>
      </w:r>
      <w:r w:rsidRPr="00B72B6C">
        <w:rPr>
          <w:lang w:val="en-US"/>
        </w:rPr>
        <w:t>, 14(3):179–191.</w:t>
      </w:r>
    </w:p>
    <w:p w14:paraId="56AC9C3E" w14:textId="337E2332" w:rsidR="00DF4D03" w:rsidRPr="00B72B6C" w:rsidRDefault="00FF24AB" w:rsidP="00DF4D03">
      <w:pPr>
        <w:rPr>
          <w:lang w:val="en-US"/>
        </w:rPr>
      </w:pPr>
      <w:r w:rsidRPr="00B72B6C">
        <w:rPr>
          <w:lang w:val="en-US"/>
        </w:rPr>
        <w:t>Schubert, T.</w:t>
      </w:r>
      <w:r w:rsidR="00B97819" w:rsidRPr="00B72B6C">
        <w:rPr>
          <w:lang w:val="en-US"/>
        </w:rPr>
        <w:t>,</w:t>
      </w:r>
      <w:r w:rsidRPr="00B72B6C">
        <w:rPr>
          <w:lang w:val="en-US"/>
        </w:rPr>
        <w:t xml:space="preserve"> and Tavassoli, S. (2020). Product Innovation and Educational Diversity in Top and Middle Management Teams. </w:t>
      </w:r>
      <w:r w:rsidRPr="00B72B6C">
        <w:rPr>
          <w:i/>
          <w:lang w:val="en-US"/>
        </w:rPr>
        <w:t>Academy of Management Journal</w:t>
      </w:r>
      <w:r w:rsidRPr="00B72B6C">
        <w:rPr>
          <w:lang w:val="en-US"/>
        </w:rPr>
        <w:t>, 63(1):272–294.</w:t>
      </w:r>
    </w:p>
    <w:p w14:paraId="36F2C98B" w14:textId="77777777" w:rsidR="00DF4D03" w:rsidRPr="00B72B6C" w:rsidRDefault="00FF24AB" w:rsidP="00DF4D03">
      <w:pPr>
        <w:rPr>
          <w:lang w:val="en-US"/>
        </w:rPr>
      </w:pPr>
      <w:r w:rsidRPr="00B72B6C">
        <w:rPr>
          <w:lang w:val="en-US"/>
        </w:rPr>
        <w:t xml:space="preserve">Shue, K. (2013). Executive networks and firm policies: Evidence from the random assignment of MBA peers. </w:t>
      </w:r>
      <w:r w:rsidRPr="00B72B6C">
        <w:rPr>
          <w:i/>
          <w:lang w:val="en-US"/>
        </w:rPr>
        <w:t>Review of Financial Studies</w:t>
      </w:r>
      <w:r w:rsidRPr="00B72B6C">
        <w:rPr>
          <w:lang w:val="en-US"/>
        </w:rPr>
        <w:t>, 26(6):1401–1442.</w:t>
      </w:r>
    </w:p>
    <w:p w14:paraId="1B2ABD3A" w14:textId="77777777" w:rsidR="00DF4D03" w:rsidRPr="00B72B6C" w:rsidRDefault="00FF24AB" w:rsidP="00DF4D03">
      <w:pPr>
        <w:rPr>
          <w:lang w:val="en-US"/>
        </w:rPr>
      </w:pPr>
      <w:r w:rsidRPr="00B72B6C">
        <w:rPr>
          <w:lang w:val="en-US"/>
        </w:rPr>
        <w:t xml:space="preserve">Statistics Denmark (2016). </w:t>
      </w:r>
      <w:proofErr w:type="spellStart"/>
      <w:r w:rsidRPr="00B72B6C">
        <w:rPr>
          <w:lang w:val="en-US"/>
        </w:rPr>
        <w:t>Pendlingsomr</w:t>
      </w:r>
      <w:r w:rsidR="00DF4D03" w:rsidRPr="00B72B6C">
        <w:rPr>
          <w:lang w:val="en-US"/>
        </w:rPr>
        <w:t>å</w:t>
      </w:r>
      <w:r w:rsidRPr="00B72B6C">
        <w:rPr>
          <w:lang w:val="en-US"/>
        </w:rPr>
        <w:t>der</w:t>
      </w:r>
      <w:proofErr w:type="spellEnd"/>
      <w:r w:rsidRPr="00B72B6C">
        <w:rPr>
          <w:lang w:val="en-US"/>
        </w:rPr>
        <w:t xml:space="preserve"> – </w:t>
      </w:r>
      <w:proofErr w:type="spellStart"/>
      <w:r w:rsidRPr="00B72B6C">
        <w:rPr>
          <w:lang w:val="en-US"/>
        </w:rPr>
        <w:t>metode</w:t>
      </w:r>
      <w:proofErr w:type="spellEnd"/>
      <w:r w:rsidRPr="00B72B6C">
        <w:rPr>
          <w:lang w:val="en-US"/>
        </w:rPr>
        <w:t xml:space="preserve">. </w:t>
      </w:r>
      <w:r w:rsidRPr="00B72B6C">
        <w:rPr>
          <w:i/>
          <w:lang w:val="en-US"/>
        </w:rPr>
        <w:t xml:space="preserve">Metode </w:t>
      </w:r>
      <w:proofErr w:type="spellStart"/>
      <w:r w:rsidRPr="00B72B6C">
        <w:rPr>
          <w:i/>
          <w:lang w:val="en-US"/>
        </w:rPr>
        <w:t>Papir</w:t>
      </w:r>
      <w:proofErr w:type="spellEnd"/>
      <w:r w:rsidRPr="00B72B6C">
        <w:rPr>
          <w:i/>
          <w:lang w:val="en-US"/>
        </w:rPr>
        <w:t xml:space="preserve"> </w:t>
      </w:r>
      <w:proofErr w:type="spellStart"/>
      <w:r w:rsidRPr="00B72B6C">
        <w:rPr>
          <w:i/>
          <w:lang w:val="en-US"/>
        </w:rPr>
        <w:t>af</w:t>
      </w:r>
      <w:proofErr w:type="spellEnd"/>
      <w:r w:rsidRPr="00B72B6C">
        <w:rPr>
          <w:i/>
          <w:lang w:val="en-US"/>
        </w:rPr>
        <w:t xml:space="preserve"> 22. November 2016</w:t>
      </w:r>
      <w:r w:rsidRPr="00B72B6C">
        <w:rPr>
          <w:lang w:val="en-US"/>
        </w:rPr>
        <w:t>.</w:t>
      </w:r>
    </w:p>
    <w:p w14:paraId="4559470C" w14:textId="77777777" w:rsidR="00DF4D03" w:rsidRPr="00B72B6C" w:rsidRDefault="00FF24AB" w:rsidP="00DF4D03">
      <w:pPr>
        <w:rPr>
          <w:lang w:val="en-US"/>
        </w:rPr>
      </w:pPr>
      <w:r w:rsidRPr="00B72B6C">
        <w:rPr>
          <w:lang w:val="en-US"/>
        </w:rPr>
        <w:t xml:space="preserve">Teece, D. J. (2007). Explicating dynamic capabilities: The nature and </w:t>
      </w:r>
      <w:proofErr w:type="spellStart"/>
      <w:r w:rsidRPr="00B72B6C">
        <w:rPr>
          <w:lang w:val="en-US"/>
        </w:rPr>
        <w:t>microfoundations</w:t>
      </w:r>
      <w:proofErr w:type="spellEnd"/>
      <w:r w:rsidRPr="00B72B6C">
        <w:rPr>
          <w:lang w:val="en-US"/>
        </w:rPr>
        <w:t xml:space="preserve"> of (sustainable) enterprise performance. </w:t>
      </w:r>
      <w:r w:rsidRPr="00B72B6C">
        <w:rPr>
          <w:i/>
          <w:lang w:val="en-US"/>
        </w:rPr>
        <w:t>Strategic Management Journal</w:t>
      </w:r>
      <w:r w:rsidRPr="00B72B6C">
        <w:rPr>
          <w:lang w:val="en-US"/>
        </w:rPr>
        <w:t>, 28(13):1319–1350.</w:t>
      </w:r>
    </w:p>
    <w:p w14:paraId="0D075E9F" w14:textId="6FBFDD25" w:rsidR="00DF4D03" w:rsidRPr="00B72B6C" w:rsidRDefault="00FF24AB" w:rsidP="00DF4D03">
      <w:pPr>
        <w:rPr>
          <w:lang w:val="en-US"/>
        </w:rPr>
      </w:pPr>
      <w:r w:rsidRPr="00B72B6C">
        <w:rPr>
          <w:lang w:val="en-US"/>
        </w:rPr>
        <w:t>Teece, D. J. (2010). Technological Innovation and The Theory of The Firm: The Role of Enterprise</w:t>
      </w:r>
      <w:r w:rsidR="002A4053" w:rsidRPr="00B343F8">
        <w:rPr>
          <w:lang w:val="en-US"/>
        </w:rPr>
        <w:t xml:space="preserve"> </w:t>
      </w:r>
      <w:r w:rsidRPr="00B72B6C">
        <w:rPr>
          <w:lang w:val="en-US"/>
        </w:rPr>
        <w:t xml:space="preserve">Level Knowledge, Complementarities, and (Dynamic Capabilities). In </w:t>
      </w:r>
      <w:r w:rsidRPr="00B72B6C">
        <w:rPr>
          <w:i/>
          <w:lang w:val="en-US"/>
        </w:rPr>
        <w:t>Handbook of the Economics of Innovation</w:t>
      </w:r>
      <w:r w:rsidRPr="00B72B6C">
        <w:rPr>
          <w:lang w:val="en-US"/>
        </w:rPr>
        <w:t xml:space="preserve">, volume 1 of </w:t>
      </w:r>
      <w:r w:rsidRPr="00B72B6C">
        <w:rPr>
          <w:i/>
          <w:lang w:val="en-US"/>
        </w:rPr>
        <w:t>Handbooks in Economics</w:t>
      </w:r>
      <w:r w:rsidRPr="00B72B6C">
        <w:rPr>
          <w:lang w:val="en-US"/>
        </w:rPr>
        <w:t>, pages 679–730. Elsevier B.V.</w:t>
      </w:r>
    </w:p>
    <w:p w14:paraId="6EC5A345" w14:textId="77777777" w:rsidR="00DF4D03" w:rsidRPr="00B72B6C" w:rsidRDefault="00FF24AB" w:rsidP="00DF4D03">
      <w:pPr>
        <w:rPr>
          <w:lang w:val="en-US"/>
        </w:rPr>
      </w:pPr>
      <w:r w:rsidRPr="00B72B6C">
        <w:rPr>
          <w:lang w:val="en-US"/>
        </w:rPr>
        <w:t xml:space="preserve">Teece, D. J. (2017). Towards a capability theory of (innovating) firms: Implications for management and policy. </w:t>
      </w:r>
      <w:r w:rsidRPr="00B72B6C">
        <w:rPr>
          <w:i/>
          <w:lang w:val="en-US"/>
        </w:rPr>
        <w:t>Cambridge Journal of Economics</w:t>
      </w:r>
      <w:r w:rsidRPr="00B72B6C">
        <w:rPr>
          <w:lang w:val="en-US"/>
        </w:rPr>
        <w:t>, 41(3):693–720.</w:t>
      </w:r>
    </w:p>
    <w:p w14:paraId="2F158009" w14:textId="77777777" w:rsidR="00DF4D03" w:rsidRPr="00B72B6C" w:rsidRDefault="00FF24AB" w:rsidP="00DF4D03">
      <w:pPr>
        <w:rPr>
          <w:lang w:val="en-US"/>
        </w:rPr>
      </w:pPr>
      <w:r w:rsidRPr="00B72B6C">
        <w:rPr>
          <w:lang w:val="en-US"/>
        </w:rPr>
        <w:t xml:space="preserve">Teece, D. J., Pisano, G., and </w:t>
      </w:r>
      <w:proofErr w:type="spellStart"/>
      <w:r w:rsidRPr="00B72B6C">
        <w:rPr>
          <w:lang w:val="en-US"/>
        </w:rPr>
        <w:t>Shuen</w:t>
      </w:r>
      <w:proofErr w:type="spellEnd"/>
      <w:r w:rsidRPr="00B72B6C">
        <w:rPr>
          <w:lang w:val="en-US"/>
        </w:rPr>
        <w:t>, A. (1997). Dynamic Capabilities and Strategic Management.</w:t>
      </w:r>
      <w:r w:rsidR="00DF4D03" w:rsidRPr="00B72B6C">
        <w:rPr>
          <w:lang w:val="en-US"/>
        </w:rPr>
        <w:t xml:space="preserve"> </w:t>
      </w:r>
      <w:r w:rsidRPr="00B72B6C">
        <w:rPr>
          <w:i/>
          <w:lang w:val="en-US"/>
        </w:rPr>
        <w:t>Strategic Management Journal</w:t>
      </w:r>
      <w:r w:rsidRPr="00B72B6C">
        <w:rPr>
          <w:lang w:val="en-US"/>
        </w:rPr>
        <w:t>, 18(7):509–533.</w:t>
      </w:r>
    </w:p>
    <w:p w14:paraId="66DD9762" w14:textId="77777777" w:rsidR="00DF4D03" w:rsidRPr="00B72B6C" w:rsidRDefault="00FF24AB" w:rsidP="00DF4D03">
      <w:pPr>
        <w:rPr>
          <w:lang w:val="en-US"/>
        </w:rPr>
      </w:pPr>
      <w:r w:rsidRPr="00B72B6C">
        <w:rPr>
          <w:lang w:val="en-US"/>
        </w:rPr>
        <w:t xml:space="preserve">Undervisningsministeriet (2010). </w:t>
      </w:r>
      <w:r w:rsidRPr="00B72B6C">
        <w:rPr>
          <w:i/>
          <w:lang w:val="en-US"/>
        </w:rPr>
        <w:t xml:space="preserve">AMU 50 </w:t>
      </w:r>
      <w:proofErr w:type="spellStart"/>
      <w:r w:rsidR="00DF4D03" w:rsidRPr="00B72B6C">
        <w:rPr>
          <w:i/>
          <w:lang w:val="en-US"/>
        </w:rPr>
        <w:t>Å</w:t>
      </w:r>
      <w:r w:rsidRPr="00B72B6C">
        <w:rPr>
          <w:i/>
          <w:lang w:val="en-US"/>
        </w:rPr>
        <w:t>r</w:t>
      </w:r>
      <w:proofErr w:type="spellEnd"/>
      <w:r w:rsidRPr="00B72B6C">
        <w:rPr>
          <w:i/>
          <w:lang w:val="en-US"/>
        </w:rPr>
        <w:t xml:space="preserve"> </w:t>
      </w:r>
      <w:proofErr w:type="spellStart"/>
      <w:r w:rsidRPr="00B72B6C">
        <w:rPr>
          <w:i/>
          <w:lang w:val="en-US"/>
        </w:rPr>
        <w:t>Jubilæum</w:t>
      </w:r>
      <w:proofErr w:type="spellEnd"/>
      <w:r w:rsidRPr="00B72B6C">
        <w:rPr>
          <w:lang w:val="en-US"/>
        </w:rPr>
        <w:t>.</w:t>
      </w:r>
      <w:r w:rsidR="00DF4D03" w:rsidRPr="00B72B6C">
        <w:rPr>
          <w:lang w:val="en-US"/>
        </w:rPr>
        <w:t xml:space="preserve"> </w:t>
      </w:r>
    </w:p>
    <w:p w14:paraId="5E057AB1" w14:textId="77777777" w:rsidR="00DF4D03" w:rsidRPr="00B72B6C" w:rsidRDefault="00FF24AB" w:rsidP="00DF4D03">
      <w:pPr>
        <w:rPr>
          <w:lang w:val="en-US"/>
        </w:rPr>
      </w:pPr>
      <w:r w:rsidRPr="00B72B6C">
        <w:rPr>
          <w:lang w:val="en-US"/>
        </w:rPr>
        <w:t xml:space="preserve">Voxsted, S. (1998). </w:t>
      </w:r>
      <w:proofErr w:type="spellStart"/>
      <w:r w:rsidRPr="00B72B6C">
        <w:rPr>
          <w:lang w:val="en-US"/>
        </w:rPr>
        <w:t>Efteruddannelses-systemets</w:t>
      </w:r>
      <w:proofErr w:type="spellEnd"/>
      <w:r w:rsidRPr="00B72B6C">
        <w:rPr>
          <w:lang w:val="en-US"/>
        </w:rPr>
        <w:t xml:space="preserve"> Rolle og </w:t>
      </w:r>
      <w:proofErr w:type="spellStart"/>
      <w:r w:rsidRPr="00B72B6C">
        <w:rPr>
          <w:lang w:val="en-US"/>
        </w:rPr>
        <w:t>Muligheder</w:t>
      </w:r>
      <w:proofErr w:type="spellEnd"/>
      <w:r w:rsidRPr="00B72B6C">
        <w:rPr>
          <w:lang w:val="en-US"/>
        </w:rPr>
        <w:t xml:space="preserve"> i Det Danske </w:t>
      </w:r>
      <w:proofErr w:type="spellStart"/>
      <w:r w:rsidRPr="00B72B6C">
        <w:rPr>
          <w:lang w:val="en-US"/>
        </w:rPr>
        <w:t>Innovationssystem</w:t>
      </w:r>
      <w:proofErr w:type="spellEnd"/>
      <w:r w:rsidRPr="00B72B6C">
        <w:rPr>
          <w:lang w:val="en-US"/>
        </w:rPr>
        <w:t xml:space="preserve">. </w:t>
      </w:r>
      <w:proofErr w:type="spellStart"/>
      <w:r w:rsidRPr="00B72B6C">
        <w:rPr>
          <w:i/>
          <w:lang w:val="en-US"/>
        </w:rPr>
        <w:t>Notat</w:t>
      </w:r>
      <w:proofErr w:type="spellEnd"/>
      <w:r w:rsidRPr="00B72B6C">
        <w:rPr>
          <w:i/>
          <w:lang w:val="en-US"/>
        </w:rPr>
        <w:t xml:space="preserve">, </w:t>
      </w:r>
      <w:proofErr w:type="spellStart"/>
      <w:r w:rsidRPr="00B72B6C">
        <w:rPr>
          <w:i/>
          <w:lang w:val="en-US"/>
        </w:rPr>
        <w:t>Erhvervsudviklingsr</w:t>
      </w:r>
      <w:r w:rsidR="00DF4D03" w:rsidRPr="00B72B6C">
        <w:rPr>
          <w:lang w:val="en-US"/>
        </w:rPr>
        <w:t>å</w:t>
      </w:r>
      <w:r w:rsidRPr="00B72B6C">
        <w:rPr>
          <w:i/>
          <w:lang w:val="en-US"/>
        </w:rPr>
        <w:t>det</w:t>
      </w:r>
      <w:proofErr w:type="spellEnd"/>
      <w:r w:rsidRPr="00B72B6C">
        <w:rPr>
          <w:i/>
          <w:lang w:val="en-US"/>
        </w:rPr>
        <w:t>, DISKO-</w:t>
      </w:r>
      <w:proofErr w:type="spellStart"/>
      <w:r w:rsidRPr="00B72B6C">
        <w:rPr>
          <w:i/>
          <w:lang w:val="en-US"/>
        </w:rPr>
        <w:t>Projektet</w:t>
      </w:r>
      <w:proofErr w:type="spellEnd"/>
      <w:r w:rsidRPr="00B72B6C">
        <w:rPr>
          <w:i/>
          <w:lang w:val="en-US"/>
        </w:rPr>
        <w:t>: Rapport Nr. 3</w:t>
      </w:r>
      <w:r w:rsidRPr="00B72B6C">
        <w:rPr>
          <w:lang w:val="en-US"/>
        </w:rPr>
        <w:t>.</w:t>
      </w:r>
    </w:p>
    <w:p w14:paraId="2DDD490A" w14:textId="77777777" w:rsidR="005F47DA" w:rsidRPr="00B343F8" w:rsidRDefault="00FF24AB" w:rsidP="00DF4D03">
      <w:pPr>
        <w:rPr>
          <w:lang w:val="en-US"/>
        </w:rPr>
      </w:pPr>
      <w:r w:rsidRPr="00B72B6C">
        <w:rPr>
          <w:lang w:val="en-US"/>
        </w:rPr>
        <w:lastRenderedPageBreak/>
        <w:t>Winter, S. G. (2003).</w:t>
      </w:r>
      <w:r w:rsidR="003460CF" w:rsidRPr="00B72B6C">
        <w:rPr>
          <w:lang w:val="en-US"/>
        </w:rPr>
        <w:t xml:space="preserve">  </w:t>
      </w:r>
      <w:r w:rsidRPr="00B72B6C">
        <w:rPr>
          <w:lang w:val="en-US"/>
        </w:rPr>
        <w:t>Understanding dynamic capabilities.</w:t>
      </w:r>
      <w:r w:rsidR="003460CF" w:rsidRPr="00B72B6C">
        <w:rPr>
          <w:lang w:val="en-US"/>
        </w:rPr>
        <w:t xml:space="preserve"> </w:t>
      </w:r>
      <w:r w:rsidRPr="00B72B6C">
        <w:rPr>
          <w:i/>
          <w:lang w:val="en-US"/>
        </w:rPr>
        <w:t>Strategic Management Journal</w:t>
      </w:r>
      <w:r w:rsidRPr="00B72B6C">
        <w:rPr>
          <w:lang w:val="en-US"/>
        </w:rPr>
        <w:t>,</w:t>
      </w:r>
      <w:r w:rsidR="003460CF" w:rsidRPr="00B72B6C">
        <w:rPr>
          <w:lang w:val="en-US"/>
        </w:rPr>
        <w:t xml:space="preserve"> </w:t>
      </w:r>
      <w:r w:rsidRPr="00B72B6C">
        <w:rPr>
          <w:lang w:val="en-US"/>
        </w:rPr>
        <w:t>24(10):991–995.</w:t>
      </w:r>
    </w:p>
    <w:p w14:paraId="501E1DE4" w14:textId="0249DFDE" w:rsidR="005F47DA" w:rsidRPr="00B72B6C" w:rsidRDefault="005F47DA" w:rsidP="005F47DA">
      <w:pPr>
        <w:spacing w:after="0" w:line="480" w:lineRule="auto"/>
        <w:ind w:left="480" w:hanging="480"/>
        <w:jc w:val="left"/>
        <w:rPr>
          <w:rFonts w:ascii="Times New Roman" w:eastAsia="Times New Roman" w:hAnsi="Times New Roman" w:cs="Times New Roman"/>
          <w:color w:val="auto"/>
          <w:sz w:val="24"/>
          <w:lang w:val="en-US"/>
        </w:rPr>
      </w:pPr>
      <w:r w:rsidRPr="00B72B6C">
        <w:rPr>
          <w:rFonts w:ascii="Times New Roman" w:eastAsia="Times New Roman" w:hAnsi="Times New Roman" w:cs="Times New Roman"/>
          <w:color w:val="auto"/>
          <w:sz w:val="24"/>
          <w:lang w:val="en-US"/>
        </w:rPr>
        <w:t xml:space="preserve">Wooldridge, J. M. (2010). </w:t>
      </w:r>
      <w:r w:rsidRPr="00B72B6C">
        <w:rPr>
          <w:rFonts w:ascii="Times New Roman" w:eastAsia="Times New Roman" w:hAnsi="Times New Roman" w:cs="Times New Roman"/>
          <w:i/>
          <w:iCs/>
          <w:color w:val="auto"/>
          <w:sz w:val="24"/>
          <w:lang w:val="en-US"/>
        </w:rPr>
        <w:t>Econometric Analysis of Cross Section and Panel Data</w:t>
      </w:r>
      <w:r w:rsidRPr="00B72B6C">
        <w:rPr>
          <w:rFonts w:ascii="Times New Roman" w:eastAsia="Times New Roman" w:hAnsi="Times New Roman" w:cs="Times New Roman"/>
          <w:color w:val="auto"/>
          <w:sz w:val="24"/>
          <w:lang w:val="en-US"/>
        </w:rPr>
        <w:t xml:space="preserve"> (</w:t>
      </w:r>
      <w:r w:rsidR="002D51B8" w:rsidRPr="00B72B6C">
        <w:rPr>
          <w:rFonts w:ascii="Times New Roman" w:eastAsia="Times New Roman" w:hAnsi="Times New Roman" w:cs="Times New Roman"/>
          <w:color w:val="auto"/>
          <w:sz w:val="24"/>
          <w:lang w:val="en-US"/>
        </w:rPr>
        <w:t>2nd</w:t>
      </w:r>
      <w:r w:rsidRPr="00B72B6C">
        <w:rPr>
          <w:rFonts w:ascii="Times New Roman" w:eastAsia="Times New Roman" w:hAnsi="Times New Roman" w:cs="Times New Roman"/>
          <w:color w:val="auto"/>
          <w:sz w:val="24"/>
          <w:lang w:val="en-US"/>
        </w:rPr>
        <w:t xml:space="preserve"> ed.). MIT Press.</w:t>
      </w:r>
    </w:p>
    <w:p w14:paraId="1B0EECBE" w14:textId="77777777" w:rsidR="00CD19C2" w:rsidRPr="00160986" w:rsidRDefault="00CD19C2" w:rsidP="00DF4D03">
      <w:pPr>
        <w:rPr>
          <w:lang w:val="en-US"/>
        </w:rPr>
      </w:pPr>
    </w:p>
    <w:p w14:paraId="3837B020" w14:textId="0B2B66AF" w:rsidR="00593CF7" w:rsidRPr="00B72B6C" w:rsidRDefault="00FF24AB" w:rsidP="00DF4D03">
      <w:pPr>
        <w:rPr>
          <w:lang w:val="en-US"/>
        </w:rPr>
      </w:pPr>
      <w:r w:rsidRPr="00073C14">
        <w:rPr>
          <w:lang w:val="en-US"/>
        </w:rPr>
        <w:br w:type="page"/>
      </w:r>
    </w:p>
    <w:p w14:paraId="4B6C8607" w14:textId="367DD7EB" w:rsidR="00593CF7" w:rsidRPr="00B72B6C" w:rsidRDefault="002D7D09">
      <w:pPr>
        <w:spacing w:line="259" w:lineRule="auto"/>
        <w:ind w:left="3354" w:firstLine="0"/>
        <w:rPr>
          <w:lang w:val="en-US"/>
        </w:rPr>
      </w:pPr>
      <w:r w:rsidRPr="00B72B6C">
        <w:rPr>
          <w:lang w:val="en-US"/>
        </w:rPr>
        <w:lastRenderedPageBreak/>
        <w:t xml:space="preserve">Table </w:t>
      </w:r>
      <w:r w:rsidR="003B581B" w:rsidRPr="00B72B6C">
        <w:rPr>
          <w:lang w:val="en-US"/>
        </w:rPr>
        <w:t>1</w:t>
      </w:r>
      <w:r w:rsidR="00FF24AB" w:rsidRPr="00B72B6C">
        <w:rPr>
          <w:lang w:val="en-US"/>
        </w:rPr>
        <w:t>: OLS Reg</w:t>
      </w:r>
      <w:r w:rsidR="00DF4D03" w:rsidRPr="00B72B6C">
        <w:rPr>
          <w:lang w:val="en-US"/>
        </w:rPr>
        <w:t>ression</w:t>
      </w:r>
      <w:r w:rsidR="00FF24AB" w:rsidRPr="00B72B6C">
        <w:rPr>
          <w:lang w:val="en-US"/>
        </w:rPr>
        <w:t xml:space="preserve"> </w:t>
      </w:r>
      <w:r w:rsidRPr="00B72B6C">
        <w:rPr>
          <w:lang w:val="en-US"/>
        </w:rPr>
        <w:t xml:space="preserve">of Innovation outcomes on </w:t>
      </w:r>
      <w:r w:rsidR="00826CE2" w:rsidRPr="00B72B6C">
        <w:rPr>
          <w:lang w:val="en-US"/>
        </w:rPr>
        <w:t xml:space="preserve">having former tertiary CE participants among employees. </w:t>
      </w:r>
    </w:p>
    <w:tbl>
      <w:tblPr>
        <w:tblW w:w="10348" w:type="dxa"/>
        <w:tblLook w:val="04A0" w:firstRow="1" w:lastRow="0" w:firstColumn="1" w:lastColumn="0" w:noHBand="0" w:noVBand="1"/>
      </w:tblPr>
      <w:tblGrid>
        <w:gridCol w:w="2268"/>
        <w:gridCol w:w="942"/>
        <w:gridCol w:w="1197"/>
        <w:gridCol w:w="923"/>
        <w:gridCol w:w="1197"/>
        <w:gridCol w:w="986"/>
        <w:gridCol w:w="992"/>
        <w:gridCol w:w="866"/>
        <w:gridCol w:w="977"/>
      </w:tblGrid>
      <w:tr w:rsidR="004A3136" w:rsidRPr="00B72B6C" w14:paraId="4097FECA" w14:textId="77777777" w:rsidTr="00FF711A">
        <w:trPr>
          <w:trHeight w:val="320"/>
        </w:trPr>
        <w:tc>
          <w:tcPr>
            <w:tcW w:w="2268" w:type="dxa"/>
            <w:tcBorders>
              <w:top w:val="single" w:sz="4" w:space="0" w:color="auto"/>
              <w:left w:val="nil"/>
              <w:bottom w:val="nil"/>
              <w:right w:val="nil"/>
            </w:tcBorders>
            <w:shd w:val="clear" w:color="auto" w:fill="auto"/>
            <w:noWrap/>
            <w:vAlign w:val="bottom"/>
            <w:hideMark/>
          </w:tcPr>
          <w:p w14:paraId="0B4069D0" w14:textId="77777777" w:rsidR="004A3136" w:rsidRPr="00B72B6C" w:rsidRDefault="004A3136" w:rsidP="004A3136">
            <w:pPr>
              <w:spacing w:after="0" w:line="240" w:lineRule="auto"/>
              <w:ind w:left="0" w:firstLine="0"/>
              <w:jc w:val="left"/>
              <w:rPr>
                <w:rFonts w:ascii="Times New Roman" w:eastAsia="Times New Roman" w:hAnsi="Times New Roman" w:cs="Times New Roman"/>
                <w:color w:val="auto"/>
                <w:sz w:val="20"/>
                <w:lang w:val="en-US"/>
              </w:rPr>
            </w:pPr>
          </w:p>
        </w:tc>
        <w:tc>
          <w:tcPr>
            <w:tcW w:w="4259" w:type="dxa"/>
            <w:gridSpan w:val="4"/>
            <w:tcBorders>
              <w:top w:val="single" w:sz="4" w:space="0" w:color="auto"/>
              <w:left w:val="nil"/>
              <w:bottom w:val="nil"/>
              <w:right w:val="nil"/>
            </w:tcBorders>
            <w:shd w:val="clear" w:color="auto" w:fill="auto"/>
            <w:noWrap/>
            <w:vAlign w:val="bottom"/>
            <w:hideMark/>
          </w:tcPr>
          <w:p w14:paraId="412806BC" w14:textId="77777777" w:rsidR="004A3136" w:rsidRPr="00B72B6C" w:rsidRDefault="004A3136" w:rsidP="004A3136">
            <w:pPr>
              <w:spacing w:after="0" w:line="240" w:lineRule="auto"/>
              <w:ind w:left="0" w:firstLine="0"/>
              <w:jc w:val="center"/>
              <w:rPr>
                <w:rFonts w:ascii="Times New Roman" w:eastAsia="Times New Roman" w:hAnsi="Times New Roman" w:cs="Times New Roman"/>
                <w:szCs w:val="22"/>
                <w:lang w:val="en-US"/>
              </w:rPr>
            </w:pPr>
            <w:r w:rsidRPr="00B72B6C">
              <w:rPr>
                <w:rFonts w:ascii="Times New Roman" w:eastAsia="Times New Roman" w:hAnsi="Times New Roman" w:cs="Times New Roman"/>
                <w:szCs w:val="22"/>
                <w:lang w:val="en-US"/>
              </w:rPr>
              <w:t>Product Innovation</w:t>
            </w:r>
          </w:p>
        </w:tc>
        <w:tc>
          <w:tcPr>
            <w:tcW w:w="3821" w:type="dxa"/>
            <w:gridSpan w:val="4"/>
            <w:tcBorders>
              <w:top w:val="single" w:sz="4" w:space="0" w:color="auto"/>
              <w:left w:val="nil"/>
              <w:bottom w:val="nil"/>
              <w:right w:val="nil"/>
            </w:tcBorders>
            <w:shd w:val="clear" w:color="auto" w:fill="auto"/>
            <w:noWrap/>
            <w:vAlign w:val="bottom"/>
            <w:hideMark/>
          </w:tcPr>
          <w:p w14:paraId="379740A6" w14:textId="77777777" w:rsidR="004A3136" w:rsidRPr="00B72B6C" w:rsidRDefault="004A3136" w:rsidP="004A3136">
            <w:pPr>
              <w:spacing w:after="0" w:line="240" w:lineRule="auto"/>
              <w:ind w:left="0" w:firstLine="0"/>
              <w:jc w:val="center"/>
              <w:rPr>
                <w:rFonts w:ascii="Times New Roman" w:eastAsia="Times New Roman" w:hAnsi="Times New Roman" w:cs="Times New Roman"/>
                <w:szCs w:val="22"/>
                <w:lang w:val="en-US"/>
              </w:rPr>
            </w:pPr>
            <w:r w:rsidRPr="00B72B6C">
              <w:rPr>
                <w:rFonts w:ascii="Times New Roman" w:eastAsia="Times New Roman" w:hAnsi="Times New Roman" w:cs="Times New Roman"/>
                <w:szCs w:val="22"/>
                <w:lang w:val="en-US"/>
              </w:rPr>
              <w:t>Process Innovation</w:t>
            </w:r>
          </w:p>
        </w:tc>
      </w:tr>
      <w:tr w:rsidR="00FF711A" w:rsidRPr="00B72B6C" w14:paraId="14D19165" w14:textId="77777777" w:rsidTr="00FF711A">
        <w:trPr>
          <w:trHeight w:val="300"/>
        </w:trPr>
        <w:tc>
          <w:tcPr>
            <w:tcW w:w="2268" w:type="dxa"/>
            <w:tcBorders>
              <w:top w:val="nil"/>
              <w:left w:val="nil"/>
              <w:bottom w:val="single" w:sz="4" w:space="0" w:color="auto"/>
              <w:right w:val="nil"/>
            </w:tcBorders>
            <w:shd w:val="clear" w:color="auto" w:fill="auto"/>
            <w:noWrap/>
            <w:vAlign w:val="bottom"/>
            <w:hideMark/>
          </w:tcPr>
          <w:p w14:paraId="22166719"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942" w:type="dxa"/>
            <w:tcBorders>
              <w:top w:val="nil"/>
              <w:left w:val="nil"/>
              <w:bottom w:val="single" w:sz="4" w:space="0" w:color="auto"/>
              <w:right w:val="nil"/>
            </w:tcBorders>
            <w:shd w:val="clear" w:color="auto" w:fill="auto"/>
            <w:noWrap/>
            <w:vAlign w:val="bottom"/>
            <w:hideMark/>
          </w:tcPr>
          <w:p w14:paraId="507DEA25"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w:t>
            </w:r>
          </w:p>
        </w:tc>
        <w:tc>
          <w:tcPr>
            <w:tcW w:w="1197" w:type="dxa"/>
            <w:tcBorders>
              <w:top w:val="nil"/>
              <w:left w:val="nil"/>
              <w:bottom w:val="single" w:sz="4" w:space="0" w:color="auto"/>
              <w:right w:val="nil"/>
            </w:tcBorders>
            <w:shd w:val="clear" w:color="auto" w:fill="auto"/>
            <w:noWrap/>
            <w:vAlign w:val="bottom"/>
            <w:hideMark/>
          </w:tcPr>
          <w:p w14:paraId="098C72E6"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(2)</w:t>
            </w:r>
          </w:p>
        </w:tc>
        <w:tc>
          <w:tcPr>
            <w:tcW w:w="923" w:type="dxa"/>
            <w:tcBorders>
              <w:top w:val="nil"/>
              <w:left w:val="nil"/>
              <w:bottom w:val="single" w:sz="4" w:space="0" w:color="auto"/>
              <w:right w:val="nil"/>
            </w:tcBorders>
            <w:shd w:val="clear" w:color="auto" w:fill="auto"/>
            <w:noWrap/>
            <w:vAlign w:val="bottom"/>
            <w:hideMark/>
          </w:tcPr>
          <w:p w14:paraId="6C2092C8"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w:t>
            </w:r>
          </w:p>
        </w:tc>
        <w:tc>
          <w:tcPr>
            <w:tcW w:w="1197" w:type="dxa"/>
            <w:tcBorders>
              <w:top w:val="nil"/>
              <w:left w:val="nil"/>
              <w:bottom w:val="single" w:sz="4" w:space="0" w:color="auto"/>
              <w:right w:val="nil"/>
            </w:tcBorders>
            <w:shd w:val="clear" w:color="auto" w:fill="auto"/>
            <w:noWrap/>
            <w:vAlign w:val="bottom"/>
            <w:hideMark/>
          </w:tcPr>
          <w:p w14:paraId="38ABE975"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(4)</w:t>
            </w:r>
          </w:p>
        </w:tc>
        <w:tc>
          <w:tcPr>
            <w:tcW w:w="986" w:type="dxa"/>
            <w:tcBorders>
              <w:top w:val="nil"/>
              <w:left w:val="nil"/>
              <w:bottom w:val="single" w:sz="4" w:space="0" w:color="auto"/>
              <w:right w:val="nil"/>
            </w:tcBorders>
            <w:shd w:val="clear" w:color="auto" w:fill="auto"/>
            <w:noWrap/>
            <w:vAlign w:val="bottom"/>
            <w:hideMark/>
          </w:tcPr>
          <w:p w14:paraId="36280F70"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(5)</w:t>
            </w:r>
          </w:p>
        </w:tc>
        <w:tc>
          <w:tcPr>
            <w:tcW w:w="992" w:type="dxa"/>
            <w:tcBorders>
              <w:top w:val="nil"/>
              <w:left w:val="nil"/>
              <w:bottom w:val="single" w:sz="4" w:space="0" w:color="auto"/>
              <w:right w:val="nil"/>
            </w:tcBorders>
            <w:shd w:val="clear" w:color="auto" w:fill="auto"/>
            <w:noWrap/>
            <w:vAlign w:val="bottom"/>
            <w:hideMark/>
          </w:tcPr>
          <w:p w14:paraId="39E4FEAD"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(6)</w:t>
            </w:r>
          </w:p>
        </w:tc>
        <w:tc>
          <w:tcPr>
            <w:tcW w:w="866" w:type="dxa"/>
            <w:tcBorders>
              <w:top w:val="nil"/>
              <w:left w:val="nil"/>
              <w:bottom w:val="single" w:sz="4" w:space="0" w:color="auto"/>
              <w:right w:val="nil"/>
            </w:tcBorders>
            <w:shd w:val="clear" w:color="auto" w:fill="auto"/>
            <w:noWrap/>
            <w:vAlign w:val="bottom"/>
            <w:hideMark/>
          </w:tcPr>
          <w:p w14:paraId="210AF529"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(7)</w:t>
            </w:r>
          </w:p>
        </w:tc>
        <w:tc>
          <w:tcPr>
            <w:tcW w:w="977" w:type="dxa"/>
            <w:tcBorders>
              <w:top w:val="nil"/>
              <w:left w:val="nil"/>
              <w:bottom w:val="single" w:sz="4" w:space="0" w:color="auto"/>
              <w:right w:val="nil"/>
            </w:tcBorders>
            <w:shd w:val="clear" w:color="auto" w:fill="auto"/>
            <w:noWrap/>
            <w:vAlign w:val="bottom"/>
            <w:hideMark/>
          </w:tcPr>
          <w:p w14:paraId="3C6BF638"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(8)</w:t>
            </w:r>
          </w:p>
        </w:tc>
      </w:tr>
      <w:tr w:rsidR="00FF711A" w:rsidRPr="00B72B6C" w14:paraId="292F366F" w14:textId="77777777" w:rsidTr="00FF711A">
        <w:trPr>
          <w:trHeight w:val="300"/>
        </w:trPr>
        <w:tc>
          <w:tcPr>
            <w:tcW w:w="2268" w:type="dxa"/>
            <w:tcBorders>
              <w:top w:val="nil"/>
              <w:left w:val="nil"/>
              <w:bottom w:val="nil"/>
              <w:right w:val="nil"/>
            </w:tcBorders>
            <w:shd w:val="clear" w:color="auto" w:fill="auto"/>
            <w:noWrap/>
            <w:vAlign w:val="bottom"/>
            <w:hideMark/>
          </w:tcPr>
          <w:p w14:paraId="46C39B5E"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Master (-2Y)</w:t>
            </w:r>
          </w:p>
        </w:tc>
        <w:tc>
          <w:tcPr>
            <w:tcW w:w="942" w:type="dxa"/>
            <w:tcBorders>
              <w:top w:val="nil"/>
              <w:left w:val="nil"/>
              <w:bottom w:val="nil"/>
              <w:right w:val="nil"/>
            </w:tcBorders>
            <w:shd w:val="clear" w:color="auto" w:fill="auto"/>
            <w:noWrap/>
            <w:vAlign w:val="bottom"/>
            <w:hideMark/>
          </w:tcPr>
          <w:p w14:paraId="592C5085"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.190***</w:t>
            </w:r>
          </w:p>
        </w:tc>
        <w:tc>
          <w:tcPr>
            <w:tcW w:w="1197" w:type="dxa"/>
            <w:tcBorders>
              <w:top w:val="nil"/>
              <w:left w:val="nil"/>
              <w:bottom w:val="nil"/>
              <w:right w:val="nil"/>
            </w:tcBorders>
            <w:shd w:val="clear" w:color="auto" w:fill="auto"/>
            <w:noWrap/>
            <w:vAlign w:val="bottom"/>
            <w:hideMark/>
          </w:tcPr>
          <w:p w14:paraId="1419E353"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.141***</w:t>
            </w:r>
          </w:p>
        </w:tc>
        <w:tc>
          <w:tcPr>
            <w:tcW w:w="923" w:type="dxa"/>
            <w:tcBorders>
              <w:top w:val="nil"/>
              <w:left w:val="nil"/>
              <w:bottom w:val="nil"/>
              <w:right w:val="nil"/>
            </w:tcBorders>
            <w:shd w:val="clear" w:color="auto" w:fill="auto"/>
            <w:noWrap/>
            <w:vAlign w:val="bottom"/>
            <w:hideMark/>
          </w:tcPr>
          <w:p w14:paraId="403294EF"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6F886DFC" w14:textId="77777777" w:rsidR="004A3136" w:rsidRPr="00B72B6C" w:rsidRDefault="004A3136" w:rsidP="004A3136">
            <w:pPr>
              <w:spacing w:after="0" w:line="240" w:lineRule="auto"/>
              <w:ind w:left="0" w:firstLine="0"/>
              <w:jc w:val="center"/>
              <w:rPr>
                <w:rFonts w:ascii="Times New Roman" w:eastAsia="Times New Roman" w:hAnsi="Times New Roman" w:cs="Times New Roman"/>
                <w:color w:val="auto"/>
                <w:sz w:val="16"/>
                <w:szCs w:val="16"/>
                <w:lang w:val="en-US"/>
              </w:rPr>
            </w:pPr>
          </w:p>
        </w:tc>
        <w:tc>
          <w:tcPr>
            <w:tcW w:w="986" w:type="dxa"/>
            <w:tcBorders>
              <w:top w:val="nil"/>
              <w:left w:val="nil"/>
              <w:bottom w:val="nil"/>
              <w:right w:val="nil"/>
            </w:tcBorders>
            <w:shd w:val="clear" w:color="auto" w:fill="auto"/>
            <w:noWrap/>
            <w:vAlign w:val="bottom"/>
            <w:hideMark/>
          </w:tcPr>
          <w:p w14:paraId="5FF06298"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.169***</w:t>
            </w:r>
          </w:p>
        </w:tc>
        <w:tc>
          <w:tcPr>
            <w:tcW w:w="992" w:type="dxa"/>
            <w:tcBorders>
              <w:top w:val="nil"/>
              <w:left w:val="nil"/>
              <w:bottom w:val="nil"/>
              <w:right w:val="nil"/>
            </w:tcBorders>
            <w:shd w:val="clear" w:color="auto" w:fill="auto"/>
            <w:noWrap/>
            <w:vAlign w:val="bottom"/>
            <w:hideMark/>
          </w:tcPr>
          <w:p w14:paraId="24033969"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.125***</w:t>
            </w:r>
          </w:p>
        </w:tc>
        <w:tc>
          <w:tcPr>
            <w:tcW w:w="866" w:type="dxa"/>
            <w:tcBorders>
              <w:top w:val="nil"/>
              <w:left w:val="nil"/>
              <w:bottom w:val="nil"/>
              <w:right w:val="nil"/>
            </w:tcBorders>
            <w:shd w:val="clear" w:color="auto" w:fill="auto"/>
            <w:noWrap/>
            <w:vAlign w:val="bottom"/>
            <w:hideMark/>
          </w:tcPr>
          <w:p w14:paraId="2ABE42F8"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77" w:type="dxa"/>
            <w:tcBorders>
              <w:top w:val="nil"/>
              <w:left w:val="nil"/>
              <w:bottom w:val="nil"/>
              <w:right w:val="nil"/>
            </w:tcBorders>
            <w:shd w:val="clear" w:color="auto" w:fill="auto"/>
            <w:noWrap/>
            <w:vAlign w:val="bottom"/>
            <w:hideMark/>
          </w:tcPr>
          <w:p w14:paraId="601BE50E" w14:textId="77777777" w:rsidR="004A3136" w:rsidRPr="00B72B6C" w:rsidRDefault="004A3136" w:rsidP="004A3136">
            <w:pPr>
              <w:spacing w:after="0" w:line="240" w:lineRule="auto"/>
              <w:ind w:left="0" w:firstLine="0"/>
              <w:jc w:val="center"/>
              <w:rPr>
                <w:rFonts w:ascii="Times New Roman" w:eastAsia="Times New Roman" w:hAnsi="Times New Roman" w:cs="Times New Roman"/>
                <w:color w:val="auto"/>
                <w:sz w:val="16"/>
                <w:szCs w:val="16"/>
                <w:lang w:val="en-US"/>
              </w:rPr>
            </w:pPr>
          </w:p>
        </w:tc>
      </w:tr>
      <w:tr w:rsidR="00FF711A" w:rsidRPr="00B72B6C" w14:paraId="1255DE90" w14:textId="77777777" w:rsidTr="00FF711A">
        <w:trPr>
          <w:trHeight w:val="300"/>
        </w:trPr>
        <w:tc>
          <w:tcPr>
            <w:tcW w:w="2268" w:type="dxa"/>
            <w:tcBorders>
              <w:top w:val="nil"/>
              <w:left w:val="nil"/>
              <w:bottom w:val="nil"/>
              <w:right w:val="nil"/>
            </w:tcBorders>
            <w:shd w:val="clear" w:color="auto" w:fill="auto"/>
            <w:noWrap/>
            <w:vAlign w:val="bottom"/>
            <w:hideMark/>
          </w:tcPr>
          <w:p w14:paraId="13480CD4" w14:textId="77777777" w:rsidR="004A3136" w:rsidRPr="00B72B6C" w:rsidRDefault="004A3136" w:rsidP="004A3136">
            <w:pPr>
              <w:spacing w:after="0" w:line="240" w:lineRule="auto"/>
              <w:ind w:left="0" w:firstLine="0"/>
              <w:jc w:val="center"/>
              <w:rPr>
                <w:rFonts w:ascii="Times New Roman" w:eastAsia="Times New Roman" w:hAnsi="Times New Roman" w:cs="Times New Roman"/>
                <w:color w:val="auto"/>
                <w:sz w:val="16"/>
                <w:szCs w:val="16"/>
                <w:lang w:val="en-US"/>
              </w:rPr>
            </w:pPr>
          </w:p>
        </w:tc>
        <w:tc>
          <w:tcPr>
            <w:tcW w:w="942" w:type="dxa"/>
            <w:tcBorders>
              <w:top w:val="nil"/>
              <w:left w:val="nil"/>
              <w:bottom w:val="nil"/>
              <w:right w:val="nil"/>
            </w:tcBorders>
            <w:shd w:val="clear" w:color="auto" w:fill="auto"/>
            <w:noWrap/>
            <w:vAlign w:val="bottom"/>
            <w:hideMark/>
          </w:tcPr>
          <w:p w14:paraId="4E20E5F3"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(.010)</w:t>
            </w:r>
          </w:p>
        </w:tc>
        <w:tc>
          <w:tcPr>
            <w:tcW w:w="1197" w:type="dxa"/>
            <w:tcBorders>
              <w:top w:val="nil"/>
              <w:left w:val="nil"/>
              <w:bottom w:val="nil"/>
              <w:right w:val="nil"/>
            </w:tcBorders>
            <w:shd w:val="clear" w:color="auto" w:fill="auto"/>
            <w:noWrap/>
            <w:vAlign w:val="bottom"/>
            <w:hideMark/>
          </w:tcPr>
          <w:p w14:paraId="5F227950"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(.010)</w:t>
            </w:r>
          </w:p>
        </w:tc>
        <w:tc>
          <w:tcPr>
            <w:tcW w:w="923" w:type="dxa"/>
            <w:tcBorders>
              <w:top w:val="nil"/>
              <w:left w:val="nil"/>
              <w:bottom w:val="nil"/>
              <w:right w:val="nil"/>
            </w:tcBorders>
            <w:shd w:val="clear" w:color="auto" w:fill="auto"/>
            <w:noWrap/>
            <w:vAlign w:val="bottom"/>
            <w:hideMark/>
          </w:tcPr>
          <w:p w14:paraId="4894CA54"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0F22D14F" w14:textId="77777777" w:rsidR="004A3136" w:rsidRPr="00B72B6C" w:rsidRDefault="004A3136" w:rsidP="004A3136">
            <w:pPr>
              <w:spacing w:after="0" w:line="240" w:lineRule="auto"/>
              <w:ind w:left="0" w:firstLine="0"/>
              <w:jc w:val="center"/>
              <w:rPr>
                <w:rFonts w:ascii="Times New Roman" w:eastAsia="Times New Roman" w:hAnsi="Times New Roman" w:cs="Times New Roman"/>
                <w:color w:val="auto"/>
                <w:sz w:val="16"/>
                <w:szCs w:val="16"/>
                <w:lang w:val="en-US"/>
              </w:rPr>
            </w:pPr>
          </w:p>
        </w:tc>
        <w:tc>
          <w:tcPr>
            <w:tcW w:w="986" w:type="dxa"/>
            <w:tcBorders>
              <w:top w:val="nil"/>
              <w:left w:val="nil"/>
              <w:bottom w:val="nil"/>
              <w:right w:val="nil"/>
            </w:tcBorders>
            <w:shd w:val="clear" w:color="auto" w:fill="auto"/>
            <w:noWrap/>
            <w:vAlign w:val="bottom"/>
            <w:hideMark/>
          </w:tcPr>
          <w:p w14:paraId="45C4808A"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(.010)</w:t>
            </w:r>
          </w:p>
        </w:tc>
        <w:tc>
          <w:tcPr>
            <w:tcW w:w="992" w:type="dxa"/>
            <w:tcBorders>
              <w:top w:val="nil"/>
              <w:left w:val="nil"/>
              <w:bottom w:val="nil"/>
              <w:right w:val="nil"/>
            </w:tcBorders>
            <w:shd w:val="clear" w:color="auto" w:fill="auto"/>
            <w:noWrap/>
            <w:vAlign w:val="bottom"/>
            <w:hideMark/>
          </w:tcPr>
          <w:p w14:paraId="1E841ADB"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(.010)</w:t>
            </w:r>
          </w:p>
        </w:tc>
        <w:tc>
          <w:tcPr>
            <w:tcW w:w="866" w:type="dxa"/>
            <w:tcBorders>
              <w:top w:val="nil"/>
              <w:left w:val="nil"/>
              <w:bottom w:val="nil"/>
              <w:right w:val="nil"/>
            </w:tcBorders>
            <w:shd w:val="clear" w:color="auto" w:fill="auto"/>
            <w:noWrap/>
            <w:vAlign w:val="bottom"/>
            <w:hideMark/>
          </w:tcPr>
          <w:p w14:paraId="4D070C8A"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77" w:type="dxa"/>
            <w:tcBorders>
              <w:top w:val="nil"/>
              <w:left w:val="nil"/>
              <w:bottom w:val="nil"/>
              <w:right w:val="nil"/>
            </w:tcBorders>
            <w:shd w:val="clear" w:color="auto" w:fill="auto"/>
            <w:noWrap/>
            <w:vAlign w:val="bottom"/>
            <w:hideMark/>
          </w:tcPr>
          <w:p w14:paraId="2278E0D4" w14:textId="77777777" w:rsidR="004A3136" w:rsidRPr="00B72B6C" w:rsidRDefault="004A3136" w:rsidP="004A3136">
            <w:pPr>
              <w:spacing w:after="0" w:line="240" w:lineRule="auto"/>
              <w:ind w:left="0" w:firstLine="0"/>
              <w:jc w:val="center"/>
              <w:rPr>
                <w:rFonts w:ascii="Times New Roman" w:eastAsia="Times New Roman" w:hAnsi="Times New Roman" w:cs="Times New Roman"/>
                <w:color w:val="auto"/>
                <w:sz w:val="16"/>
                <w:szCs w:val="16"/>
                <w:lang w:val="en-US"/>
              </w:rPr>
            </w:pPr>
          </w:p>
        </w:tc>
      </w:tr>
      <w:tr w:rsidR="00FF711A" w:rsidRPr="00B72B6C" w14:paraId="7F9699A2" w14:textId="77777777" w:rsidTr="00FF711A">
        <w:trPr>
          <w:trHeight w:val="300"/>
        </w:trPr>
        <w:tc>
          <w:tcPr>
            <w:tcW w:w="2268" w:type="dxa"/>
            <w:tcBorders>
              <w:top w:val="nil"/>
              <w:left w:val="nil"/>
              <w:bottom w:val="nil"/>
              <w:right w:val="nil"/>
            </w:tcBorders>
            <w:shd w:val="clear" w:color="auto" w:fill="auto"/>
            <w:noWrap/>
            <w:vAlign w:val="bottom"/>
            <w:hideMark/>
          </w:tcPr>
          <w:p w14:paraId="034800F9"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Diploma (-2Y)</w:t>
            </w:r>
          </w:p>
        </w:tc>
        <w:tc>
          <w:tcPr>
            <w:tcW w:w="942" w:type="dxa"/>
            <w:tcBorders>
              <w:top w:val="nil"/>
              <w:left w:val="nil"/>
              <w:bottom w:val="nil"/>
              <w:right w:val="nil"/>
            </w:tcBorders>
            <w:shd w:val="clear" w:color="auto" w:fill="auto"/>
            <w:noWrap/>
            <w:vAlign w:val="bottom"/>
            <w:hideMark/>
          </w:tcPr>
          <w:p w14:paraId="7C5A0EF2"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25FC467D" w14:textId="77777777" w:rsidR="004A3136" w:rsidRPr="00B72B6C" w:rsidRDefault="004A3136" w:rsidP="004A3136">
            <w:pPr>
              <w:spacing w:after="0" w:line="240" w:lineRule="auto"/>
              <w:ind w:left="0" w:firstLine="0"/>
              <w:jc w:val="center"/>
              <w:rPr>
                <w:rFonts w:ascii="Times New Roman" w:eastAsia="Times New Roman" w:hAnsi="Times New Roman" w:cs="Times New Roman"/>
                <w:color w:val="auto"/>
                <w:sz w:val="16"/>
                <w:szCs w:val="16"/>
                <w:lang w:val="en-US"/>
              </w:rPr>
            </w:pPr>
          </w:p>
        </w:tc>
        <w:tc>
          <w:tcPr>
            <w:tcW w:w="923" w:type="dxa"/>
            <w:tcBorders>
              <w:top w:val="nil"/>
              <w:left w:val="nil"/>
              <w:bottom w:val="nil"/>
              <w:right w:val="nil"/>
            </w:tcBorders>
            <w:shd w:val="clear" w:color="auto" w:fill="auto"/>
            <w:noWrap/>
            <w:vAlign w:val="bottom"/>
            <w:hideMark/>
          </w:tcPr>
          <w:p w14:paraId="5A28FB75"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.151***</w:t>
            </w:r>
          </w:p>
        </w:tc>
        <w:tc>
          <w:tcPr>
            <w:tcW w:w="1197" w:type="dxa"/>
            <w:tcBorders>
              <w:top w:val="nil"/>
              <w:left w:val="nil"/>
              <w:bottom w:val="nil"/>
              <w:right w:val="nil"/>
            </w:tcBorders>
            <w:shd w:val="clear" w:color="auto" w:fill="auto"/>
            <w:noWrap/>
            <w:vAlign w:val="bottom"/>
            <w:hideMark/>
          </w:tcPr>
          <w:p w14:paraId="71438D5E"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.124***</w:t>
            </w:r>
          </w:p>
        </w:tc>
        <w:tc>
          <w:tcPr>
            <w:tcW w:w="986" w:type="dxa"/>
            <w:tcBorders>
              <w:top w:val="nil"/>
              <w:left w:val="nil"/>
              <w:bottom w:val="nil"/>
              <w:right w:val="nil"/>
            </w:tcBorders>
            <w:shd w:val="clear" w:color="auto" w:fill="auto"/>
            <w:noWrap/>
            <w:vAlign w:val="bottom"/>
            <w:hideMark/>
          </w:tcPr>
          <w:p w14:paraId="4793557F"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bottom"/>
            <w:hideMark/>
          </w:tcPr>
          <w:p w14:paraId="7A43B6D6" w14:textId="77777777" w:rsidR="004A3136" w:rsidRPr="00B72B6C" w:rsidRDefault="004A3136" w:rsidP="004A3136">
            <w:pPr>
              <w:spacing w:after="0" w:line="240" w:lineRule="auto"/>
              <w:ind w:left="0" w:firstLine="0"/>
              <w:jc w:val="center"/>
              <w:rPr>
                <w:rFonts w:ascii="Times New Roman" w:eastAsia="Times New Roman" w:hAnsi="Times New Roman" w:cs="Times New Roman"/>
                <w:color w:val="auto"/>
                <w:sz w:val="16"/>
                <w:szCs w:val="16"/>
                <w:lang w:val="en-US"/>
              </w:rPr>
            </w:pPr>
          </w:p>
        </w:tc>
        <w:tc>
          <w:tcPr>
            <w:tcW w:w="866" w:type="dxa"/>
            <w:tcBorders>
              <w:top w:val="nil"/>
              <w:left w:val="nil"/>
              <w:bottom w:val="nil"/>
              <w:right w:val="nil"/>
            </w:tcBorders>
            <w:shd w:val="clear" w:color="auto" w:fill="auto"/>
            <w:noWrap/>
            <w:vAlign w:val="bottom"/>
            <w:hideMark/>
          </w:tcPr>
          <w:p w14:paraId="12CA1772"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.149***</w:t>
            </w:r>
          </w:p>
        </w:tc>
        <w:tc>
          <w:tcPr>
            <w:tcW w:w="977" w:type="dxa"/>
            <w:tcBorders>
              <w:top w:val="nil"/>
              <w:left w:val="nil"/>
              <w:bottom w:val="nil"/>
              <w:right w:val="nil"/>
            </w:tcBorders>
            <w:shd w:val="clear" w:color="auto" w:fill="auto"/>
            <w:noWrap/>
            <w:vAlign w:val="bottom"/>
            <w:hideMark/>
          </w:tcPr>
          <w:p w14:paraId="6DF232DF"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.121***</w:t>
            </w:r>
          </w:p>
        </w:tc>
      </w:tr>
      <w:tr w:rsidR="00FF711A" w:rsidRPr="00B72B6C" w14:paraId="599C6809" w14:textId="77777777" w:rsidTr="00FF711A">
        <w:trPr>
          <w:trHeight w:val="300"/>
        </w:trPr>
        <w:tc>
          <w:tcPr>
            <w:tcW w:w="2268" w:type="dxa"/>
            <w:tcBorders>
              <w:top w:val="nil"/>
              <w:left w:val="nil"/>
              <w:bottom w:val="nil"/>
              <w:right w:val="nil"/>
            </w:tcBorders>
            <w:shd w:val="clear" w:color="auto" w:fill="auto"/>
            <w:noWrap/>
            <w:vAlign w:val="bottom"/>
            <w:hideMark/>
          </w:tcPr>
          <w:p w14:paraId="4F90C92C"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42" w:type="dxa"/>
            <w:tcBorders>
              <w:top w:val="nil"/>
              <w:left w:val="nil"/>
              <w:bottom w:val="nil"/>
              <w:right w:val="nil"/>
            </w:tcBorders>
            <w:shd w:val="clear" w:color="auto" w:fill="auto"/>
            <w:noWrap/>
            <w:vAlign w:val="bottom"/>
            <w:hideMark/>
          </w:tcPr>
          <w:p w14:paraId="0082776D" w14:textId="77777777" w:rsidR="004A3136" w:rsidRPr="00B72B6C" w:rsidRDefault="004A3136" w:rsidP="004A3136">
            <w:pPr>
              <w:spacing w:after="0" w:line="240" w:lineRule="auto"/>
              <w:ind w:left="0" w:firstLine="0"/>
              <w:jc w:val="left"/>
              <w:rPr>
                <w:rFonts w:ascii="Times New Roman" w:eastAsia="Times New Roman" w:hAnsi="Times New Roman" w:cs="Times New Roman"/>
                <w:color w:val="auto"/>
                <w:sz w:val="16"/>
                <w:szCs w:val="16"/>
                <w:lang w:val="en-US"/>
              </w:rPr>
            </w:pPr>
          </w:p>
        </w:tc>
        <w:tc>
          <w:tcPr>
            <w:tcW w:w="1197" w:type="dxa"/>
            <w:tcBorders>
              <w:top w:val="nil"/>
              <w:left w:val="nil"/>
              <w:bottom w:val="nil"/>
              <w:right w:val="nil"/>
            </w:tcBorders>
            <w:shd w:val="clear" w:color="auto" w:fill="auto"/>
            <w:noWrap/>
            <w:vAlign w:val="bottom"/>
            <w:hideMark/>
          </w:tcPr>
          <w:p w14:paraId="282C4D4B" w14:textId="77777777" w:rsidR="004A3136" w:rsidRPr="00B72B6C" w:rsidRDefault="004A3136" w:rsidP="004A3136">
            <w:pPr>
              <w:spacing w:after="0" w:line="240" w:lineRule="auto"/>
              <w:ind w:left="0" w:firstLine="0"/>
              <w:jc w:val="center"/>
              <w:rPr>
                <w:rFonts w:ascii="Times New Roman" w:eastAsia="Times New Roman" w:hAnsi="Times New Roman" w:cs="Times New Roman"/>
                <w:color w:val="auto"/>
                <w:sz w:val="16"/>
                <w:szCs w:val="16"/>
                <w:lang w:val="en-US"/>
              </w:rPr>
            </w:pPr>
          </w:p>
        </w:tc>
        <w:tc>
          <w:tcPr>
            <w:tcW w:w="923" w:type="dxa"/>
            <w:tcBorders>
              <w:top w:val="nil"/>
              <w:left w:val="nil"/>
              <w:bottom w:val="nil"/>
              <w:right w:val="nil"/>
            </w:tcBorders>
            <w:shd w:val="clear" w:color="auto" w:fill="auto"/>
            <w:noWrap/>
            <w:vAlign w:val="bottom"/>
            <w:hideMark/>
          </w:tcPr>
          <w:p w14:paraId="469DEEAB"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(.008)</w:t>
            </w:r>
          </w:p>
        </w:tc>
        <w:tc>
          <w:tcPr>
            <w:tcW w:w="1197" w:type="dxa"/>
            <w:tcBorders>
              <w:top w:val="nil"/>
              <w:left w:val="nil"/>
              <w:bottom w:val="nil"/>
              <w:right w:val="nil"/>
            </w:tcBorders>
            <w:shd w:val="clear" w:color="auto" w:fill="auto"/>
            <w:noWrap/>
            <w:vAlign w:val="bottom"/>
            <w:hideMark/>
          </w:tcPr>
          <w:p w14:paraId="33D9F2D9"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(.008)</w:t>
            </w:r>
          </w:p>
        </w:tc>
        <w:tc>
          <w:tcPr>
            <w:tcW w:w="986" w:type="dxa"/>
            <w:tcBorders>
              <w:top w:val="nil"/>
              <w:left w:val="nil"/>
              <w:bottom w:val="nil"/>
              <w:right w:val="nil"/>
            </w:tcBorders>
            <w:shd w:val="clear" w:color="auto" w:fill="auto"/>
            <w:noWrap/>
            <w:vAlign w:val="bottom"/>
            <w:hideMark/>
          </w:tcPr>
          <w:p w14:paraId="4B462D06"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bottom"/>
            <w:hideMark/>
          </w:tcPr>
          <w:p w14:paraId="5E3A0FE0" w14:textId="77777777" w:rsidR="004A3136" w:rsidRPr="00B72B6C" w:rsidRDefault="004A3136" w:rsidP="004A3136">
            <w:pPr>
              <w:spacing w:after="0" w:line="240" w:lineRule="auto"/>
              <w:ind w:left="0" w:firstLine="0"/>
              <w:jc w:val="center"/>
              <w:rPr>
                <w:rFonts w:ascii="Times New Roman" w:eastAsia="Times New Roman" w:hAnsi="Times New Roman" w:cs="Times New Roman"/>
                <w:color w:val="auto"/>
                <w:sz w:val="16"/>
                <w:szCs w:val="16"/>
                <w:lang w:val="en-US"/>
              </w:rPr>
            </w:pPr>
          </w:p>
        </w:tc>
        <w:tc>
          <w:tcPr>
            <w:tcW w:w="866" w:type="dxa"/>
            <w:tcBorders>
              <w:top w:val="nil"/>
              <w:left w:val="nil"/>
              <w:bottom w:val="nil"/>
              <w:right w:val="nil"/>
            </w:tcBorders>
            <w:shd w:val="clear" w:color="auto" w:fill="auto"/>
            <w:noWrap/>
            <w:vAlign w:val="bottom"/>
            <w:hideMark/>
          </w:tcPr>
          <w:p w14:paraId="747FF643"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(.008)</w:t>
            </w:r>
          </w:p>
        </w:tc>
        <w:tc>
          <w:tcPr>
            <w:tcW w:w="977" w:type="dxa"/>
            <w:tcBorders>
              <w:top w:val="nil"/>
              <w:left w:val="nil"/>
              <w:bottom w:val="nil"/>
              <w:right w:val="nil"/>
            </w:tcBorders>
            <w:shd w:val="clear" w:color="auto" w:fill="auto"/>
            <w:noWrap/>
            <w:vAlign w:val="bottom"/>
            <w:hideMark/>
          </w:tcPr>
          <w:p w14:paraId="6C176C23" w14:textId="5F5313BE"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(.008)</w:t>
            </w:r>
          </w:p>
        </w:tc>
      </w:tr>
      <w:tr w:rsidR="00FF711A" w:rsidRPr="00B72B6C" w14:paraId="276BB54F" w14:textId="77777777" w:rsidTr="00FF711A">
        <w:trPr>
          <w:trHeight w:val="300"/>
        </w:trPr>
        <w:tc>
          <w:tcPr>
            <w:tcW w:w="2268" w:type="dxa"/>
            <w:tcBorders>
              <w:top w:val="nil"/>
              <w:left w:val="nil"/>
              <w:bottom w:val="nil"/>
              <w:right w:val="nil"/>
            </w:tcBorders>
            <w:shd w:val="clear" w:color="auto" w:fill="auto"/>
            <w:noWrap/>
            <w:vAlign w:val="bottom"/>
            <w:hideMark/>
          </w:tcPr>
          <w:p w14:paraId="604FFBB5"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Employees</w:t>
            </w:r>
          </w:p>
        </w:tc>
        <w:tc>
          <w:tcPr>
            <w:tcW w:w="942" w:type="dxa"/>
            <w:tcBorders>
              <w:top w:val="nil"/>
              <w:left w:val="nil"/>
              <w:bottom w:val="nil"/>
              <w:right w:val="nil"/>
            </w:tcBorders>
            <w:shd w:val="clear" w:color="auto" w:fill="auto"/>
            <w:noWrap/>
            <w:vAlign w:val="bottom"/>
            <w:hideMark/>
          </w:tcPr>
          <w:p w14:paraId="777831CE"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591BB0FB"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.00004***</w:t>
            </w:r>
          </w:p>
        </w:tc>
        <w:tc>
          <w:tcPr>
            <w:tcW w:w="923" w:type="dxa"/>
            <w:tcBorders>
              <w:top w:val="nil"/>
              <w:left w:val="nil"/>
              <w:bottom w:val="nil"/>
              <w:right w:val="nil"/>
            </w:tcBorders>
            <w:shd w:val="clear" w:color="auto" w:fill="auto"/>
            <w:noWrap/>
            <w:vAlign w:val="bottom"/>
            <w:hideMark/>
          </w:tcPr>
          <w:p w14:paraId="166184D9"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36322F61"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.00004***</w:t>
            </w:r>
          </w:p>
        </w:tc>
        <w:tc>
          <w:tcPr>
            <w:tcW w:w="986" w:type="dxa"/>
            <w:tcBorders>
              <w:top w:val="nil"/>
              <w:left w:val="nil"/>
              <w:bottom w:val="nil"/>
              <w:right w:val="nil"/>
            </w:tcBorders>
            <w:shd w:val="clear" w:color="auto" w:fill="auto"/>
            <w:noWrap/>
            <w:vAlign w:val="bottom"/>
            <w:hideMark/>
          </w:tcPr>
          <w:p w14:paraId="3E507F12"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bottom"/>
            <w:hideMark/>
          </w:tcPr>
          <w:p w14:paraId="31279F6B"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.0001***</w:t>
            </w:r>
          </w:p>
        </w:tc>
        <w:tc>
          <w:tcPr>
            <w:tcW w:w="866" w:type="dxa"/>
            <w:tcBorders>
              <w:top w:val="nil"/>
              <w:left w:val="nil"/>
              <w:bottom w:val="nil"/>
              <w:right w:val="nil"/>
            </w:tcBorders>
            <w:shd w:val="clear" w:color="auto" w:fill="auto"/>
            <w:noWrap/>
            <w:vAlign w:val="bottom"/>
            <w:hideMark/>
          </w:tcPr>
          <w:p w14:paraId="581BA975"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77" w:type="dxa"/>
            <w:tcBorders>
              <w:top w:val="nil"/>
              <w:left w:val="nil"/>
              <w:bottom w:val="nil"/>
              <w:right w:val="nil"/>
            </w:tcBorders>
            <w:shd w:val="clear" w:color="auto" w:fill="auto"/>
            <w:noWrap/>
            <w:vAlign w:val="bottom"/>
            <w:hideMark/>
          </w:tcPr>
          <w:p w14:paraId="3840C253"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.0001***</w:t>
            </w:r>
          </w:p>
        </w:tc>
      </w:tr>
      <w:tr w:rsidR="00FF711A" w:rsidRPr="00B72B6C" w14:paraId="4060A2D0" w14:textId="77777777" w:rsidTr="00FF711A">
        <w:trPr>
          <w:trHeight w:val="300"/>
        </w:trPr>
        <w:tc>
          <w:tcPr>
            <w:tcW w:w="2268" w:type="dxa"/>
            <w:tcBorders>
              <w:top w:val="nil"/>
              <w:left w:val="nil"/>
              <w:bottom w:val="nil"/>
              <w:right w:val="nil"/>
            </w:tcBorders>
            <w:shd w:val="clear" w:color="auto" w:fill="auto"/>
            <w:noWrap/>
            <w:vAlign w:val="bottom"/>
            <w:hideMark/>
          </w:tcPr>
          <w:p w14:paraId="6A17524A"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42" w:type="dxa"/>
            <w:tcBorders>
              <w:top w:val="nil"/>
              <w:left w:val="nil"/>
              <w:bottom w:val="nil"/>
              <w:right w:val="nil"/>
            </w:tcBorders>
            <w:shd w:val="clear" w:color="auto" w:fill="auto"/>
            <w:noWrap/>
            <w:vAlign w:val="bottom"/>
            <w:hideMark/>
          </w:tcPr>
          <w:p w14:paraId="1BBCE2BC" w14:textId="77777777" w:rsidR="004A3136" w:rsidRPr="00B72B6C" w:rsidRDefault="004A3136" w:rsidP="004A3136">
            <w:pPr>
              <w:spacing w:after="0" w:line="240" w:lineRule="auto"/>
              <w:ind w:left="0" w:firstLine="0"/>
              <w:jc w:val="left"/>
              <w:rPr>
                <w:rFonts w:ascii="Times New Roman" w:eastAsia="Times New Roman" w:hAnsi="Times New Roman" w:cs="Times New Roman"/>
                <w:color w:val="auto"/>
                <w:sz w:val="16"/>
                <w:szCs w:val="16"/>
                <w:lang w:val="en-US"/>
              </w:rPr>
            </w:pPr>
          </w:p>
        </w:tc>
        <w:tc>
          <w:tcPr>
            <w:tcW w:w="1197" w:type="dxa"/>
            <w:tcBorders>
              <w:top w:val="nil"/>
              <w:left w:val="nil"/>
              <w:bottom w:val="nil"/>
              <w:right w:val="nil"/>
            </w:tcBorders>
            <w:shd w:val="clear" w:color="auto" w:fill="auto"/>
            <w:noWrap/>
            <w:vAlign w:val="bottom"/>
            <w:hideMark/>
          </w:tcPr>
          <w:p w14:paraId="385317D2"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(.00001)</w:t>
            </w:r>
          </w:p>
        </w:tc>
        <w:tc>
          <w:tcPr>
            <w:tcW w:w="923" w:type="dxa"/>
            <w:tcBorders>
              <w:top w:val="nil"/>
              <w:left w:val="nil"/>
              <w:bottom w:val="nil"/>
              <w:right w:val="nil"/>
            </w:tcBorders>
            <w:shd w:val="clear" w:color="auto" w:fill="auto"/>
            <w:noWrap/>
            <w:vAlign w:val="bottom"/>
            <w:hideMark/>
          </w:tcPr>
          <w:p w14:paraId="66C59EBD"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4667B57E"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(.00001)</w:t>
            </w:r>
          </w:p>
        </w:tc>
        <w:tc>
          <w:tcPr>
            <w:tcW w:w="986" w:type="dxa"/>
            <w:tcBorders>
              <w:top w:val="nil"/>
              <w:left w:val="nil"/>
              <w:bottom w:val="nil"/>
              <w:right w:val="nil"/>
            </w:tcBorders>
            <w:shd w:val="clear" w:color="auto" w:fill="auto"/>
            <w:noWrap/>
            <w:vAlign w:val="bottom"/>
            <w:hideMark/>
          </w:tcPr>
          <w:p w14:paraId="13AA6DC8"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bottom"/>
            <w:hideMark/>
          </w:tcPr>
          <w:p w14:paraId="0C423E51"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(.00001)</w:t>
            </w:r>
          </w:p>
        </w:tc>
        <w:tc>
          <w:tcPr>
            <w:tcW w:w="866" w:type="dxa"/>
            <w:tcBorders>
              <w:top w:val="nil"/>
              <w:left w:val="nil"/>
              <w:bottom w:val="nil"/>
              <w:right w:val="nil"/>
            </w:tcBorders>
            <w:shd w:val="clear" w:color="auto" w:fill="auto"/>
            <w:noWrap/>
            <w:vAlign w:val="bottom"/>
            <w:hideMark/>
          </w:tcPr>
          <w:p w14:paraId="645D66CA"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77" w:type="dxa"/>
            <w:tcBorders>
              <w:top w:val="nil"/>
              <w:left w:val="nil"/>
              <w:bottom w:val="nil"/>
              <w:right w:val="nil"/>
            </w:tcBorders>
            <w:shd w:val="clear" w:color="auto" w:fill="auto"/>
            <w:noWrap/>
            <w:vAlign w:val="bottom"/>
            <w:hideMark/>
          </w:tcPr>
          <w:p w14:paraId="6E3D4A84"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(.00001)</w:t>
            </w:r>
          </w:p>
        </w:tc>
      </w:tr>
      <w:tr w:rsidR="00FF711A" w:rsidRPr="00B72B6C" w14:paraId="36073128" w14:textId="77777777" w:rsidTr="00FF711A">
        <w:trPr>
          <w:trHeight w:val="300"/>
        </w:trPr>
        <w:tc>
          <w:tcPr>
            <w:tcW w:w="2268" w:type="dxa"/>
            <w:tcBorders>
              <w:top w:val="nil"/>
              <w:left w:val="nil"/>
              <w:bottom w:val="nil"/>
              <w:right w:val="nil"/>
            </w:tcBorders>
            <w:shd w:val="clear" w:color="auto" w:fill="auto"/>
            <w:noWrap/>
            <w:vAlign w:val="bottom"/>
            <w:hideMark/>
          </w:tcPr>
          <w:p w14:paraId="5652DEF3"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Firm age</w:t>
            </w:r>
          </w:p>
        </w:tc>
        <w:tc>
          <w:tcPr>
            <w:tcW w:w="942" w:type="dxa"/>
            <w:tcBorders>
              <w:top w:val="nil"/>
              <w:left w:val="nil"/>
              <w:bottom w:val="nil"/>
              <w:right w:val="nil"/>
            </w:tcBorders>
            <w:shd w:val="clear" w:color="auto" w:fill="auto"/>
            <w:noWrap/>
            <w:vAlign w:val="bottom"/>
            <w:hideMark/>
          </w:tcPr>
          <w:p w14:paraId="444004DE"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67078466"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.0004*</w:t>
            </w:r>
          </w:p>
        </w:tc>
        <w:tc>
          <w:tcPr>
            <w:tcW w:w="923" w:type="dxa"/>
            <w:tcBorders>
              <w:top w:val="nil"/>
              <w:left w:val="nil"/>
              <w:bottom w:val="nil"/>
              <w:right w:val="nil"/>
            </w:tcBorders>
            <w:shd w:val="clear" w:color="auto" w:fill="auto"/>
            <w:noWrap/>
            <w:vAlign w:val="bottom"/>
            <w:hideMark/>
          </w:tcPr>
          <w:p w14:paraId="266F2F66"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127A1694"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.0004*</w:t>
            </w:r>
          </w:p>
        </w:tc>
        <w:tc>
          <w:tcPr>
            <w:tcW w:w="986" w:type="dxa"/>
            <w:tcBorders>
              <w:top w:val="nil"/>
              <w:left w:val="nil"/>
              <w:bottom w:val="nil"/>
              <w:right w:val="nil"/>
            </w:tcBorders>
            <w:shd w:val="clear" w:color="auto" w:fill="auto"/>
            <w:noWrap/>
            <w:vAlign w:val="bottom"/>
            <w:hideMark/>
          </w:tcPr>
          <w:p w14:paraId="70C0D9EB"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bottom"/>
            <w:hideMark/>
          </w:tcPr>
          <w:p w14:paraId="31750861"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-.0001</w:t>
            </w:r>
          </w:p>
        </w:tc>
        <w:tc>
          <w:tcPr>
            <w:tcW w:w="866" w:type="dxa"/>
            <w:tcBorders>
              <w:top w:val="nil"/>
              <w:left w:val="nil"/>
              <w:bottom w:val="nil"/>
              <w:right w:val="nil"/>
            </w:tcBorders>
            <w:shd w:val="clear" w:color="auto" w:fill="auto"/>
            <w:noWrap/>
            <w:vAlign w:val="bottom"/>
            <w:hideMark/>
          </w:tcPr>
          <w:p w14:paraId="71CF3C63"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77" w:type="dxa"/>
            <w:tcBorders>
              <w:top w:val="nil"/>
              <w:left w:val="nil"/>
              <w:bottom w:val="nil"/>
              <w:right w:val="nil"/>
            </w:tcBorders>
            <w:shd w:val="clear" w:color="auto" w:fill="auto"/>
            <w:noWrap/>
            <w:vAlign w:val="bottom"/>
            <w:hideMark/>
          </w:tcPr>
          <w:p w14:paraId="364CA949"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-.0001</w:t>
            </w:r>
          </w:p>
        </w:tc>
      </w:tr>
      <w:tr w:rsidR="00FF711A" w:rsidRPr="00B72B6C" w14:paraId="778E2266" w14:textId="77777777" w:rsidTr="00FF711A">
        <w:trPr>
          <w:trHeight w:val="300"/>
        </w:trPr>
        <w:tc>
          <w:tcPr>
            <w:tcW w:w="2268" w:type="dxa"/>
            <w:tcBorders>
              <w:top w:val="nil"/>
              <w:left w:val="nil"/>
              <w:bottom w:val="nil"/>
              <w:right w:val="nil"/>
            </w:tcBorders>
            <w:shd w:val="clear" w:color="auto" w:fill="auto"/>
            <w:noWrap/>
            <w:vAlign w:val="bottom"/>
            <w:hideMark/>
          </w:tcPr>
          <w:p w14:paraId="4CF5AAFD"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42" w:type="dxa"/>
            <w:tcBorders>
              <w:top w:val="nil"/>
              <w:left w:val="nil"/>
              <w:bottom w:val="nil"/>
              <w:right w:val="nil"/>
            </w:tcBorders>
            <w:shd w:val="clear" w:color="auto" w:fill="auto"/>
            <w:noWrap/>
            <w:vAlign w:val="bottom"/>
            <w:hideMark/>
          </w:tcPr>
          <w:p w14:paraId="07AD957D" w14:textId="77777777" w:rsidR="004A3136" w:rsidRPr="00B72B6C" w:rsidRDefault="004A3136" w:rsidP="004A3136">
            <w:pPr>
              <w:spacing w:after="0" w:line="240" w:lineRule="auto"/>
              <w:ind w:left="0" w:firstLine="0"/>
              <w:jc w:val="left"/>
              <w:rPr>
                <w:rFonts w:ascii="Times New Roman" w:eastAsia="Times New Roman" w:hAnsi="Times New Roman" w:cs="Times New Roman"/>
                <w:color w:val="auto"/>
                <w:sz w:val="16"/>
                <w:szCs w:val="16"/>
                <w:lang w:val="en-US"/>
              </w:rPr>
            </w:pPr>
          </w:p>
        </w:tc>
        <w:tc>
          <w:tcPr>
            <w:tcW w:w="1197" w:type="dxa"/>
            <w:tcBorders>
              <w:top w:val="nil"/>
              <w:left w:val="nil"/>
              <w:bottom w:val="nil"/>
              <w:right w:val="nil"/>
            </w:tcBorders>
            <w:shd w:val="clear" w:color="auto" w:fill="auto"/>
            <w:noWrap/>
            <w:vAlign w:val="bottom"/>
            <w:hideMark/>
          </w:tcPr>
          <w:p w14:paraId="294C8D44"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(.0003)</w:t>
            </w:r>
          </w:p>
        </w:tc>
        <w:tc>
          <w:tcPr>
            <w:tcW w:w="923" w:type="dxa"/>
            <w:tcBorders>
              <w:top w:val="nil"/>
              <w:left w:val="nil"/>
              <w:bottom w:val="nil"/>
              <w:right w:val="nil"/>
            </w:tcBorders>
            <w:shd w:val="clear" w:color="auto" w:fill="auto"/>
            <w:noWrap/>
            <w:vAlign w:val="bottom"/>
            <w:hideMark/>
          </w:tcPr>
          <w:p w14:paraId="78D42DA9"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7EE8A2ED"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(.0003)</w:t>
            </w:r>
          </w:p>
        </w:tc>
        <w:tc>
          <w:tcPr>
            <w:tcW w:w="986" w:type="dxa"/>
            <w:tcBorders>
              <w:top w:val="nil"/>
              <w:left w:val="nil"/>
              <w:bottom w:val="nil"/>
              <w:right w:val="nil"/>
            </w:tcBorders>
            <w:shd w:val="clear" w:color="auto" w:fill="auto"/>
            <w:noWrap/>
            <w:vAlign w:val="bottom"/>
            <w:hideMark/>
          </w:tcPr>
          <w:p w14:paraId="3DBF6C16"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bottom"/>
            <w:hideMark/>
          </w:tcPr>
          <w:p w14:paraId="73A269EC"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(.0003)</w:t>
            </w:r>
          </w:p>
        </w:tc>
        <w:tc>
          <w:tcPr>
            <w:tcW w:w="866" w:type="dxa"/>
            <w:tcBorders>
              <w:top w:val="nil"/>
              <w:left w:val="nil"/>
              <w:bottom w:val="nil"/>
              <w:right w:val="nil"/>
            </w:tcBorders>
            <w:shd w:val="clear" w:color="auto" w:fill="auto"/>
            <w:noWrap/>
            <w:vAlign w:val="bottom"/>
            <w:hideMark/>
          </w:tcPr>
          <w:p w14:paraId="38C66C16"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77" w:type="dxa"/>
            <w:tcBorders>
              <w:top w:val="nil"/>
              <w:left w:val="nil"/>
              <w:bottom w:val="nil"/>
              <w:right w:val="nil"/>
            </w:tcBorders>
            <w:shd w:val="clear" w:color="auto" w:fill="auto"/>
            <w:noWrap/>
            <w:vAlign w:val="bottom"/>
            <w:hideMark/>
          </w:tcPr>
          <w:p w14:paraId="2F2D4A74"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(.0003)</w:t>
            </w:r>
          </w:p>
        </w:tc>
      </w:tr>
      <w:tr w:rsidR="00FF711A" w:rsidRPr="00B72B6C" w14:paraId="700383ED" w14:textId="77777777" w:rsidTr="00FF711A">
        <w:trPr>
          <w:trHeight w:val="300"/>
        </w:trPr>
        <w:tc>
          <w:tcPr>
            <w:tcW w:w="2268" w:type="dxa"/>
            <w:tcBorders>
              <w:top w:val="nil"/>
              <w:left w:val="nil"/>
              <w:bottom w:val="nil"/>
              <w:right w:val="nil"/>
            </w:tcBorders>
            <w:shd w:val="clear" w:color="auto" w:fill="auto"/>
            <w:noWrap/>
            <w:vAlign w:val="bottom"/>
            <w:hideMark/>
          </w:tcPr>
          <w:p w14:paraId="22CA903A"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xml:space="preserve">R&amp;D </w:t>
            </w:r>
            <w:proofErr w:type="spellStart"/>
            <w:r w:rsidRPr="00B72B6C">
              <w:rPr>
                <w:rFonts w:ascii="Times New Roman" w:eastAsia="Times New Roman" w:hAnsi="Times New Roman" w:cs="Times New Roman"/>
                <w:sz w:val="20"/>
                <w:szCs w:val="20"/>
                <w:lang w:val="en-US"/>
              </w:rPr>
              <w:t>empl</w:t>
            </w:r>
            <w:proofErr w:type="spellEnd"/>
            <w:r w:rsidRPr="00B72B6C">
              <w:rPr>
                <w:rFonts w:ascii="Times New Roman" w:eastAsia="Times New Roman" w:hAnsi="Times New Roman" w:cs="Times New Roman"/>
                <w:sz w:val="20"/>
                <w:szCs w:val="20"/>
                <w:lang w:val="en-US"/>
              </w:rPr>
              <w:t>. (pct)</w:t>
            </w:r>
          </w:p>
        </w:tc>
        <w:tc>
          <w:tcPr>
            <w:tcW w:w="942" w:type="dxa"/>
            <w:tcBorders>
              <w:top w:val="nil"/>
              <w:left w:val="nil"/>
              <w:bottom w:val="nil"/>
              <w:right w:val="nil"/>
            </w:tcBorders>
            <w:shd w:val="clear" w:color="auto" w:fill="auto"/>
            <w:noWrap/>
            <w:vAlign w:val="bottom"/>
            <w:hideMark/>
          </w:tcPr>
          <w:p w14:paraId="500BCD92"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6FDA4555"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.493***</w:t>
            </w:r>
          </w:p>
        </w:tc>
        <w:tc>
          <w:tcPr>
            <w:tcW w:w="923" w:type="dxa"/>
            <w:tcBorders>
              <w:top w:val="nil"/>
              <w:left w:val="nil"/>
              <w:bottom w:val="nil"/>
              <w:right w:val="nil"/>
            </w:tcBorders>
            <w:shd w:val="clear" w:color="auto" w:fill="auto"/>
            <w:noWrap/>
            <w:vAlign w:val="bottom"/>
            <w:hideMark/>
          </w:tcPr>
          <w:p w14:paraId="23A2D247"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3869C622"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.497***</w:t>
            </w:r>
          </w:p>
        </w:tc>
        <w:tc>
          <w:tcPr>
            <w:tcW w:w="986" w:type="dxa"/>
            <w:tcBorders>
              <w:top w:val="nil"/>
              <w:left w:val="nil"/>
              <w:bottom w:val="nil"/>
              <w:right w:val="nil"/>
            </w:tcBorders>
            <w:shd w:val="clear" w:color="auto" w:fill="auto"/>
            <w:noWrap/>
            <w:vAlign w:val="bottom"/>
            <w:hideMark/>
          </w:tcPr>
          <w:p w14:paraId="4CE2E61C"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bottom"/>
            <w:hideMark/>
          </w:tcPr>
          <w:p w14:paraId="37A29F42"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.257***</w:t>
            </w:r>
          </w:p>
        </w:tc>
        <w:tc>
          <w:tcPr>
            <w:tcW w:w="866" w:type="dxa"/>
            <w:tcBorders>
              <w:top w:val="nil"/>
              <w:left w:val="nil"/>
              <w:bottom w:val="nil"/>
              <w:right w:val="nil"/>
            </w:tcBorders>
            <w:shd w:val="clear" w:color="auto" w:fill="auto"/>
            <w:noWrap/>
            <w:vAlign w:val="bottom"/>
            <w:hideMark/>
          </w:tcPr>
          <w:p w14:paraId="74C46DB5"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77" w:type="dxa"/>
            <w:tcBorders>
              <w:top w:val="nil"/>
              <w:left w:val="nil"/>
              <w:bottom w:val="nil"/>
              <w:right w:val="nil"/>
            </w:tcBorders>
            <w:shd w:val="clear" w:color="auto" w:fill="auto"/>
            <w:noWrap/>
            <w:vAlign w:val="bottom"/>
            <w:hideMark/>
          </w:tcPr>
          <w:p w14:paraId="2EB1A494"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.260***</w:t>
            </w:r>
          </w:p>
        </w:tc>
      </w:tr>
      <w:tr w:rsidR="00FF711A" w:rsidRPr="00B72B6C" w14:paraId="3FE9AB51" w14:textId="77777777" w:rsidTr="00FF711A">
        <w:trPr>
          <w:trHeight w:val="300"/>
        </w:trPr>
        <w:tc>
          <w:tcPr>
            <w:tcW w:w="2268" w:type="dxa"/>
            <w:tcBorders>
              <w:top w:val="nil"/>
              <w:left w:val="nil"/>
              <w:bottom w:val="nil"/>
              <w:right w:val="nil"/>
            </w:tcBorders>
            <w:shd w:val="clear" w:color="auto" w:fill="auto"/>
            <w:noWrap/>
            <w:vAlign w:val="bottom"/>
            <w:hideMark/>
          </w:tcPr>
          <w:p w14:paraId="51E903D9"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42" w:type="dxa"/>
            <w:tcBorders>
              <w:top w:val="nil"/>
              <w:left w:val="nil"/>
              <w:bottom w:val="nil"/>
              <w:right w:val="nil"/>
            </w:tcBorders>
            <w:shd w:val="clear" w:color="auto" w:fill="auto"/>
            <w:noWrap/>
            <w:vAlign w:val="bottom"/>
            <w:hideMark/>
          </w:tcPr>
          <w:p w14:paraId="73457345" w14:textId="77777777" w:rsidR="004A3136" w:rsidRPr="00B72B6C" w:rsidRDefault="004A3136" w:rsidP="004A3136">
            <w:pPr>
              <w:spacing w:after="0" w:line="240" w:lineRule="auto"/>
              <w:ind w:left="0" w:firstLine="0"/>
              <w:jc w:val="left"/>
              <w:rPr>
                <w:rFonts w:ascii="Times New Roman" w:eastAsia="Times New Roman" w:hAnsi="Times New Roman" w:cs="Times New Roman"/>
                <w:color w:val="auto"/>
                <w:sz w:val="16"/>
                <w:szCs w:val="16"/>
                <w:lang w:val="en-US"/>
              </w:rPr>
            </w:pPr>
          </w:p>
        </w:tc>
        <w:tc>
          <w:tcPr>
            <w:tcW w:w="1197" w:type="dxa"/>
            <w:tcBorders>
              <w:top w:val="nil"/>
              <w:left w:val="nil"/>
              <w:bottom w:val="nil"/>
              <w:right w:val="nil"/>
            </w:tcBorders>
            <w:shd w:val="clear" w:color="auto" w:fill="auto"/>
            <w:noWrap/>
            <w:vAlign w:val="bottom"/>
            <w:hideMark/>
          </w:tcPr>
          <w:p w14:paraId="4A641D4B"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(.036)</w:t>
            </w:r>
          </w:p>
        </w:tc>
        <w:tc>
          <w:tcPr>
            <w:tcW w:w="923" w:type="dxa"/>
            <w:tcBorders>
              <w:top w:val="nil"/>
              <w:left w:val="nil"/>
              <w:bottom w:val="nil"/>
              <w:right w:val="nil"/>
            </w:tcBorders>
            <w:shd w:val="clear" w:color="auto" w:fill="auto"/>
            <w:noWrap/>
            <w:vAlign w:val="bottom"/>
            <w:hideMark/>
          </w:tcPr>
          <w:p w14:paraId="7DC4B091"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7DB6A135"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(.037)</w:t>
            </w:r>
          </w:p>
        </w:tc>
        <w:tc>
          <w:tcPr>
            <w:tcW w:w="986" w:type="dxa"/>
            <w:tcBorders>
              <w:top w:val="nil"/>
              <w:left w:val="nil"/>
              <w:bottom w:val="nil"/>
              <w:right w:val="nil"/>
            </w:tcBorders>
            <w:shd w:val="clear" w:color="auto" w:fill="auto"/>
            <w:noWrap/>
            <w:vAlign w:val="bottom"/>
            <w:hideMark/>
          </w:tcPr>
          <w:p w14:paraId="62537C3E"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bottom"/>
            <w:hideMark/>
          </w:tcPr>
          <w:p w14:paraId="37D23875"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(.020)</w:t>
            </w:r>
          </w:p>
        </w:tc>
        <w:tc>
          <w:tcPr>
            <w:tcW w:w="866" w:type="dxa"/>
            <w:tcBorders>
              <w:top w:val="nil"/>
              <w:left w:val="nil"/>
              <w:bottom w:val="nil"/>
              <w:right w:val="nil"/>
            </w:tcBorders>
            <w:shd w:val="clear" w:color="auto" w:fill="auto"/>
            <w:noWrap/>
            <w:vAlign w:val="bottom"/>
            <w:hideMark/>
          </w:tcPr>
          <w:p w14:paraId="16CCA37E"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77" w:type="dxa"/>
            <w:tcBorders>
              <w:top w:val="nil"/>
              <w:left w:val="nil"/>
              <w:bottom w:val="nil"/>
              <w:right w:val="nil"/>
            </w:tcBorders>
            <w:shd w:val="clear" w:color="auto" w:fill="auto"/>
            <w:noWrap/>
            <w:vAlign w:val="bottom"/>
            <w:hideMark/>
          </w:tcPr>
          <w:p w14:paraId="43A8DB16"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(.020)</w:t>
            </w:r>
          </w:p>
        </w:tc>
      </w:tr>
      <w:tr w:rsidR="00FF711A" w:rsidRPr="00B72B6C" w14:paraId="3308CCB6" w14:textId="77777777" w:rsidTr="00FF711A">
        <w:trPr>
          <w:trHeight w:val="300"/>
        </w:trPr>
        <w:tc>
          <w:tcPr>
            <w:tcW w:w="2268" w:type="dxa"/>
            <w:tcBorders>
              <w:top w:val="nil"/>
              <w:left w:val="nil"/>
              <w:bottom w:val="nil"/>
              <w:right w:val="nil"/>
            </w:tcBorders>
            <w:shd w:val="clear" w:color="auto" w:fill="auto"/>
            <w:noWrap/>
            <w:vAlign w:val="bottom"/>
            <w:hideMark/>
          </w:tcPr>
          <w:p w14:paraId="025E117B"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Regional pct. w. tertiary ed.</w:t>
            </w:r>
          </w:p>
        </w:tc>
        <w:tc>
          <w:tcPr>
            <w:tcW w:w="942" w:type="dxa"/>
            <w:tcBorders>
              <w:top w:val="nil"/>
              <w:left w:val="nil"/>
              <w:bottom w:val="nil"/>
              <w:right w:val="nil"/>
            </w:tcBorders>
            <w:shd w:val="clear" w:color="auto" w:fill="auto"/>
            <w:noWrap/>
            <w:vAlign w:val="bottom"/>
            <w:hideMark/>
          </w:tcPr>
          <w:p w14:paraId="6DD140FF"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0FB76204"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.402***</w:t>
            </w:r>
          </w:p>
        </w:tc>
        <w:tc>
          <w:tcPr>
            <w:tcW w:w="923" w:type="dxa"/>
            <w:tcBorders>
              <w:top w:val="nil"/>
              <w:left w:val="nil"/>
              <w:bottom w:val="nil"/>
              <w:right w:val="nil"/>
            </w:tcBorders>
            <w:shd w:val="clear" w:color="auto" w:fill="auto"/>
            <w:noWrap/>
            <w:vAlign w:val="bottom"/>
            <w:hideMark/>
          </w:tcPr>
          <w:p w14:paraId="0937E2BD"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40021160"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.392***</w:t>
            </w:r>
          </w:p>
        </w:tc>
        <w:tc>
          <w:tcPr>
            <w:tcW w:w="986" w:type="dxa"/>
            <w:tcBorders>
              <w:top w:val="nil"/>
              <w:left w:val="nil"/>
              <w:bottom w:val="nil"/>
              <w:right w:val="nil"/>
            </w:tcBorders>
            <w:shd w:val="clear" w:color="auto" w:fill="auto"/>
            <w:noWrap/>
            <w:vAlign w:val="bottom"/>
            <w:hideMark/>
          </w:tcPr>
          <w:p w14:paraId="2A6169DE"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bottom"/>
            <w:hideMark/>
          </w:tcPr>
          <w:p w14:paraId="762722E4"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.213***</w:t>
            </w:r>
          </w:p>
        </w:tc>
        <w:tc>
          <w:tcPr>
            <w:tcW w:w="866" w:type="dxa"/>
            <w:tcBorders>
              <w:top w:val="nil"/>
              <w:left w:val="nil"/>
              <w:bottom w:val="nil"/>
              <w:right w:val="nil"/>
            </w:tcBorders>
            <w:shd w:val="clear" w:color="auto" w:fill="auto"/>
            <w:noWrap/>
            <w:vAlign w:val="bottom"/>
            <w:hideMark/>
          </w:tcPr>
          <w:p w14:paraId="56727C56"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77" w:type="dxa"/>
            <w:tcBorders>
              <w:top w:val="nil"/>
              <w:left w:val="nil"/>
              <w:bottom w:val="nil"/>
              <w:right w:val="nil"/>
            </w:tcBorders>
            <w:shd w:val="clear" w:color="auto" w:fill="auto"/>
            <w:noWrap/>
            <w:vAlign w:val="bottom"/>
            <w:hideMark/>
          </w:tcPr>
          <w:p w14:paraId="0118E4A9"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.202***</w:t>
            </w:r>
          </w:p>
        </w:tc>
      </w:tr>
      <w:tr w:rsidR="00FF711A" w:rsidRPr="00B72B6C" w14:paraId="20C76750" w14:textId="77777777" w:rsidTr="00FF711A">
        <w:trPr>
          <w:trHeight w:val="300"/>
        </w:trPr>
        <w:tc>
          <w:tcPr>
            <w:tcW w:w="2268" w:type="dxa"/>
            <w:tcBorders>
              <w:top w:val="nil"/>
              <w:left w:val="nil"/>
              <w:bottom w:val="nil"/>
              <w:right w:val="nil"/>
            </w:tcBorders>
            <w:shd w:val="clear" w:color="auto" w:fill="auto"/>
            <w:noWrap/>
            <w:vAlign w:val="bottom"/>
            <w:hideMark/>
          </w:tcPr>
          <w:p w14:paraId="73A22720"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42" w:type="dxa"/>
            <w:tcBorders>
              <w:top w:val="nil"/>
              <w:left w:val="nil"/>
              <w:bottom w:val="nil"/>
              <w:right w:val="nil"/>
            </w:tcBorders>
            <w:shd w:val="clear" w:color="auto" w:fill="auto"/>
            <w:noWrap/>
            <w:vAlign w:val="bottom"/>
            <w:hideMark/>
          </w:tcPr>
          <w:p w14:paraId="2EC3E722" w14:textId="77777777" w:rsidR="004A3136" w:rsidRPr="00B72B6C" w:rsidRDefault="004A3136" w:rsidP="004A3136">
            <w:pPr>
              <w:spacing w:after="0" w:line="240" w:lineRule="auto"/>
              <w:ind w:left="0" w:firstLine="0"/>
              <w:jc w:val="left"/>
              <w:rPr>
                <w:rFonts w:ascii="Times New Roman" w:eastAsia="Times New Roman" w:hAnsi="Times New Roman" w:cs="Times New Roman"/>
                <w:color w:val="auto"/>
                <w:sz w:val="16"/>
                <w:szCs w:val="16"/>
                <w:lang w:val="en-US"/>
              </w:rPr>
            </w:pPr>
          </w:p>
        </w:tc>
        <w:tc>
          <w:tcPr>
            <w:tcW w:w="1197" w:type="dxa"/>
            <w:tcBorders>
              <w:top w:val="nil"/>
              <w:left w:val="nil"/>
              <w:bottom w:val="nil"/>
              <w:right w:val="nil"/>
            </w:tcBorders>
            <w:shd w:val="clear" w:color="auto" w:fill="auto"/>
            <w:noWrap/>
            <w:vAlign w:val="bottom"/>
            <w:hideMark/>
          </w:tcPr>
          <w:p w14:paraId="2C86BFD2"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(.058)</w:t>
            </w:r>
          </w:p>
        </w:tc>
        <w:tc>
          <w:tcPr>
            <w:tcW w:w="923" w:type="dxa"/>
            <w:tcBorders>
              <w:top w:val="nil"/>
              <w:left w:val="nil"/>
              <w:bottom w:val="nil"/>
              <w:right w:val="nil"/>
            </w:tcBorders>
            <w:shd w:val="clear" w:color="auto" w:fill="auto"/>
            <w:noWrap/>
            <w:vAlign w:val="bottom"/>
            <w:hideMark/>
          </w:tcPr>
          <w:p w14:paraId="4879A52B"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7DC24034"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(.058)</w:t>
            </w:r>
          </w:p>
        </w:tc>
        <w:tc>
          <w:tcPr>
            <w:tcW w:w="986" w:type="dxa"/>
            <w:tcBorders>
              <w:top w:val="nil"/>
              <w:left w:val="nil"/>
              <w:bottom w:val="nil"/>
              <w:right w:val="nil"/>
            </w:tcBorders>
            <w:shd w:val="clear" w:color="auto" w:fill="auto"/>
            <w:noWrap/>
            <w:vAlign w:val="bottom"/>
            <w:hideMark/>
          </w:tcPr>
          <w:p w14:paraId="20260613"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bottom"/>
            <w:hideMark/>
          </w:tcPr>
          <w:p w14:paraId="6DC3D20E"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(.061)</w:t>
            </w:r>
          </w:p>
        </w:tc>
        <w:tc>
          <w:tcPr>
            <w:tcW w:w="866" w:type="dxa"/>
            <w:tcBorders>
              <w:top w:val="nil"/>
              <w:left w:val="nil"/>
              <w:bottom w:val="nil"/>
              <w:right w:val="nil"/>
            </w:tcBorders>
            <w:shd w:val="clear" w:color="auto" w:fill="auto"/>
            <w:noWrap/>
            <w:vAlign w:val="bottom"/>
            <w:hideMark/>
          </w:tcPr>
          <w:p w14:paraId="0C5E440C"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77" w:type="dxa"/>
            <w:tcBorders>
              <w:top w:val="nil"/>
              <w:left w:val="nil"/>
              <w:bottom w:val="nil"/>
              <w:right w:val="nil"/>
            </w:tcBorders>
            <w:shd w:val="clear" w:color="auto" w:fill="auto"/>
            <w:noWrap/>
            <w:vAlign w:val="bottom"/>
            <w:hideMark/>
          </w:tcPr>
          <w:p w14:paraId="176535A3"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(.061)</w:t>
            </w:r>
          </w:p>
        </w:tc>
      </w:tr>
      <w:tr w:rsidR="00FF711A" w:rsidRPr="00B72B6C" w14:paraId="0F5D330D" w14:textId="77777777" w:rsidTr="00FF711A">
        <w:trPr>
          <w:trHeight w:val="300"/>
        </w:trPr>
        <w:tc>
          <w:tcPr>
            <w:tcW w:w="2268" w:type="dxa"/>
            <w:tcBorders>
              <w:top w:val="nil"/>
              <w:left w:val="nil"/>
              <w:bottom w:val="nil"/>
              <w:right w:val="nil"/>
            </w:tcBorders>
            <w:shd w:val="clear" w:color="auto" w:fill="auto"/>
            <w:noWrap/>
            <w:vAlign w:val="bottom"/>
            <w:hideMark/>
          </w:tcPr>
          <w:p w14:paraId="1CD32B47"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proofErr w:type="spellStart"/>
            <w:r w:rsidRPr="00B72B6C">
              <w:rPr>
                <w:rFonts w:ascii="Times New Roman" w:eastAsia="Times New Roman" w:hAnsi="Times New Roman" w:cs="Times New Roman"/>
                <w:sz w:val="20"/>
                <w:szCs w:val="20"/>
                <w:lang w:val="en-US"/>
              </w:rPr>
              <w:t>ERirt</w:t>
            </w:r>
            <w:proofErr w:type="spellEnd"/>
          </w:p>
        </w:tc>
        <w:tc>
          <w:tcPr>
            <w:tcW w:w="942" w:type="dxa"/>
            <w:tcBorders>
              <w:top w:val="nil"/>
              <w:left w:val="nil"/>
              <w:bottom w:val="nil"/>
              <w:right w:val="nil"/>
            </w:tcBorders>
            <w:shd w:val="clear" w:color="auto" w:fill="auto"/>
            <w:noWrap/>
            <w:vAlign w:val="bottom"/>
            <w:hideMark/>
          </w:tcPr>
          <w:p w14:paraId="6C2FF3A5"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06A2EB45"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.414***</w:t>
            </w:r>
          </w:p>
        </w:tc>
        <w:tc>
          <w:tcPr>
            <w:tcW w:w="923" w:type="dxa"/>
            <w:tcBorders>
              <w:top w:val="nil"/>
              <w:left w:val="nil"/>
              <w:bottom w:val="nil"/>
              <w:right w:val="nil"/>
            </w:tcBorders>
            <w:shd w:val="clear" w:color="auto" w:fill="auto"/>
            <w:noWrap/>
            <w:vAlign w:val="bottom"/>
            <w:hideMark/>
          </w:tcPr>
          <w:p w14:paraId="33285FF4"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2EF5DBB9"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.424***</w:t>
            </w:r>
          </w:p>
        </w:tc>
        <w:tc>
          <w:tcPr>
            <w:tcW w:w="986" w:type="dxa"/>
            <w:tcBorders>
              <w:top w:val="nil"/>
              <w:left w:val="nil"/>
              <w:bottom w:val="nil"/>
              <w:right w:val="nil"/>
            </w:tcBorders>
            <w:shd w:val="clear" w:color="auto" w:fill="auto"/>
            <w:noWrap/>
            <w:vAlign w:val="bottom"/>
            <w:hideMark/>
          </w:tcPr>
          <w:p w14:paraId="28FB1802"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bottom"/>
            <w:hideMark/>
          </w:tcPr>
          <w:p w14:paraId="43D4C95C"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.159***</w:t>
            </w:r>
          </w:p>
        </w:tc>
        <w:tc>
          <w:tcPr>
            <w:tcW w:w="866" w:type="dxa"/>
            <w:tcBorders>
              <w:top w:val="nil"/>
              <w:left w:val="nil"/>
              <w:bottom w:val="nil"/>
              <w:right w:val="nil"/>
            </w:tcBorders>
            <w:shd w:val="clear" w:color="auto" w:fill="auto"/>
            <w:noWrap/>
            <w:vAlign w:val="bottom"/>
            <w:hideMark/>
          </w:tcPr>
          <w:p w14:paraId="553DB6F2"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77" w:type="dxa"/>
            <w:tcBorders>
              <w:top w:val="nil"/>
              <w:left w:val="nil"/>
              <w:bottom w:val="nil"/>
              <w:right w:val="nil"/>
            </w:tcBorders>
            <w:shd w:val="clear" w:color="auto" w:fill="auto"/>
            <w:noWrap/>
            <w:vAlign w:val="bottom"/>
            <w:hideMark/>
          </w:tcPr>
          <w:p w14:paraId="3BA04AAA"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.168***</w:t>
            </w:r>
          </w:p>
        </w:tc>
      </w:tr>
      <w:tr w:rsidR="00FF711A" w:rsidRPr="00B72B6C" w14:paraId="20C4AF62" w14:textId="77777777" w:rsidTr="00FF711A">
        <w:trPr>
          <w:trHeight w:val="300"/>
        </w:trPr>
        <w:tc>
          <w:tcPr>
            <w:tcW w:w="2268" w:type="dxa"/>
            <w:tcBorders>
              <w:top w:val="nil"/>
              <w:left w:val="nil"/>
              <w:bottom w:val="single" w:sz="4" w:space="0" w:color="auto"/>
              <w:right w:val="nil"/>
            </w:tcBorders>
            <w:shd w:val="clear" w:color="auto" w:fill="auto"/>
            <w:noWrap/>
            <w:vAlign w:val="bottom"/>
            <w:hideMark/>
          </w:tcPr>
          <w:p w14:paraId="057C44A8"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942" w:type="dxa"/>
            <w:tcBorders>
              <w:top w:val="nil"/>
              <w:left w:val="nil"/>
              <w:bottom w:val="single" w:sz="4" w:space="0" w:color="auto"/>
              <w:right w:val="nil"/>
            </w:tcBorders>
            <w:shd w:val="clear" w:color="auto" w:fill="auto"/>
            <w:noWrap/>
            <w:vAlign w:val="bottom"/>
            <w:hideMark/>
          </w:tcPr>
          <w:p w14:paraId="0B6286B9"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97" w:type="dxa"/>
            <w:tcBorders>
              <w:top w:val="nil"/>
              <w:left w:val="nil"/>
              <w:bottom w:val="single" w:sz="4" w:space="0" w:color="auto"/>
              <w:right w:val="nil"/>
            </w:tcBorders>
            <w:shd w:val="clear" w:color="auto" w:fill="auto"/>
            <w:noWrap/>
            <w:vAlign w:val="bottom"/>
            <w:hideMark/>
          </w:tcPr>
          <w:p w14:paraId="5DD728B1"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(.044)</w:t>
            </w:r>
          </w:p>
        </w:tc>
        <w:tc>
          <w:tcPr>
            <w:tcW w:w="923" w:type="dxa"/>
            <w:tcBorders>
              <w:top w:val="nil"/>
              <w:left w:val="nil"/>
              <w:bottom w:val="single" w:sz="4" w:space="0" w:color="auto"/>
              <w:right w:val="nil"/>
            </w:tcBorders>
            <w:shd w:val="clear" w:color="auto" w:fill="auto"/>
            <w:noWrap/>
            <w:vAlign w:val="bottom"/>
            <w:hideMark/>
          </w:tcPr>
          <w:p w14:paraId="22410510"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97" w:type="dxa"/>
            <w:tcBorders>
              <w:top w:val="nil"/>
              <w:left w:val="nil"/>
              <w:bottom w:val="single" w:sz="4" w:space="0" w:color="auto"/>
              <w:right w:val="nil"/>
            </w:tcBorders>
            <w:shd w:val="clear" w:color="auto" w:fill="auto"/>
            <w:noWrap/>
            <w:vAlign w:val="bottom"/>
            <w:hideMark/>
          </w:tcPr>
          <w:p w14:paraId="336C0CD5"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(.044)</w:t>
            </w:r>
          </w:p>
        </w:tc>
        <w:tc>
          <w:tcPr>
            <w:tcW w:w="986" w:type="dxa"/>
            <w:tcBorders>
              <w:top w:val="nil"/>
              <w:left w:val="nil"/>
              <w:bottom w:val="single" w:sz="4" w:space="0" w:color="auto"/>
              <w:right w:val="nil"/>
            </w:tcBorders>
            <w:shd w:val="clear" w:color="auto" w:fill="auto"/>
            <w:noWrap/>
            <w:vAlign w:val="bottom"/>
            <w:hideMark/>
          </w:tcPr>
          <w:p w14:paraId="53350EEF"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992" w:type="dxa"/>
            <w:tcBorders>
              <w:top w:val="nil"/>
              <w:left w:val="nil"/>
              <w:bottom w:val="single" w:sz="4" w:space="0" w:color="auto"/>
              <w:right w:val="nil"/>
            </w:tcBorders>
            <w:shd w:val="clear" w:color="auto" w:fill="auto"/>
            <w:noWrap/>
            <w:vAlign w:val="bottom"/>
            <w:hideMark/>
          </w:tcPr>
          <w:p w14:paraId="358AD292"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(.045)</w:t>
            </w:r>
          </w:p>
        </w:tc>
        <w:tc>
          <w:tcPr>
            <w:tcW w:w="866" w:type="dxa"/>
            <w:tcBorders>
              <w:top w:val="nil"/>
              <w:left w:val="nil"/>
              <w:bottom w:val="single" w:sz="4" w:space="0" w:color="auto"/>
              <w:right w:val="nil"/>
            </w:tcBorders>
            <w:shd w:val="clear" w:color="auto" w:fill="auto"/>
            <w:noWrap/>
            <w:vAlign w:val="bottom"/>
            <w:hideMark/>
          </w:tcPr>
          <w:p w14:paraId="29BD0C86"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977" w:type="dxa"/>
            <w:tcBorders>
              <w:top w:val="nil"/>
              <w:left w:val="nil"/>
              <w:bottom w:val="single" w:sz="4" w:space="0" w:color="auto"/>
              <w:right w:val="nil"/>
            </w:tcBorders>
            <w:shd w:val="clear" w:color="auto" w:fill="auto"/>
            <w:noWrap/>
            <w:vAlign w:val="bottom"/>
            <w:hideMark/>
          </w:tcPr>
          <w:p w14:paraId="54963038"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(.045)</w:t>
            </w:r>
          </w:p>
        </w:tc>
      </w:tr>
      <w:tr w:rsidR="00FF711A" w:rsidRPr="00B72B6C" w14:paraId="7A0F3969" w14:textId="77777777" w:rsidTr="00FF711A">
        <w:trPr>
          <w:trHeight w:val="300"/>
        </w:trPr>
        <w:tc>
          <w:tcPr>
            <w:tcW w:w="2268" w:type="dxa"/>
            <w:tcBorders>
              <w:top w:val="nil"/>
              <w:left w:val="nil"/>
              <w:bottom w:val="nil"/>
              <w:right w:val="nil"/>
            </w:tcBorders>
            <w:shd w:val="clear" w:color="auto" w:fill="auto"/>
            <w:noWrap/>
            <w:vAlign w:val="bottom"/>
            <w:hideMark/>
          </w:tcPr>
          <w:p w14:paraId="348910AE"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Year FE</w:t>
            </w:r>
          </w:p>
        </w:tc>
        <w:tc>
          <w:tcPr>
            <w:tcW w:w="942" w:type="dxa"/>
            <w:tcBorders>
              <w:top w:val="nil"/>
              <w:left w:val="nil"/>
              <w:bottom w:val="nil"/>
              <w:right w:val="nil"/>
            </w:tcBorders>
            <w:shd w:val="clear" w:color="auto" w:fill="auto"/>
            <w:noWrap/>
            <w:vAlign w:val="bottom"/>
            <w:hideMark/>
          </w:tcPr>
          <w:p w14:paraId="0951A108"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97" w:type="dxa"/>
            <w:tcBorders>
              <w:top w:val="nil"/>
              <w:left w:val="nil"/>
              <w:bottom w:val="nil"/>
              <w:right w:val="nil"/>
            </w:tcBorders>
            <w:shd w:val="clear" w:color="auto" w:fill="auto"/>
            <w:noWrap/>
            <w:vAlign w:val="bottom"/>
            <w:hideMark/>
          </w:tcPr>
          <w:p w14:paraId="1B9B5DC4"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923" w:type="dxa"/>
            <w:tcBorders>
              <w:top w:val="nil"/>
              <w:left w:val="nil"/>
              <w:bottom w:val="nil"/>
              <w:right w:val="nil"/>
            </w:tcBorders>
            <w:shd w:val="clear" w:color="auto" w:fill="auto"/>
            <w:noWrap/>
            <w:vAlign w:val="bottom"/>
            <w:hideMark/>
          </w:tcPr>
          <w:p w14:paraId="3268E1F9"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97" w:type="dxa"/>
            <w:tcBorders>
              <w:top w:val="nil"/>
              <w:left w:val="nil"/>
              <w:bottom w:val="nil"/>
              <w:right w:val="nil"/>
            </w:tcBorders>
            <w:shd w:val="clear" w:color="auto" w:fill="auto"/>
            <w:noWrap/>
            <w:vAlign w:val="bottom"/>
            <w:hideMark/>
          </w:tcPr>
          <w:p w14:paraId="7CB1E904"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986" w:type="dxa"/>
            <w:tcBorders>
              <w:top w:val="nil"/>
              <w:left w:val="nil"/>
              <w:bottom w:val="nil"/>
              <w:right w:val="nil"/>
            </w:tcBorders>
            <w:shd w:val="clear" w:color="auto" w:fill="auto"/>
            <w:noWrap/>
            <w:vAlign w:val="bottom"/>
            <w:hideMark/>
          </w:tcPr>
          <w:p w14:paraId="50453D4E"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992" w:type="dxa"/>
            <w:tcBorders>
              <w:top w:val="nil"/>
              <w:left w:val="nil"/>
              <w:bottom w:val="nil"/>
              <w:right w:val="nil"/>
            </w:tcBorders>
            <w:shd w:val="clear" w:color="auto" w:fill="auto"/>
            <w:noWrap/>
            <w:vAlign w:val="bottom"/>
            <w:hideMark/>
          </w:tcPr>
          <w:p w14:paraId="0B4DC71C"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866" w:type="dxa"/>
            <w:tcBorders>
              <w:top w:val="nil"/>
              <w:left w:val="nil"/>
              <w:bottom w:val="nil"/>
              <w:right w:val="nil"/>
            </w:tcBorders>
            <w:shd w:val="clear" w:color="auto" w:fill="auto"/>
            <w:noWrap/>
            <w:vAlign w:val="bottom"/>
            <w:hideMark/>
          </w:tcPr>
          <w:p w14:paraId="41DC349E"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977" w:type="dxa"/>
            <w:tcBorders>
              <w:top w:val="nil"/>
              <w:left w:val="nil"/>
              <w:bottom w:val="nil"/>
              <w:right w:val="nil"/>
            </w:tcBorders>
            <w:shd w:val="clear" w:color="auto" w:fill="auto"/>
            <w:noWrap/>
            <w:vAlign w:val="bottom"/>
            <w:hideMark/>
          </w:tcPr>
          <w:p w14:paraId="37DB7B20"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r>
      <w:tr w:rsidR="00FF711A" w:rsidRPr="00B72B6C" w14:paraId="0FF7F5F8" w14:textId="77777777" w:rsidTr="00FF711A">
        <w:trPr>
          <w:trHeight w:val="300"/>
        </w:trPr>
        <w:tc>
          <w:tcPr>
            <w:tcW w:w="2268" w:type="dxa"/>
            <w:tcBorders>
              <w:top w:val="nil"/>
              <w:left w:val="nil"/>
              <w:bottom w:val="nil"/>
              <w:right w:val="nil"/>
            </w:tcBorders>
            <w:shd w:val="clear" w:color="auto" w:fill="auto"/>
            <w:noWrap/>
            <w:vAlign w:val="bottom"/>
            <w:hideMark/>
          </w:tcPr>
          <w:p w14:paraId="351A7997"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Industry FE</w:t>
            </w:r>
          </w:p>
        </w:tc>
        <w:tc>
          <w:tcPr>
            <w:tcW w:w="942" w:type="dxa"/>
            <w:tcBorders>
              <w:top w:val="nil"/>
              <w:left w:val="nil"/>
              <w:bottom w:val="nil"/>
              <w:right w:val="nil"/>
            </w:tcBorders>
            <w:shd w:val="clear" w:color="auto" w:fill="auto"/>
            <w:noWrap/>
            <w:vAlign w:val="bottom"/>
            <w:hideMark/>
          </w:tcPr>
          <w:p w14:paraId="53B766DA"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3DF1A099"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923" w:type="dxa"/>
            <w:tcBorders>
              <w:top w:val="nil"/>
              <w:left w:val="nil"/>
              <w:bottom w:val="nil"/>
              <w:right w:val="nil"/>
            </w:tcBorders>
            <w:shd w:val="clear" w:color="auto" w:fill="auto"/>
            <w:noWrap/>
            <w:vAlign w:val="bottom"/>
            <w:hideMark/>
          </w:tcPr>
          <w:p w14:paraId="79AADA88"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1197" w:type="dxa"/>
            <w:tcBorders>
              <w:top w:val="nil"/>
              <w:left w:val="nil"/>
              <w:bottom w:val="nil"/>
              <w:right w:val="nil"/>
            </w:tcBorders>
            <w:shd w:val="clear" w:color="auto" w:fill="auto"/>
            <w:noWrap/>
            <w:vAlign w:val="bottom"/>
            <w:hideMark/>
          </w:tcPr>
          <w:p w14:paraId="2A8E8227"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986" w:type="dxa"/>
            <w:tcBorders>
              <w:top w:val="nil"/>
              <w:left w:val="nil"/>
              <w:bottom w:val="nil"/>
              <w:right w:val="nil"/>
            </w:tcBorders>
            <w:shd w:val="clear" w:color="auto" w:fill="auto"/>
            <w:noWrap/>
            <w:vAlign w:val="bottom"/>
            <w:hideMark/>
          </w:tcPr>
          <w:p w14:paraId="3823D7A1"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92" w:type="dxa"/>
            <w:tcBorders>
              <w:top w:val="nil"/>
              <w:left w:val="nil"/>
              <w:bottom w:val="nil"/>
              <w:right w:val="nil"/>
            </w:tcBorders>
            <w:shd w:val="clear" w:color="auto" w:fill="auto"/>
            <w:noWrap/>
            <w:vAlign w:val="bottom"/>
            <w:hideMark/>
          </w:tcPr>
          <w:p w14:paraId="5213FD93"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866" w:type="dxa"/>
            <w:tcBorders>
              <w:top w:val="nil"/>
              <w:left w:val="nil"/>
              <w:bottom w:val="nil"/>
              <w:right w:val="nil"/>
            </w:tcBorders>
            <w:shd w:val="clear" w:color="auto" w:fill="auto"/>
            <w:noWrap/>
            <w:vAlign w:val="bottom"/>
            <w:hideMark/>
          </w:tcPr>
          <w:p w14:paraId="63F3D22F"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p>
        </w:tc>
        <w:tc>
          <w:tcPr>
            <w:tcW w:w="977" w:type="dxa"/>
            <w:tcBorders>
              <w:top w:val="nil"/>
              <w:left w:val="nil"/>
              <w:bottom w:val="nil"/>
              <w:right w:val="nil"/>
            </w:tcBorders>
            <w:shd w:val="clear" w:color="auto" w:fill="auto"/>
            <w:noWrap/>
            <w:vAlign w:val="bottom"/>
            <w:hideMark/>
          </w:tcPr>
          <w:p w14:paraId="1BD3307D"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r>
      <w:tr w:rsidR="00FF711A" w:rsidRPr="00B72B6C" w14:paraId="04AFF393" w14:textId="77777777" w:rsidTr="00FF711A">
        <w:trPr>
          <w:trHeight w:val="320"/>
        </w:trPr>
        <w:tc>
          <w:tcPr>
            <w:tcW w:w="2268" w:type="dxa"/>
            <w:tcBorders>
              <w:top w:val="nil"/>
              <w:left w:val="nil"/>
              <w:bottom w:val="double" w:sz="6" w:space="0" w:color="auto"/>
              <w:right w:val="nil"/>
            </w:tcBorders>
            <w:shd w:val="clear" w:color="auto" w:fill="auto"/>
            <w:noWrap/>
            <w:vAlign w:val="bottom"/>
            <w:hideMark/>
          </w:tcPr>
          <w:p w14:paraId="36A3D44E"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N</w:t>
            </w:r>
          </w:p>
        </w:tc>
        <w:tc>
          <w:tcPr>
            <w:tcW w:w="942" w:type="dxa"/>
            <w:tcBorders>
              <w:top w:val="nil"/>
              <w:left w:val="nil"/>
              <w:bottom w:val="double" w:sz="6" w:space="0" w:color="auto"/>
              <w:right w:val="nil"/>
            </w:tcBorders>
            <w:shd w:val="clear" w:color="auto" w:fill="auto"/>
            <w:noWrap/>
            <w:vAlign w:val="bottom"/>
            <w:hideMark/>
          </w:tcPr>
          <w:p w14:paraId="46148A6E"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36,995</w:t>
            </w:r>
          </w:p>
        </w:tc>
        <w:tc>
          <w:tcPr>
            <w:tcW w:w="1197" w:type="dxa"/>
            <w:tcBorders>
              <w:top w:val="nil"/>
              <w:left w:val="nil"/>
              <w:bottom w:val="double" w:sz="6" w:space="0" w:color="auto"/>
              <w:right w:val="nil"/>
            </w:tcBorders>
            <w:shd w:val="clear" w:color="auto" w:fill="auto"/>
            <w:noWrap/>
            <w:vAlign w:val="bottom"/>
            <w:hideMark/>
          </w:tcPr>
          <w:p w14:paraId="1D0F6C7D"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36,995</w:t>
            </w:r>
          </w:p>
        </w:tc>
        <w:tc>
          <w:tcPr>
            <w:tcW w:w="923" w:type="dxa"/>
            <w:tcBorders>
              <w:top w:val="nil"/>
              <w:left w:val="nil"/>
              <w:bottom w:val="double" w:sz="6" w:space="0" w:color="auto"/>
              <w:right w:val="nil"/>
            </w:tcBorders>
            <w:shd w:val="clear" w:color="auto" w:fill="auto"/>
            <w:noWrap/>
            <w:vAlign w:val="bottom"/>
            <w:hideMark/>
          </w:tcPr>
          <w:p w14:paraId="73C1B8AB"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36,995</w:t>
            </w:r>
          </w:p>
        </w:tc>
        <w:tc>
          <w:tcPr>
            <w:tcW w:w="1197" w:type="dxa"/>
            <w:tcBorders>
              <w:top w:val="nil"/>
              <w:left w:val="nil"/>
              <w:bottom w:val="double" w:sz="6" w:space="0" w:color="auto"/>
              <w:right w:val="nil"/>
            </w:tcBorders>
            <w:shd w:val="clear" w:color="auto" w:fill="auto"/>
            <w:noWrap/>
            <w:vAlign w:val="bottom"/>
            <w:hideMark/>
          </w:tcPr>
          <w:p w14:paraId="69D68057"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36,995</w:t>
            </w:r>
          </w:p>
        </w:tc>
        <w:tc>
          <w:tcPr>
            <w:tcW w:w="986" w:type="dxa"/>
            <w:tcBorders>
              <w:top w:val="nil"/>
              <w:left w:val="nil"/>
              <w:bottom w:val="double" w:sz="6" w:space="0" w:color="auto"/>
              <w:right w:val="nil"/>
            </w:tcBorders>
            <w:shd w:val="clear" w:color="auto" w:fill="auto"/>
            <w:noWrap/>
            <w:vAlign w:val="bottom"/>
            <w:hideMark/>
          </w:tcPr>
          <w:p w14:paraId="65066C22"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36,995</w:t>
            </w:r>
          </w:p>
        </w:tc>
        <w:tc>
          <w:tcPr>
            <w:tcW w:w="992" w:type="dxa"/>
            <w:tcBorders>
              <w:top w:val="nil"/>
              <w:left w:val="nil"/>
              <w:bottom w:val="double" w:sz="6" w:space="0" w:color="auto"/>
              <w:right w:val="nil"/>
            </w:tcBorders>
            <w:shd w:val="clear" w:color="auto" w:fill="auto"/>
            <w:noWrap/>
            <w:vAlign w:val="bottom"/>
            <w:hideMark/>
          </w:tcPr>
          <w:p w14:paraId="426F4F16"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36,995</w:t>
            </w:r>
          </w:p>
        </w:tc>
        <w:tc>
          <w:tcPr>
            <w:tcW w:w="866" w:type="dxa"/>
            <w:tcBorders>
              <w:top w:val="nil"/>
              <w:left w:val="nil"/>
              <w:bottom w:val="double" w:sz="6" w:space="0" w:color="auto"/>
              <w:right w:val="nil"/>
            </w:tcBorders>
            <w:shd w:val="clear" w:color="auto" w:fill="auto"/>
            <w:noWrap/>
            <w:vAlign w:val="bottom"/>
            <w:hideMark/>
          </w:tcPr>
          <w:p w14:paraId="4339C6B3"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36,995</w:t>
            </w:r>
          </w:p>
        </w:tc>
        <w:tc>
          <w:tcPr>
            <w:tcW w:w="977" w:type="dxa"/>
            <w:tcBorders>
              <w:top w:val="nil"/>
              <w:left w:val="nil"/>
              <w:bottom w:val="double" w:sz="6" w:space="0" w:color="auto"/>
              <w:right w:val="nil"/>
            </w:tcBorders>
            <w:shd w:val="clear" w:color="auto" w:fill="auto"/>
            <w:noWrap/>
            <w:vAlign w:val="bottom"/>
            <w:hideMark/>
          </w:tcPr>
          <w:p w14:paraId="1A88945A" w14:textId="77777777" w:rsidR="004A3136" w:rsidRPr="00B72B6C" w:rsidRDefault="004A3136" w:rsidP="004A3136">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36,995</w:t>
            </w:r>
          </w:p>
        </w:tc>
      </w:tr>
      <w:tr w:rsidR="00FF711A" w:rsidRPr="00B72B6C" w14:paraId="2AFF50CB" w14:textId="77777777" w:rsidTr="00FF711A">
        <w:trPr>
          <w:trHeight w:val="360"/>
        </w:trPr>
        <w:tc>
          <w:tcPr>
            <w:tcW w:w="3210" w:type="dxa"/>
            <w:gridSpan w:val="2"/>
            <w:tcBorders>
              <w:top w:val="nil"/>
              <w:left w:val="nil"/>
              <w:bottom w:val="nil"/>
              <w:right w:val="nil"/>
            </w:tcBorders>
            <w:shd w:val="clear" w:color="auto" w:fill="auto"/>
            <w:noWrap/>
            <w:vAlign w:val="bottom"/>
            <w:hideMark/>
          </w:tcPr>
          <w:p w14:paraId="6D200EB0"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Note: *p&lt;0.1; **p&lt;0.05; ***p&lt;0.01</w:t>
            </w:r>
          </w:p>
        </w:tc>
        <w:tc>
          <w:tcPr>
            <w:tcW w:w="1197" w:type="dxa"/>
            <w:tcBorders>
              <w:top w:val="nil"/>
              <w:left w:val="nil"/>
              <w:bottom w:val="nil"/>
              <w:right w:val="nil"/>
            </w:tcBorders>
            <w:shd w:val="clear" w:color="auto" w:fill="auto"/>
            <w:noWrap/>
            <w:vAlign w:val="bottom"/>
            <w:hideMark/>
          </w:tcPr>
          <w:p w14:paraId="01E0704D" w14:textId="77777777" w:rsidR="004A3136" w:rsidRPr="00B72B6C" w:rsidRDefault="004A3136" w:rsidP="004A3136">
            <w:pPr>
              <w:spacing w:after="0" w:line="240" w:lineRule="auto"/>
              <w:ind w:left="0" w:firstLine="0"/>
              <w:jc w:val="left"/>
              <w:rPr>
                <w:rFonts w:ascii="Times New Roman" w:eastAsia="Times New Roman" w:hAnsi="Times New Roman" w:cs="Times New Roman"/>
                <w:sz w:val="20"/>
                <w:szCs w:val="20"/>
                <w:lang w:val="en-US"/>
              </w:rPr>
            </w:pPr>
          </w:p>
        </w:tc>
        <w:tc>
          <w:tcPr>
            <w:tcW w:w="923" w:type="dxa"/>
            <w:tcBorders>
              <w:top w:val="nil"/>
              <w:left w:val="nil"/>
              <w:bottom w:val="nil"/>
              <w:right w:val="nil"/>
            </w:tcBorders>
            <w:shd w:val="clear" w:color="auto" w:fill="auto"/>
            <w:noWrap/>
            <w:vAlign w:val="bottom"/>
            <w:hideMark/>
          </w:tcPr>
          <w:p w14:paraId="1A40DEEA" w14:textId="77777777" w:rsidR="004A3136" w:rsidRPr="00B72B6C" w:rsidRDefault="004A3136" w:rsidP="004A3136">
            <w:pPr>
              <w:spacing w:after="0" w:line="240" w:lineRule="auto"/>
              <w:ind w:left="0" w:firstLine="0"/>
              <w:jc w:val="left"/>
              <w:rPr>
                <w:rFonts w:ascii="Times New Roman" w:eastAsia="Times New Roman" w:hAnsi="Times New Roman" w:cs="Times New Roman"/>
                <w:color w:val="auto"/>
                <w:sz w:val="16"/>
                <w:szCs w:val="16"/>
                <w:lang w:val="en-US"/>
              </w:rPr>
            </w:pPr>
          </w:p>
        </w:tc>
        <w:tc>
          <w:tcPr>
            <w:tcW w:w="1197" w:type="dxa"/>
            <w:tcBorders>
              <w:top w:val="nil"/>
              <w:left w:val="nil"/>
              <w:bottom w:val="nil"/>
              <w:right w:val="nil"/>
            </w:tcBorders>
            <w:shd w:val="clear" w:color="auto" w:fill="auto"/>
            <w:noWrap/>
            <w:vAlign w:val="bottom"/>
            <w:hideMark/>
          </w:tcPr>
          <w:p w14:paraId="45B47F8A" w14:textId="77777777" w:rsidR="004A3136" w:rsidRPr="00B72B6C" w:rsidRDefault="004A3136" w:rsidP="004A3136">
            <w:pPr>
              <w:spacing w:after="0" w:line="240" w:lineRule="auto"/>
              <w:ind w:left="0" w:firstLine="0"/>
              <w:jc w:val="left"/>
              <w:rPr>
                <w:rFonts w:ascii="Times New Roman" w:eastAsia="Times New Roman" w:hAnsi="Times New Roman" w:cs="Times New Roman"/>
                <w:color w:val="auto"/>
                <w:sz w:val="16"/>
                <w:szCs w:val="16"/>
                <w:lang w:val="en-US"/>
              </w:rPr>
            </w:pPr>
          </w:p>
        </w:tc>
        <w:tc>
          <w:tcPr>
            <w:tcW w:w="986" w:type="dxa"/>
            <w:tcBorders>
              <w:top w:val="nil"/>
              <w:left w:val="nil"/>
              <w:bottom w:val="nil"/>
              <w:right w:val="nil"/>
            </w:tcBorders>
            <w:shd w:val="clear" w:color="auto" w:fill="auto"/>
            <w:noWrap/>
            <w:vAlign w:val="bottom"/>
            <w:hideMark/>
          </w:tcPr>
          <w:p w14:paraId="388DBB62" w14:textId="77777777" w:rsidR="004A3136" w:rsidRPr="00B72B6C" w:rsidRDefault="004A3136" w:rsidP="004A3136">
            <w:pPr>
              <w:spacing w:after="0" w:line="240" w:lineRule="auto"/>
              <w:ind w:left="0" w:firstLine="0"/>
              <w:jc w:val="left"/>
              <w:rPr>
                <w:rFonts w:ascii="Times New Roman" w:eastAsia="Times New Roman" w:hAnsi="Times New Roman" w:cs="Times New Roman"/>
                <w:color w:val="auto"/>
                <w:sz w:val="16"/>
                <w:szCs w:val="16"/>
                <w:lang w:val="en-US"/>
              </w:rPr>
            </w:pPr>
          </w:p>
        </w:tc>
        <w:tc>
          <w:tcPr>
            <w:tcW w:w="992" w:type="dxa"/>
            <w:tcBorders>
              <w:top w:val="nil"/>
              <w:left w:val="nil"/>
              <w:bottom w:val="nil"/>
              <w:right w:val="nil"/>
            </w:tcBorders>
            <w:shd w:val="clear" w:color="auto" w:fill="auto"/>
            <w:noWrap/>
            <w:vAlign w:val="bottom"/>
            <w:hideMark/>
          </w:tcPr>
          <w:p w14:paraId="305A67CF" w14:textId="77777777" w:rsidR="004A3136" w:rsidRPr="00B72B6C" w:rsidRDefault="004A3136" w:rsidP="004A3136">
            <w:pPr>
              <w:spacing w:after="0" w:line="240" w:lineRule="auto"/>
              <w:ind w:left="0" w:firstLine="0"/>
              <w:jc w:val="left"/>
              <w:rPr>
                <w:rFonts w:ascii="Times New Roman" w:eastAsia="Times New Roman" w:hAnsi="Times New Roman" w:cs="Times New Roman"/>
                <w:color w:val="auto"/>
                <w:sz w:val="16"/>
                <w:szCs w:val="16"/>
                <w:lang w:val="en-US"/>
              </w:rPr>
            </w:pPr>
          </w:p>
        </w:tc>
        <w:tc>
          <w:tcPr>
            <w:tcW w:w="866" w:type="dxa"/>
            <w:tcBorders>
              <w:top w:val="nil"/>
              <w:left w:val="nil"/>
              <w:bottom w:val="nil"/>
              <w:right w:val="nil"/>
            </w:tcBorders>
            <w:shd w:val="clear" w:color="auto" w:fill="auto"/>
            <w:noWrap/>
            <w:vAlign w:val="bottom"/>
            <w:hideMark/>
          </w:tcPr>
          <w:p w14:paraId="174D3570" w14:textId="77777777" w:rsidR="004A3136" w:rsidRPr="00B72B6C" w:rsidRDefault="004A3136" w:rsidP="004A3136">
            <w:pPr>
              <w:spacing w:after="0" w:line="240" w:lineRule="auto"/>
              <w:ind w:left="0" w:firstLine="0"/>
              <w:jc w:val="left"/>
              <w:rPr>
                <w:rFonts w:ascii="Times New Roman" w:eastAsia="Times New Roman" w:hAnsi="Times New Roman" w:cs="Times New Roman"/>
                <w:color w:val="auto"/>
                <w:sz w:val="16"/>
                <w:szCs w:val="16"/>
                <w:lang w:val="en-US"/>
              </w:rPr>
            </w:pPr>
          </w:p>
        </w:tc>
        <w:tc>
          <w:tcPr>
            <w:tcW w:w="977" w:type="dxa"/>
            <w:tcBorders>
              <w:top w:val="nil"/>
              <w:left w:val="nil"/>
              <w:bottom w:val="nil"/>
              <w:right w:val="nil"/>
            </w:tcBorders>
            <w:shd w:val="clear" w:color="auto" w:fill="auto"/>
            <w:noWrap/>
            <w:vAlign w:val="bottom"/>
            <w:hideMark/>
          </w:tcPr>
          <w:p w14:paraId="0807B6DF" w14:textId="77777777" w:rsidR="004A3136" w:rsidRPr="00B72B6C" w:rsidRDefault="004A3136" w:rsidP="004A3136">
            <w:pPr>
              <w:spacing w:after="0" w:line="240" w:lineRule="auto"/>
              <w:ind w:left="0" w:firstLine="0"/>
              <w:jc w:val="left"/>
              <w:rPr>
                <w:rFonts w:ascii="Times New Roman" w:eastAsia="Times New Roman" w:hAnsi="Times New Roman" w:cs="Times New Roman"/>
                <w:color w:val="auto"/>
                <w:sz w:val="16"/>
                <w:szCs w:val="16"/>
                <w:lang w:val="en-US"/>
              </w:rPr>
            </w:pPr>
          </w:p>
        </w:tc>
      </w:tr>
    </w:tbl>
    <w:p w14:paraId="1D5EA28C" w14:textId="315FBB9D" w:rsidR="00593CF7" w:rsidRPr="00160986" w:rsidRDefault="00593CF7">
      <w:pPr>
        <w:spacing w:after="0" w:line="259" w:lineRule="auto"/>
        <w:ind w:left="1836" w:firstLine="0"/>
        <w:jc w:val="left"/>
        <w:rPr>
          <w:rFonts w:ascii="Times New Roman" w:hAnsi="Times New Roman" w:cs="Times New Roman"/>
          <w:sz w:val="20"/>
          <w:szCs w:val="21"/>
          <w:lang w:val="en-US"/>
        </w:rPr>
      </w:pPr>
    </w:p>
    <w:p w14:paraId="60C66CE4" w14:textId="77777777" w:rsidR="00DF4D03" w:rsidRPr="00073C14" w:rsidRDefault="00DF4D03" w:rsidP="00E029DA">
      <w:pPr>
        <w:spacing w:after="0" w:line="259" w:lineRule="auto"/>
        <w:ind w:left="0" w:firstLine="0"/>
        <w:jc w:val="left"/>
        <w:rPr>
          <w:lang w:val="en-US"/>
        </w:rPr>
      </w:pPr>
    </w:p>
    <w:p w14:paraId="374C54F9" w14:textId="712DC951" w:rsidR="00DF4D03" w:rsidRPr="00B72B6C" w:rsidRDefault="00DF4D03">
      <w:pPr>
        <w:spacing w:after="0" w:line="259" w:lineRule="auto"/>
        <w:ind w:left="1836" w:firstLine="0"/>
        <w:jc w:val="left"/>
        <w:rPr>
          <w:lang w:val="en-US"/>
        </w:rPr>
      </w:pPr>
    </w:p>
    <w:p w14:paraId="04912197" w14:textId="77777777" w:rsidR="001E29B8" w:rsidRPr="00B72B6C" w:rsidRDefault="001E29B8">
      <w:pPr>
        <w:spacing w:after="0" w:line="259" w:lineRule="auto"/>
        <w:ind w:left="1836" w:firstLine="0"/>
        <w:jc w:val="left"/>
        <w:rPr>
          <w:lang w:val="en-US"/>
        </w:rPr>
      </w:pPr>
    </w:p>
    <w:p w14:paraId="5F90AA81" w14:textId="47D27DB8" w:rsidR="00593CF7" w:rsidRPr="00B72B6C" w:rsidRDefault="00826CE2" w:rsidP="001E29B8">
      <w:pPr>
        <w:spacing w:line="259" w:lineRule="auto"/>
        <w:rPr>
          <w:lang w:val="en-US"/>
        </w:rPr>
      </w:pPr>
      <w:r w:rsidRPr="00B72B6C">
        <w:rPr>
          <w:lang w:val="en-US"/>
        </w:rPr>
        <w:t xml:space="preserve">Table </w:t>
      </w:r>
      <w:r w:rsidR="003B581B" w:rsidRPr="00B72B6C">
        <w:rPr>
          <w:lang w:val="en-US"/>
        </w:rPr>
        <w:t>2</w:t>
      </w:r>
      <w:r w:rsidRPr="00B72B6C">
        <w:rPr>
          <w:lang w:val="en-US"/>
        </w:rPr>
        <w:t xml:space="preserve">: IV Regression of Innovation outcomes on having former tertiary CE participants among employees. </w:t>
      </w:r>
    </w:p>
    <w:tbl>
      <w:tblPr>
        <w:tblW w:w="10877" w:type="dxa"/>
        <w:tblLook w:val="04A0" w:firstRow="1" w:lastRow="0" w:firstColumn="1" w:lastColumn="0" w:noHBand="0" w:noVBand="1"/>
      </w:tblPr>
      <w:tblGrid>
        <w:gridCol w:w="2077"/>
        <w:gridCol w:w="1093"/>
        <w:gridCol w:w="7"/>
        <w:gridCol w:w="1093"/>
        <w:gridCol w:w="7"/>
        <w:gridCol w:w="1093"/>
        <w:gridCol w:w="7"/>
        <w:gridCol w:w="1093"/>
        <w:gridCol w:w="7"/>
        <w:gridCol w:w="1093"/>
        <w:gridCol w:w="7"/>
        <w:gridCol w:w="1093"/>
        <w:gridCol w:w="7"/>
        <w:gridCol w:w="1093"/>
        <w:gridCol w:w="7"/>
        <w:gridCol w:w="1093"/>
        <w:gridCol w:w="7"/>
      </w:tblGrid>
      <w:tr w:rsidR="00E029DA" w:rsidRPr="00B72B6C" w14:paraId="744C3D0F" w14:textId="77777777" w:rsidTr="001E29B8">
        <w:trPr>
          <w:trHeight w:val="320"/>
        </w:trPr>
        <w:tc>
          <w:tcPr>
            <w:tcW w:w="2077" w:type="dxa"/>
            <w:tcBorders>
              <w:top w:val="nil"/>
              <w:left w:val="nil"/>
              <w:bottom w:val="double" w:sz="6" w:space="0" w:color="auto"/>
              <w:right w:val="nil"/>
            </w:tcBorders>
            <w:shd w:val="clear" w:color="auto" w:fill="auto"/>
            <w:noWrap/>
            <w:vAlign w:val="bottom"/>
            <w:hideMark/>
          </w:tcPr>
          <w:p w14:paraId="44CEB0C4" w14:textId="77777777" w:rsidR="00E029DA" w:rsidRPr="00B72B6C" w:rsidRDefault="00E029DA" w:rsidP="00E029DA">
            <w:pPr>
              <w:spacing w:after="0" w:line="240" w:lineRule="auto"/>
              <w:ind w:left="0" w:firstLine="0"/>
              <w:jc w:val="left"/>
              <w:rPr>
                <w:rFonts w:ascii="Calibri" w:eastAsia="Times New Roman" w:hAnsi="Calibri" w:cs="Calibri"/>
                <w:szCs w:val="22"/>
                <w:lang w:val="en-US"/>
              </w:rPr>
            </w:pPr>
            <w:r w:rsidRPr="00B72B6C">
              <w:rPr>
                <w:rFonts w:ascii="Calibri" w:eastAsia="Times New Roman" w:hAnsi="Calibri" w:cs="Calibri"/>
                <w:szCs w:val="22"/>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4860243F" w14:textId="77777777" w:rsidR="00E029DA" w:rsidRPr="00B72B6C" w:rsidRDefault="00E029DA" w:rsidP="00E029DA">
            <w:pPr>
              <w:spacing w:after="0" w:line="240" w:lineRule="auto"/>
              <w:ind w:left="0" w:firstLine="0"/>
              <w:jc w:val="center"/>
              <w:rPr>
                <w:rFonts w:ascii="Calibri" w:eastAsia="Times New Roman" w:hAnsi="Calibri" w:cs="Calibri"/>
                <w:szCs w:val="22"/>
                <w:lang w:val="en-US"/>
              </w:rPr>
            </w:pPr>
            <w:r w:rsidRPr="00B72B6C">
              <w:rPr>
                <w:rFonts w:ascii="Calibri" w:eastAsia="Times New Roman" w:hAnsi="Calibri" w:cs="Calibri"/>
                <w:szCs w:val="22"/>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2B5B64F2" w14:textId="77777777" w:rsidR="00E029DA" w:rsidRPr="00B72B6C" w:rsidRDefault="00E029DA" w:rsidP="00E029DA">
            <w:pPr>
              <w:spacing w:after="0" w:line="240" w:lineRule="auto"/>
              <w:ind w:left="0" w:firstLine="0"/>
              <w:jc w:val="center"/>
              <w:rPr>
                <w:rFonts w:ascii="Calibri" w:eastAsia="Times New Roman" w:hAnsi="Calibri" w:cs="Calibri"/>
                <w:szCs w:val="22"/>
                <w:lang w:val="en-US"/>
              </w:rPr>
            </w:pPr>
            <w:r w:rsidRPr="00B72B6C">
              <w:rPr>
                <w:rFonts w:ascii="Calibri" w:eastAsia="Times New Roman" w:hAnsi="Calibri" w:cs="Calibri"/>
                <w:szCs w:val="22"/>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6C3C6C81" w14:textId="77777777" w:rsidR="00E029DA" w:rsidRPr="00B72B6C" w:rsidRDefault="00E029DA" w:rsidP="00E029DA">
            <w:pPr>
              <w:spacing w:after="0" w:line="240" w:lineRule="auto"/>
              <w:ind w:left="0" w:firstLine="0"/>
              <w:jc w:val="center"/>
              <w:rPr>
                <w:rFonts w:ascii="Calibri" w:eastAsia="Times New Roman" w:hAnsi="Calibri" w:cs="Calibri"/>
                <w:szCs w:val="22"/>
                <w:lang w:val="en-US"/>
              </w:rPr>
            </w:pPr>
            <w:r w:rsidRPr="00B72B6C">
              <w:rPr>
                <w:rFonts w:ascii="Calibri" w:eastAsia="Times New Roman" w:hAnsi="Calibri" w:cs="Calibri"/>
                <w:szCs w:val="22"/>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651B93D6" w14:textId="77777777" w:rsidR="00E029DA" w:rsidRPr="00B72B6C" w:rsidRDefault="00E029DA" w:rsidP="00E029DA">
            <w:pPr>
              <w:spacing w:after="0" w:line="240" w:lineRule="auto"/>
              <w:ind w:left="0" w:firstLine="0"/>
              <w:jc w:val="center"/>
              <w:rPr>
                <w:rFonts w:ascii="Calibri" w:eastAsia="Times New Roman" w:hAnsi="Calibri" w:cs="Calibri"/>
                <w:szCs w:val="22"/>
                <w:lang w:val="en-US"/>
              </w:rPr>
            </w:pPr>
            <w:r w:rsidRPr="00B72B6C">
              <w:rPr>
                <w:rFonts w:ascii="Calibri" w:eastAsia="Times New Roman" w:hAnsi="Calibri" w:cs="Calibri"/>
                <w:szCs w:val="22"/>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6E03660F" w14:textId="77777777" w:rsidR="00E029DA" w:rsidRPr="00B72B6C" w:rsidRDefault="00E029DA" w:rsidP="00E029DA">
            <w:pPr>
              <w:spacing w:after="0" w:line="240" w:lineRule="auto"/>
              <w:ind w:left="0" w:firstLine="0"/>
              <w:jc w:val="center"/>
              <w:rPr>
                <w:rFonts w:ascii="Calibri" w:eastAsia="Times New Roman" w:hAnsi="Calibri" w:cs="Calibri"/>
                <w:szCs w:val="22"/>
                <w:lang w:val="en-US"/>
              </w:rPr>
            </w:pPr>
            <w:r w:rsidRPr="00B72B6C">
              <w:rPr>
                <w:rFonts w:ascii="Calibri" w:eastAsia="Times New Roman" w:hAnsi="Calibri" w:cs="Calibri"/>
                <w:szCs w:val="22"/>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136F4E2E" w14:textId="77777777" w:rsidR="00E029DA" w:rsidRPr="00B72B6C" w:rsidRDefault="00E029DA" w:rsidP="00E029DA">
            <w:pPr>
              <w:spacing w:after="0" w:line="240" w:lineRule="auto"/>
              <w:ind w:left="0" w:firstLine="0"/>
              <w:jc w:val="center"/>
              <w:rPr>
                <w:rFonts w:ascii="Calibri" w:eastAsia="Times New Roman" w:hAnsi="Calibri" w:cs="Calibri"/>
                <w:szCs w:val="22"/>
                <w:lang w:val="en-US"/>
              </w:rPr>
            </w:pPr>
            <w:r w:rsidRPr="00B72B6C">
              <w:rPr>
                <w:rFonts w:ascii="Calibri" w:eastAsia="Times New Roman" w:hAnsi="Calibri" w:cs="Calibri"/>
                <w:szCs w:val="22"/>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3016F096" w14:textId="77777777" w:rsidR="00E029DA" w:rsidRPr="00B72B6C" w:rsidRDefault="00E029DA" w:rsidP="00E029DA">
            <w:pPr>
              <w:spacing w:after="0" w:line="240" w:lineRule="auto"/>
              <w:ind w:left="0" w:firstLine="0"/>
              <w:jc w:val="center"/>
              <w:rPr>
                <w:rFonts w:ascii="Calibri" w:eastAsia="Times New Roman" w:hAnsi="Calibri" w:cs="Calibri"/>
                <w:szCs w:val="22"/>
                <w:lang w:val="en-US"/>
              </w:rPr>
            </w:pPr>
            <w:r w:rsidRPr="00B72B6C">
              <w:rPr>
                <w:rFonts w:ascii="Calibri" w:eastAsia="Times New Roman" w:hAnsi="Calibri" w:cs="Calibri"/>
                <w:szCs w:val="22"/>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7B1874F8" w14:textId="77777777" w:rsidR="00E029DA" w:rsidRPr="00B72B6C" w:rsidRDefault="00E029DA" w:rsidP="00E029DA">
            <w:pPr>
              <w:spacing w:after="0" w:line="240" w:lineRule="auto"/>
              <w:ind w:left="0" w:firstLine="0"/>
              <w:jc w:val="center"/>
              <w:rPr>
                <w:rFonts w:ascii="Calibri" w:eastAsia="Times New Roman" w:hAnsi="Calibri" w:cs="Calibri"/>
                <w:szCs w:val="22"/>
                <w:lang w:val="en-US"/>
              </w:rPr>
            </w:pPr>
            <w:r w:rsidRPr="00B72B6C">
              <w:rPr>
                <w:rFonts w:ascii="Calibri" w:eastAsia="Times New Roman" w:hAnsi="Calibri" w:cs="Calibri"/>
                <w:szCs w:val="22"/>
                <w:lang w:val="en-US"/>
              </w:rPr>
              <w:t> </w:t>
            </w:r>
          </w:p>
        </w:tc>
      </w:tr>
      <w:tr w:rsidR="00E029DA" w:rsidRPr="00B72B6C" w14:paraId="52B209F8" w14:textId="77777777" w:rsidTr="001E29B8">
        <w:trPr>
          <w:trHeight w:val="320"/>
        </w:trPr>
        <w:tc>
          <w:tcPr>
            <w:tcW w:w="2077" w:type="dxa"/>
            <w:tcBorders>
              <w:top w:val="nil"/>
              <w:left w:val="nil"/>
              <w:bottom w:val="nil"/>
              <w:right w:val="nil"/>
            </w:tcBorders>
            <w:shd w:val="clear" w:color="auto" w:fill="auto"/>
            <w:noWrap/>
            <w:vAlign w:val="bottom"/>
            <w:hideMark/>
          </w:tcPr>
          <w:p w14:paraId="2BCF691A"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p>
        </w:tc>
        <w:tc>
          <w:tcPr>
            <w:tcW w:w="4400" w:type="dxa"/>
            <w:gridSpan w:val="8"/>
            <w:tcBorders>
              <w:top w:val="nil"/>
              <w:left w:val="nil"/>
              <w:bottom w:val="nil"/>
              <w:right w:val="nil"/>
            </w:tcBorders>
            <w:shd w:val="clear" w:color="auto" w:fill="auto"/>
            <w:noWrap/>
            <w:vAlign w:val="center"/>
            <w:hideMark/>
          </w:tcPr>
          <w:p w14:paraId="4EFFDFA3"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Product Innovation</w:t>
            </w:r>
          </w:p>
        </w:tc>
        <w:tc>
          <w:tcPr>
            <w:tcW w:w="4400" w:type="dxa"/>
            <w:gridSpan w:val="8"/>
            <w:tcBorders>
              <w:top w:val="nil"/>
              <w:left w:val="nil"/>
              <w:bottom w:val="nil"/>
              <w:right w:val="nil"/>
            </w:tcBorders>
            <w:shd w:val="clear" w:color="auto" w:fill="auto"/>
            <w:noWrap/>
            <w:vAlign w:val="bottom"/>
            <w:hideMark/>
          </w:tcPr>
          <w:p w14:paraId="49335E36"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Process Innovation</w:t>
            </w:r>
          </w:p>
        </w:tc>
      </w:tr>
      <w:tr w:rsidR="00E029DA" w:rsidRPr="00B72B6C" w14:paraId="579CB3EC" w14:textId="77777777" w:rsidTr="001E29B8">
        <w:trPr>
          <w:trHeight w:val="300"/>
        </w:trPr>
        <w:tc>
          <w:tcPr>
            <w:tcW w:w="2077" w:type="dxa"/>
            <w:tcBorders>
              <w:top w:val="nil"/>
              <w:left w:val="nil"/>
              <w:bottom w:val="single" w:sz="4" w:space="0" w:color="auto"/>
              <w:right w:val="nil"/>
            </w:tcBorders>
            <w:shd w:val="clear" w:color="auto" w:fill="auto"/>
            <w:noWrap/>
            <w:vAlign w:val="bottom"/>
            <w:hideMark/>
          </w:tcPr>
          <w:p w14:paraId="13354C75" w14:textId="77777777" w:rsidR="00E029DA" w:rsidRPr="00B72B6C" w:rsidRDefault="00E029DA" w:rsidP="00E029DA">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7EC2E46A"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w:t>
            </w:r>
          </w:p>
        </w:tc>
        <w:tc>
          <w:tcPr>
            <w:tcW w:w="1100" w:type="dxa"/>
            <w:gridSpan w:val="2"/>
            <w:tcBorders>
              <w:top w:val="nil"/>
              <w:left w:val="nil"/>
              <w:bottom w:val="single" w:sz="4" w:space="0" w:color="auto"/>
              <w:right w:val="nil"/>
            </w:tcBorders>
            <w:shd w:val="clear" w:color="auto" w:fill="auto"/>
            <w:noWrap/>
            <w:vAlign w:val="bottom"/>
            <w:hideMark/>
          </w:tcPr>
          <w:p w14:paraId="15C1B464"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(2)</w:t>
            </w:r>
          </w:p>
        </w:tc>
        <w:tc>
          <w:tcPr>
            <w:tcW w:w="1100" w:type="dxa"/>
            <w:gridSpan w:val="2"/>
            <w:tcBorders>
              <w:top w:val="nil"/>
              <w:left w:val="nil"/>
              <w:bottom w:val="single" w:sz="4" w:space="0" w:color="auto"/>
              <w:right w:val="nil"/>
            </w:tcBorders>
            <w:shd w:val="clear" w:color="auto" w:fill="auto"/>
            <w:noWrap/>
            <w:vAlign w:val="bottom"/>
            <w:hideMark/>
          </w:tcPr>
          <w:p w14:paraId="433219CC"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w:t>
            </w:r>
          </w:p>
        </w:tc>
        <w:tc>
          <w:tcPr>
            <w:tcW w:w="1100" w:type="dxa"/>
            <w:gridSpan w:val="2"/>
            <w:tcBorders>
              <w:top w:val="nil"/>
              <w:left w:val="nil"/>
              <w:bottom w:val="single" w:sz="4" w:space="0" w:color="auto"/>
              <w:right w:val="nil"/>
            </w:tcBorders>
            <w:shd w:val="clear" w:color="auto" w:fill="auto"/>
            <w:noWrap/>
            <w:vAlign w:val="bottom"/>
            <w:hideMark/>
          </w:tcPr>
          <w:p w14:paraId="74148D29"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(4)</w:t>
            </w:r>
          </w:p>
        </w:tc>
        <w:tc>
          <w:tcPr>
            <w:tcW w:w="1100" w:type="dxa"/>
            <w:gridSpan w:val="2"/>
            <w:tcBorders>
              <w:top w:val="nil"/>
              <w:left w:val="nil"/>
              <w:bottom w:val="single" w:sz="4" w:space="0" w:color="auto"/>
              <w:right w:val="nil"/>
            </w:tcBorders>
            <w:shd w:val="clear" w:color="auto" w:fill="auto"/>
            <w:noWrap/>
            <w:vAlign w:val="bottom"/>
            <w:hideMark/>
          </w:tcPr>
          <w:p w14:paraId="537846DE"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(5)</w:t>
            </w:r>
          </w:p>
        </w:tc>
        <w:tc>
          <w:tcPr>
            <w:tcW w:w="1100" w:type="dxa"/>
            <w:gridSpan w:val="2"/>
            <w:tcBorders>
              <w:top w:val="nil"/>
              <w:left w:val="nil"/>
              <w:bottom w:val="single" w:sz="4" w:space="0" w:color="auto"/>
              <w:right w:val="nil"/>
            </w:tcBorders>
            <w:shd w:val="clear" w:color="auto" w:fill="auto"/>
            <w:noWrap/>
            <w:vAlign w:val="bottom"/>
            <w:hideMark/>
          </w:tcPr>
          <w:p w14:paraId="48439EEB"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(6)</w:t>
            </w:r>
          </w:p>
        </w:tc>
        <w:tc>
          <w:tcPr>
            <w:tcW w:w="1100" w:type="dxa"/>
            <w:gridSpan w:val="2"/>
            <w:tcBorders>
              <w:top w:val="nil"/>
              <w:left w:val="nil"/>
              <w:bottom w:val="single" w:sz="4" w:space="0" w:color="auto"/>
              <w:right w:val="nil"/>
            </w:tcBorders>
            <w:shd w:val="clear" w:color="auto" w:fill="auto"/>
            <w:noWrap/>
            <w:vAlign w:val="bottom"/>
            <w:hideMark/>
          </w:tcPr>
          <w:p w14:paraId="65348944"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(7)</w:t>
            </w:r>
          </w:p>
        </w:tc>
        <w:tc>
          <w:tcPr>
            <w:tcW w:w="1100" w:type="dxa"/>
            <w:gridSpan w:val="2"/>
            <w:tcBorders>
              <w:top w:val="nil"/>
              <w:left w:val="nil"/>
              <w:bottom w:val="single" w:sz="4" w:space="0" w:color="auto"/>
              <w:right w:val="nil"/>
            </w:tcBorders>
            <w:shd w:val="clear" w:color="auto" w:fill="auto"/>
            <w:noWrap/>
            <w:vAlign w:val="bottom"/>
            <w:hideMark/>
          </w:tcPr>
          <w:p w14:paraId="2B82E520"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(8)</w:t>
            </w:r>
          </w:p>
        </w:tc>
      </w:tr>
      <w:tr w:rsidR="00E029DA" w:rsidRPr="00B72B6C" w14:paraId="0C8774B5" w14:textId="77777777" w:rsidTr="001E29B8">
        <w:trPr>
          <w:trHeight w:val="300"/>
        </w:trPr>
        <w:tc>
          <w:tcPr>
            <w:tcW w:w="2077" w:type="dxa"/>
            <w:tcBorders>
              <w:top w:val="nil"/>
              <w:left w:val="nil"/>
              <w:bottom w:val="nil"/>
              <w:right w:val="nil"/>
            </w:tcBorders>
            <w:shd w:val="clear" w:color="auto" w:fill="auto"/>
            <w:noWrap/>
            <w:vAlign w:val="bottom"/>
            <w:hideMark/>
          </w:tcPr>
          <w:p w14:paraId="31AF4086" w14:textId="77777777" w:rsidR="00E029DA" w:rsidRPr="00B72B6C" w:rsidRDefault="00E029DA" w:rsidP="00E029DA">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Master (-2Y)</w:t>
            </w:r>
          </w:p>
        </w:tc>
        <w:tc>
          <w:tcPr>
            <w:tcW w:w="1100" w:type="dxa"/>
            <w:gridSpan w:val="2"/>
            <w:tcBorders>
              <w:top w:val="nil"/>
              <w:left w:val="nil"/>
              <w:bottom w:val="nil"/>
              <w:right w:val="nil"/>
            </w:tcBorders>
            <w:shd w:val="clear" w:color="auto" w:fill="auto"/>
            <w:noWrap/>
            <w:vAlign w:val="bottom"/>
            <w:hideMark/>
          </w:tcPr>
          <w:p w14:paraId="2B4B1BB7"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1.722***</w:t>
            </w:r>
          </w:p>
        </w:tc>
        <w:tc>
          <w:tcPr>
            <w:tcW w:w="1100" w:type="dxa"/>
            <w:gridSpan w:val="2"/>
            <w:tcBorders>
              <w:top w:val="nil"/>
              <w:left w:val="nil"/>
              <w:bottom w:val="nil"/>
              <w:right w:val="nil"/>
            </w:tcBorders>
            <w:shd w:val="clear" w:color="auto" w:fill="auto"/>
            <w:noWrap/>
            <w:vAlign w:val="bottom"/>
            <w:hideMark/>
          </w:tcPr>
          <w:p w14:paraId="7B72F672"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1.739***</w:t>
            </w:r>
          </w:p>
        </w:tc>
        <w:tc>
          <w:tcPr>
            <w:tcW w:w="1100" w:type="dxa"/>
            <w:gridSpan w:val="2"/>
            <w:tcBorders>
              <w:top w:val="nil"/>
              <w:left w:val="nil"/>
              <w:bottom w:val="nil"/>
              <w:right w:val="nil"/>
            </w:tcBorders>
            <w:shd w:val="clear" w:color="auto" w:fill="auto"/>
            <w:noWrap/>
            <w:vAlign w:val="bottom"/>
            <w:hideMark/>
          </w:tcPr>
          <w:p w14:paraId="046571BF"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42C96974" w14:textId="77777777" w:rsidR="00E029DA" w:rsidRPr="00B72B6C" w:rsidRDefault="00E029DA" w:rsidP="00E029DA">
            <w:pPr>
              <w:spacing w:after="0" w:line="240" w:lineRule="auto"/>
              <w:ind w:left="0" w:firstLine="0"/>
              <w:jc w:val="center"/>
              <w:rPr>
                <w:rFonts w:ascii="Times New Roman" w:eastAsia="Times New Roman" w:hAnsi="Times New Roman" w:cs="Times New Roman"/>
                <w:color w:val="auto"/>
                <w:sz w:val="16"/>
                <w:szCs w:val="16"/>
                <w:lang w:val="en-US"/>
              </w:rPr>
            </w:pPr>
          </w:p>
        </w:tc>
        <w:tc>
          <w:tcPr>
            <w:tcW w:w="1100" w:type="dxa"/>
            <w:gridSpan w:val="2"/>
            <w:tcBorders>
              <w:top w:val="nil"/>
              <w:left w:val="nil"/>
              <w:bottom w:val="nil"/>
              <w:right w:val="nil"/>
            </w:tcBorders>
            <w:shd w:val="clear" w:color="auto" w:fill="auto"/>
            <w:noWrap/>
            <w:vAlign w:val="bottom"/>
            <w:hideMark/>
          </w:tcPr>
          <w:p w14:paraId="43DF6267"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.820***</w:t>
            </w:r>
          </w:p>
        </w:tc>
        <w:tc>
          <w:tcPr>
            <w:tcW w:w="1100" w:type="dxa"/>
            <w:gridSpan w:val="2"/>
            <w:tcBorders>
              <w:top w:val="nil"/>
              <w:left w:val="nil"/>
              <w:bottom w:val="nil"/>
              <w:right w:val="nil"/>
            </w:tcBorders>
            <w:shd w:val="clear" w:color="auto" w:fill="auto"/>
            <w:noWrap/>
            <w:vAlign w:val="bottom"/>
            <w:hideMark/>
          </w:tcPr>
          <w:p w14:paraId="6BCEEC65"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.796*</w:t>
            </w:r>
          </w:p>
        </w:tc>
        <w:tc>
          <w:tcPr>
            <w:tcW w:w="1100" w:type="dxa"/>
            <w:gridSpan w:val="2"/>
            <w:tcBorders>
              <w:top w:val="nil"/>
              <w:left w:val="nil"/>
              <w:bottom w:val="nil"/>
              <w:right w:val="nil"/>
            </w:tcBorders>
            <w:shd w:val="clear" w:color="auto" w:fill="auto"/>
            <w:noWrap/>
            <w:vAlign w:val="bottom"/>
            <w:hideMark/>
          </w:tcPr>
          <w:p w14:paraId="7C4FDCDE"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1ED92C5B" w14:textId="77777777" w:rsidR="00E029DA" w:rsidRPr="00B72B6C" w:rsidRDefault="00E029DA" w:rsidP="00E029DA">
            <w:pPr>
              <w:spacing w:after="0" w:line="240" w:lineRule="auto"/>
              <w:ind w:left="0" w:firstLine="0"/>
              <w:jc w:val="center"/>
              <w:rPr>
                <w:rFonts w:ascii="Times New Roman" w:eastAsia="Times New Roman" w:hAnsi="Times New Roman" w:cs="Times New Roman"/>
                <w:color w:val="auto"/>
                <w:sz w:val="16"/>
                <w:szCs w:val="16"/>
                <w:lang w:val="en-US"/>
              </w:rPr>
            </w:pPr>
          </w:p>
        </w:tc>
      </w:tr>
      <w:tr w:rsidR="00E029DA" w:rsidRPr="00B72B6C" w14:paraId="374ABAD4" w14:textId="77777777" w:rsidTr="001E29B8">
        <w:trPr>
          <w:trHeight w:val="300"/>
        </w:trPr>
        <w:tc>
          <w:tcPr>
            <w:tcW w:w="2077" w:type="dxa"/>
            <w:tcBorders>
              <w:top w:val="nil"/>
              <w:left w:val="nil"/>
              <w:bottom w:val="nil"/>
              <w:right w:val="nil"/>
            </w:tcBorders>
            <w:shd w:val="clear" w:color="auto" w:fill="auto"/>
            <w:noWrap/>
            <w:vAlign w:val="bottom"/>
            <w:hideMark/>
          </w:tcPr>
          <w:p w14:paraId="4394E878" w14:textId="77777777" w:rsidR="00E029DA" w:rsidRPr="00B72B6C" w:rsidRDefault="00E029DA" w:rsidP="00E029DA">
            <w:pPr>
              <w:spacing w:after="0" w:line="240" w:lineRule="auto"/>
              <w:ind w:left="0" w:firstLine="0"/>
              <w:jc w:val="center"/>
              <w:rPr>
                <w:rFonts w:ascii="Times New Roman" w:eastAsia="Times New Roman" w:hAnsi="Times New Roman" w:cs="Times New Roman"/>
                <w:color w:val="auto"/>
                <w:sz w:val="16"/>
                <w:szCs w:val="16"/>
                <w:lang w:val="en-US"/>
              </w:rPr>
            </w:pPr>
          </w:p>
        </w:tc>
        <w:tc>
          <w:tcPr>
            <w:tcW w:w="1100" w:type="dxa"/>
            <w:gridSpan w:val="2"/>
            <w:tcBorders>
              <w:top w:val="nil"/>
              <w:left w:val="nil"/>
              <w:bottom w:val="nil"/>
              <w:right w:val="nil"/>
            </w:tcBorders>
            <w:shd w:val="clear" w:color="auto" w:fill="auto"/>
            <w:noWrap/>
            <w:vAlign w:val="bottom"/>
            <w:hideMark/>
          </w:tcPr>
          <w:p w14:paraId="42A71D95"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(.234)</w:t>
            </w:r>
          </w:p>
        </w:tc>
        <w:tc>
          <w:tcPr>
            <w:tcW w:w="1100" w:type="dxa"/>
            <w:gridSpan w:val="2"/>
            <w:tcBorders>
              <w:top w:val="nil"/>
              <w:left w:val="nil"/>
              <w:bottom w:val="nil"/>
              <w:right w:val="nil"/>
            </w:tcBorders>
            <w:shd w:val="clear" w:color="auto" w:fill="auto"/>
            <w:noWrap/>
            <w:vAlign w:val="bottom"/>
            <w:hideMark/>
          </w:tcPr>
          <w:p w14:paraId="2026BCBD"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(.453)</w:t>
            </w:r>
          </w:p>
        </w:tc>
        <w:tc>
          <w:tcPr>
            <w:tcW w:w="1100" w:type="dxa"/>
            <w:gridSpan w:val="2"/>
            <w:tcBorders>
              <w:top w:val="nil"/>
              <w:left w:val="nil"/>
              <w:bottom w:val="nil"/>
              <w:right w:val="nil"/>
            </w:tcBorders>
            <w:shd w:val="clear" w:color="auto" w:fill="auto"/>
            <w:noWrap/>
            <w:vAlign w:val="bottom"/>
            <w:hideMark/>
          </w:tcPr>
          <w:p w14:paraId="09236FD0"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2F85272D" w14:textId="77777777" w:rsidR="00E029DA" w:rsidRPr="00B72B6C" w:rsidRDefault="00E029DA" w:rsidP="00E029DA">
            <w:pPr>
              <w:spacing w:after="0" w:line="240" w:lineRule="auto"/>
              <w:ind w:left="0" w:firstLine="0"/>
              <w:jc w:val="center"/>
              <w:rPr>
                <w:rFonts w:ascii="Times New Roman" w:eastAsia="Times New Roman" w:hAnsi="Times New Roman" w:cs="Times New Roman"/>
                <w:color w:val="auto"/>
                <w:sz w:val="16"/>
                <w:szCs w:val="16"/>
                <w:lang w:val="en-US"/>
              </w:rPr>
            </w:pPr>
          </w:p>
        </w:tc>
        <w:tc>
          <w:tcPr>
            <w:tcW w:w="1100" w:type="dxa"/>
            <w:gridSpan w:val="2"/>
            <w:tcBorders>
              <w:top w:val="nil"/>
              <w:left w:val="nil"/>
              <w:bottom w:val="nil"/>
              <w:right w:val="nil"/>
            </w:tcBorders>
            <w:shd w:val="clear" w:color="auto" w:fill="auto"/>
            <w:noWrap/>
            <w:vAlign w:val="bottom"/>
            <w:hideMark/>
          </w:tcPr>
          <w:p w14:paraId="223CAE0F"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(.238)</w:t>
            </w:r>
          </w:p>
        </w:tc>
        <w:tc>
          <w:tcPr>
            <w:tcW w:w="1100" w:type="dxa"/>
            <w:gridSpan w:val="2"/>
            <w:tcBorders>
              <w:top w:val="nil"/>
              <w:left w:val="nil"/>
              <w:bottom w:val="nil"/>
              <w:right w:val="nil"/>
            </w:tcBorders>
            <w:shd w:val="clear" w:color="auto" w:fill="auto"/>
            <w:noWrap/>
            <w:vAlign w:val="bottom"/>
            <w:hideMark/>
          </w:tcPr>
          <w:p w14:paraId="0CEE3E95"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(.468)</w:t>
            </w:r>
          </w:p>
        </w:tc>
        <w:tc>
          <w:tcPr>
            <w:tcW w:w="1100" w:type="dxa"/>
            <w:gridSpan w:val="2"/>
            <w:tcBorders>
              <w:top w:val="nil"/>
              <w:left w:val="nil"/>
              <w:bottom w:val="nil"/>
              <w:right w:val="nil"/>
            </w:tcBorders>
            <w:shd w:val="clear" w:color="auto" w:fill="auto"/>
            <w:noWrap/>
            <w:vAlign w:val="bottom"/>
            <w:hideMark/>
          </w:tcPr>
          <w:p w14:paraId="2AE39865"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785A325B" w14:textId="77777777" w:rsidR="00E029DA" w:rsidRPr="00B72B6C" w:rsidRDefault="00E029DA" w:rsidP="00E029DA">
            <w:pPr>
              <w:spacing w:after="0" w:line="240" w:lineRule="auto"/>
              <w:ind w:left="0" w:firstLine="0"/>
              <w:jc w:val="center"/>
              <w:rPr>
                <w:rFonts w:ascii="Times New Roman" w:eastAsia="Times New Roman" w:hAnsi="Times New Roman" w:cs="Times New Roman"/>
                <w:color w:val="auto"/>
                <w:sz w:val="16"/>
                <w:szCs w:val="16"/>
                <w:lang w:val="en-US"/>
              </w:rPr>
            </w:pPr>
          </w:p>
        </w:tc>
      </w:tr>
      <w:tr w:rsidR="00E029DA" w:rsidRPr="00B72B6C" w14:paraId="1287FCC0" w14:textId="77777777" w:rsidTr="001E29B8">
        <w:trPr>
          <w:trHeight w:val="300"/>
        </w:trPr>
        <w:tc>
          <w:tcPr>
            <w:tcW w:w="2077" w:type="dxa"/>
            <w:tcBorders>
              <w:top w:val="nil"/>
              <w:left w:val="nil"/>
              <w:bottom w:val="nil"/>
              <w:right w:val="nil"/>
            </w:tcBorders>
            <w:shd w:val="clear" w:color="auto" w:fill="auto"/>
            <w:noWrap/>
            <w:vAlign w:val="bottom"/>
            <w:hideMark/>
          </w:tcPr>
          <w:p w14:paraId="48EE34E7" w14:textId="77777777" w:rsidR="00E029DA" w:rsidRPr="00B72B6C" w:rsidRDefault="00E029DA" w:rsidP="00E029DA">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Diploma (-2Y)</w:t>
            </w:r>
          </w:p>
        </w:tc>
        <w:tc>
          <w:tcPr>
            <w:tcW w:w="1100" w:type="dxa"/>
            <w:gridSpan w:val="2"/>
            <w:tcBorders>
              <w:top w:val="nil"/>
              <w:left w:val="nil"/>
              <w:bottom w:val="nil"/>
              <w:right w:val="nil"/>
            </w:tcBorders>
            <w:shd w:val="clear" w:color="auto" w:fill="auto"/>
            <w:noWrap/>
            <w:vAlign w:val="bottom"/>
            <w:hideMark/>
          </w:tcPr>
          <w:p w14:paraId="75704C3E" w14:textId="77777777" w:rsidR="00E029DA" w:rsidRPr="00B72B6C" w:rsidRDefault="00E029DA" w:rsidP="00E029DA">
            <w:pPr>
              <w:spacing w:after="0" w:line="240" w:lineRule="auto"/>
              <w:ind w:left="0" w:firstLine="0"/>
              <w:jc w:val="left"/>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7029EDEB" w14:textId="77777777" w:rsidR="00E029DA" w:rsidRPr="00B72B6C" w:rsidRDefault="00E029DA" w:rsidP="00E029DA">
            <w:pPr>
              <w:spacing w:after="0" w:line="240" w:lineRule="auto"/>
              <w:ind w:left="0" w:firstLine="0"/>
              <w:jc w:val="center"/>
              <w:rPr>
                <w:rFonts w:ascii="Times New Roman" w:eastAsia="Times New Roman" w:hAnsi="Times New Roman" w:cs="Times New Roman"/>
                <w:color w:val="auto"/>
                <w:sz w:val="16"/>
                <w:szCs w:val="16"/>
                <w:lang w:val="en-US"/>
              </w:rPr>
            </w:pPr>
          </w:p>
        </w:tc>
        <w:tc>
          <w:tcPr>
            <w:tcW w:w="1100" w:type="dxa"/>
            <w:gridSpan w:val="2"/>
            <w:tcBorders>
              <w:top w:val="nil"/>
              <w:left w:val="nil"/>
              <w:bottom w:val="nil"/>
              <w:right w:val="nil"/>
            </w:tcBorders>
            <w:shd w:val="clear" w:color="auto" w:fill="auto"/>
            <w:noWrap/>
            <w:vAlign w:val="bottom"/>
            <w:hideMark/>
          </w:tcPr>
          <w:p w14:paraId="139932E8"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1.650***</w:t>
            </w:r>
          </w:p>
        </w:tc>
        <w:tc>
          <w:tcPr>
            <w:tcW w:w="1100" w:type="dxa"/>
            <w:gridSpan w:val="2"/>
            <w:tcBorders>
              <w:top w:val="nil"/>
              <w:left w:val="nil"/>
              <w:bottom w:val="nil"/>
              <w:right w:val="nil"/>
            </w:tcBorders>
            <w:shd w:val="clear" w:color="auto" w:fill="auto"/>
            <w:noWrap/>
            <w:vAlign w:val="bottom"/>
            <w:hideMark/>
          </w:tcPr>
          <w:p w14:paraId="77429C5C"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1.476***</w:t>
            </w:r>
          </w:p>
        </w:tc>
        <w:tc>
          <w:tcPr>
            <w:tcW w:w="1100" w:type="dxa"/>
            <w:gridSpan w:val="2"/>
            <w:tcBorders>
              <w:top w:val="nil"/>
              <w:left w:val="nil"/>
              <w:bottom w:val="nil"/>
              <w:right w:val="nil"/>
            </w:tcBorders>
            <w:shd w:val="clear" w:color="auto" w:fill="auto"/>
            <w:noWrap/>
            <w:vAlign w:val="bottom"/>
            <w:hideMark/>
          </w:tcPr>
          <w:p w14:paraId="51756A76"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20820038" w14:textId="77777777" w:rsidR="00E029DA" w:rsidRPr="00B72B6C" w:rsidRDefault="00E029DA" w:rsidP="00E029DA">
            <w:pPr>
              <w:spacing w:after="0" w:line="240" w:lineRule="auto"/>
              <w:ind w:left="0" w:firstLine="0"/>
              <w:jc w:val="center"/>
              <w:rPr>
                <w:rFonts w:ascii="Times New Roman" w:eastAsia="Times New Roman" w:hAnsi="Times New Roman" w:cs="Times New Roman"/>
                <w:color w:val="auto"/>
                <w:sz w:val="16"/>
                <w:szCs w:val="16"/>
                <w:lang w:val="en-US"/>
              </w:rPr>
            </w:pPr>
          </w:p>
        </w:tc>
        <w:tc>
          <w:tcPr>
            <w:tcW w:w="1100" w:type="dxa"/>
            <w:gridSpan w:val="2"/>
            <w:tcBorders>
              <w:top w:val="nil"/>
              <w:left w:val="nil"/>
              <w:bottom w:val="nil"/>
              <w:right w:val="nil"/>
            </w:tcBorders>
            <w:shd w:val="clear" w:color="auto" w:fill="auto"/>
            <w:noWrap/>
            <w:vAlign w:val="bottom"/>
            <w:hideMark/>
          </w:tcPr>
          <w:p w14:paraId="364F2588"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.579***</w:t>
            </w:r>
          </w:p>
        </w:tc>
        <w:tc>
          <w:tcPr>
            <w:tcW w:w="1100" w:type="dxa"/>
            <w:gridSpan w:val="2"/>
            <w:tcBorders>
              <w:top w:val="nil"/>
              <w:left w:val="nil"/>
              <w:bottom w:val="nil"/>
              <w:right w:val="nil"/>
            </w:tcBorders>
            <w:shd w:val="clear" w:color="auto" w:fill="auto"/>
            <w:noWrap/>
            <w:vAlign w:val="bottom"/>
            <w:hideMark/>
          </w:tcPr>
          <w:p w14:paraId="155FAD4C"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.269</w:t>
            </w:r>
          </w:p>
        </w:tc>
      </w:tr>
      <w:tr w:rsidR="00E029DA" w:rsidRPr="00B72B6C" w14:paraId="0A6FF2FF" w14:textId="77777777" w:rsidTr="001E29B8">
        <w:trPr>
          <w:trHeight w:val="300"/>
        </w:trPr>
        <w:tc>
          <w:tcPr>
            <w:tcW w:w="2077" w:type="dxa"/>
            <w:tcBorders>
              <w:top w:val="nil"/>
              <w:left w:val="nil"/>
              <w:bottom w:val="single" w:sz="4" w:space="0" w:color="auto"/>
              <w:right w:val="nil"/>
            </w:tcBorders>
            <w:shd w:val="clear" w:color="auto" w:fill="auto"/>
            <w:noWrap/>
            <w:vAlign w:val="bottom"/>
            <w:hideMark/>
          </w:tcPr>
          <w:p w14:paraId="05F817D0" w14:textId="77777777" w:rsidR="00E029DA" w:rsidRPr="00B72B6C" w:rsidRDefault="00E029DA" w:rsidP="00E029DA">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19B633AC"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7DE90E4B"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70D65804"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(.160)</w:t>
            </w:r>
          </w:p>
        </w:tc>
        <w:tc>
          <w:tcPr>
            <w:tcW w:w="1100" w:type="dxa"/>
            <w:gridSpan w:val="2"/>
            <w:tcBorders>
              <w:top w:val="nil"/>
              <w:left w:val="nil"/>
              <w:bottom w:val="single" w:sz="4" w:space="0" w:color="auto"/>
              <w:right w:val="nil"/>
            </w:tcBorders>
            <w:shd w:val="clear" w:color="auto" w:fill="auto"/>
            <w:noWrap/>
            <w:vAlign w:val="bottom"/>
            <w:hideMark/>
          </w:tcPr>
          <w:p w14:paraId="69FB8C8F"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(.251)</w:t>
            </w:r>
          </w:p>
        </w:tc>
        <w:tc>
          <w:tcPr>
            <w:tcW w:w="1100" w:type="dxa"/>
            <w:gridSpan w:val="2"/>
            <w:tcBorders>
              <w:top w:val="nil"/>
              <w:left w:val="nil"/>
              <w:bottom w:val="single" w:sz="4" w:space="0" w:color="auto"/>
              <w:right w:val="nil"/>
            </w:tcBorders>
            <w:shd w:val="clear" w:color="auto" w:fill="auto"/>
            <w:noWrap/>
            <w:vAlign w:val="bottom"/>
            <w:hideMark/>
          </w:tcPr>
          <w:p w14:paraId="724C3492"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7089B115"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6D5B7022"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(.210)</w:t>
            </w:r>
          </w:p>
        </w:tc>
        <w:tc>
          <w:tcPr>
            <w:tcW w:w="1100" w:type="dxa"/>
            <w:gridSpan w:val="2"/>
            <w:tcBorders>
              <w:top w:val="nil"/>
              <w:left w:val="nil"/>
              <w:bottom w:val="single" w:sz="4" w:space="0" w:color="auto"/>
              <w:right w:val="nil"/>
            </w:tcBorders>
            <w:shd w:val="clear" w:color="auto" w:fill="auto"/>
            <w:noWrap/>
            <w:vAlign w:val="bottom"/>
            <w:hideMark/>
          </w:tcPr>
          <w:p w14:paraId="67E9ABC8"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(.344)</w:t>
            </w:r>
          </w:p>
        </w:tc>
      </w:tr>
      <w:tr w:rsidR="00E029DA" w:rsidRPr="00B72B6C" w14:paraId="2333D90D" w14:textId="77777777" w:rsidTr="001E29B8">
        <w:trPr>
          <w:trHeight w:val="300"/>
        </w:trPr>
        <w:tc>
          <w:tcPr>
            <w:tcW w:w="2077" w:type="dxa"/>
            <w:tcBorders>
              <w:top w:val="nil"/>
              <w:left w:val="nil"/>
              <w:bottom w:val="nil"/>
              <w:right w:val="nil"/>
            </w:tcBorders>
            <w:shd w:val="clear" w:color="auto" w:fill="auto"/>
            <w:noWrap/>
            <w:vAlign w:val="bottom"/>
            <w:hideMark/>
          </w:tcPr>
          <w:p w14:paraId="03C9E43A" w14:textId="77777777" w:rsidR="00E029DA" w:rsidRPr="00B72B6C" w:rsidRDefault="00E029DA" w:rsidP="00E029DA">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Year FE</w:t>
            </w:r>
          </w:p>
        </w:tc>
        <w:tc>
          <w:tcPr>
            <w:tcW w:w="1100" w:type="dxa"/>
            <w:gridSpan w:val="2"/>
            <w:tcBorders>
              <w:top w:val="nil"/>
              <w:left w:val="nil"/>
              <w:bottom w:val="nil"/>
              <w:right w:val="nil"/>
            </w:tcBorders>
            <w:shd w:val="clear" w:color="auto" w:fill="auto"/>
            <w:noWrap/>
            <w:vAlign w:val="bottom"/>
            <w:hideMark/>
          </w:tcPr>
          <w:p w14:paraId="73453266"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40AB6F23"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0BD363C4"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47A705B5"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6D92D0BC"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345EB049"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2F9DC141"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520BA132"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r>
      <w:tr w:rsidR="00E029DA" w:rsidRPr="00B72B6C" w14:paraId="6C63AE19" w14:textId="77777777" w:rsidTr="001E29B8">
        <w:trPr>
          <w:trHeight w:val="300"/>
        </w:trPr>
        <w:tc>
          <w:tcPr>
            <w:tcW w:w="2077" w:type="dxa"/>
            <w:tcBorders>
              <w:top w:val="nil"/>
              <w:left w:val="nil"/>
              <w:bottom w:val="nil"/>
              <w:right w:val="nil"/>
            </w:tcBorders>
            <w:shd w:val="clear" w:color="auto" w:fill="auto"/>
            <w:noWrap/>
            <w:vAlign w:val="bottom"/>
            <w:hideMark/>
          </w:tcPr>
          <w:p w14:paraId="171A920E" w14:textId="77777777" w:rsidR="00E029DA" w:rsidRPr="00B72B6C" w:rsidRDefault="00E029DA" w:rsidP="00E029DA">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Industry FE</w:t>
            </w:r>
          </w:p>
        </w:tc>
        <w:tc>
          <w:tcPr>
            <w:tcW w:w="1100" w:type="dxa"/>
            <w:gridSpan w:val="2"/>
            <w:tcBorders>
              <w:top w:val="nil"/>
              <w:left w:val="nil"/>
              <w:bottom w:val="nil"/>
              <w:right w:val="nil"/>
            </w:tcBorders>
            <w:shd w:val="clear" w:color="auto" w:fill="auto"/>
            <w:noWrap/>
            <w:vAlign w:val="bottom"/>
            <w:hideMark/>
          </w:tcPr>
          <w:p w14:paraId="7161DDC1" w14:textId="77777777" w:rsidR="00E029DA" w:rsidRPr="00B72B6C" w:rsidRDefault="00E029DA" w:rsidP="00E029DA">
            <w:pPr>
              <w:spacing w:after="0" w:line="240" w:lineRule="auto"/>
              <w:ind w:left="0" w:firstLine="0"/>
              <w:jc w:val="left"/>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52851791"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56E60997"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520ABF9E"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01660178"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41530FBE"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2A8FB9E0"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66DAA11C"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r>
      <w:tr w:rsidR="00E029DA" w:rsidRPr="00B72B6C" w14:paraId="2FF255E8" w14:textId="77777777" w:rsidTr="001E29B8">
        <w:trPr>
          <w:trHeight w:val="300"/>
        </w:trPr>
        <w:tc>
          <w:tcPr>
            <w:tcW w:w="2077" w:type="dxa"/>
            <w:tcBorders>
              <w:top w:val="nil"/>
              <w:left w:val="nil"/>
              <w:bottom w:val="nil"/>
              <w:right w:val="nil"/>
            </w:tcBorders>
            <w:shd w:val="clear" w:color="auto" w:fill="auto"/>
            <w:noWrap/>
            <w:vAlign w:val="bottom"/>
            <w:hideMark/>
          </w:tcPr>
          <w:p w14:paraId="471AE9BF" w14:textId="77777777" w:rsidR="00E029DA" w:rsidRPr="00B72B6C" w:rsidRDefault="00E029DA" w:rsidP="00E029DA">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Firm Controls</w:t>
            </w:r>
          </w:p>
        </w:tc>
        <w:tc>
          <w:tcPr>
            <w:tcW w:w="1100" w:type="dxa"/>
            <w:gridSpan w:val="2"/>
            <w:tcBorders>
              <w:top w:val="nil"/>
              <w:left w:val="nil"/>
              <w:bottom w:val="nil"/>
              <w:right w:val="nil"/>
            </w:tcBorders>
            <w:shd w:val="clear" w:color="auto" w:fill="auto"/>
            <w:noWrap/>
            <w:vAlign w:val="bottom"/>
            <w:hideMark/>
          </w:tcPr>
          <w:p w14:paraId="6E86172E" w14:textId="77777777" w:rsidR="00E029DA" w:rsidRPr="00B72B6C" w:rsidRDefault="00E029DA" w:rsidP="00E029DA">
            <w:pPr>
              <w:spacing w:after="0" w:line="240" w:lineRule="auto"/>
              <w:ind w:left="0" w:firstLine="0"/>
              <w:jc w:val="left"/>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293434E7"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52DE38B1"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3231AFAD"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372D3D5D"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5D97F77E"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29FE8D64"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25830F65"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r>
      <w:tr w:rsidR="00E029DA" w:rsidRPr="00B72B6C" w14:paraId="0427E672" w14:textId="77777777" w:rsidTr="001E29B8">
        <w:trPr>
          <w:trHeight w:val="360"/>
        </w:trPr>
        <w:tc>
          <w:tcPr>
            <w:tcW w:w="2077" w:type="dxa"/>
            <w:tcBorders>
              <w:top w:val="nil"/>
              <w:left w:val="nil"/>
              <w:bottom w:val="single" w:sz="4" w:space="0" w:color="auto"/>
              <w:right w:val="nil"/>
            </w:tcBorders>
            <w:shd w:val="clear" w:color="auto" w:fill="auto"/>
            <w:noWrap/>
            <w:vAlign w:val="bottom"/>
            <w:hideMark/>
          </w:tcPr>
          <w:p w14:paraId="7ED6724E" w14:textId="77777777" w:rsidR="00E029DA" w:rsidRPr="00B72B6C" w:rsidRDefault="00E029DA" w:rsidP="00E029DA">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Region Controls</w:t>
            </w:r>
          </w:p>
        </w:tc>
        <w:tc>
          <w:tcPr>
            <w:tcW w:w="1100" w:type="dxa"/>
            <w:gridSpan w:val="2"/>
            <w:tcBorders>
              <w:top w:val="nil"/>
              <w:left w:val="nil"/>
              <w:bottom w:val="single" w:sz="4" w:space="0" w:color="auto"/>
              <w:right w:val="nil"/>
            </w:tcBorders>
            <w:shd w:val="clear" w:color="auto" w:fill="auto"/>
            <w:noWrap/>
            <w:vAlign w:val="bottom"/>
            <w:hideMark/>
          </w:tcPr>
          <w:p w14:paraId="03EC100D"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123083FD"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single" w:sz="4" w:space="0" w:color="auto"/>
              <w:right w:val="nil"/>
            </w:tcBorders>
            <w:shd w:val="clear" w:color="auto" w:fill="auto"/>
            <w:noWrap/>
            <w:vAlign w:val="bottom"/>
            <w:hideMark/>
          </w:tcPr>
          <w:p w14:paraId="6A443C67"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56CE1DCC"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single" w:sz="4" w:space="0" w:color="auto"/>
              <w:right w:val="nil"/>
            </w:tcBorders>
            <w:shd w:val="clear" w:color="auto" w:fill="auto"/>
            <w:noWrap/>
            <w:vAlign w:val="bottom"/>
            <w:hideMark/>
          </w:tcPr>
          <w:p w14:paraId="3C5A07E8"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64EE1F3A"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single" w:sz="4" w:space="0" w:color="auto"/>
              <w:right w:val="nil"/>
            </w:tcBorders>
            <w:shd w:val="clear" w:color="auto" w:fill="auto"/>
            <w:noWrap/>
            <w:vAlign w:val="bottom"/>
            <w:hideMark/>
          </w:tcPr>
          <w:p w14:paraId="1E30ED02"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56011FA5"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r>
      <w:tr w:rsidR="00E029DA" w:rsidRPr="00B72B6C" w14:paraId="6826BC85" w14:textId="77777777" w:rsidTr="001E29B8">
        <w:trPr>
          <w:trHeight w:val="300"/>
        </w:trPr>
        <w:tc>
          <w:tcPr>
            <w:tcW w:w="2077" w:type="dxa"/>
            <w:tcBorders>
              <w:top w:val="nil"/>
              <w:left w:val="nil"/>
              <w:bottom w:val="nil"/>
              <w:right w:val="nil"/>
            </w:tcBorders>
            <w:shd w:val="clear" w:color="auto" w:fill="auto"/>
            <w:noWrap/>
            <w:vAlign w:val="bottom"/>
            <w:hideMark/>
          </w:tcPr>
          <w:p w14:paraId="09C04D4D" w14:textId="77777777" w:rsidR="00E029DA" w:rsidRPr="00B72B6C" w:rsidRDefault="00E029DA" w:rsidP="00E029DA">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Stage-1 F-stat</w:t>
            </w:r>
          </w:p>
        </w:tc>
        <w:tc>
          <w:tcPr>
            <w:tcW w:w="1100" w:type="dxa"/>
            <w:gridSpan w:val="2"/>
            <w:tcBorders>
              <w:top w:val="nil"/>
              <w:left w:val="nil"/>
              <w:bottom w:val="nil"/>
              <w:right w:val="nil"/>
            </w:tcBorders>
            <w:shd w:val="clear" w:color="auto" w:fill="auto"/>
            <w:noWrap/>
            <w:vAlign w:val="bottom"/>
            <w:hideMark/>
          </w:tcPr>
          <w:p w14:paraId="31624B0E"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42.47</w:t>
            </w:r>
          </w:p>
        </w:tc>
        <w:tc>
          <w:tcPr>
            <w:tcW w:w="1100" w:type="dxa"/>
            <w:gridSpan w:val="2"/>
            <w:tcBorders>
              <w:top w:val="nil"/>
              <w:left w:val="nil"/>
              <w:bottom w:val="nil"/>
              <w:right w:val="nil"/>
            </w:tcBorders>
            <w:shd w:val="clear" w:color="auto" w:fill="auto"/>
            <w:noWrap/>
            <w:vAlign w:val="bottom"/>
            <w:hideMark/>
          </w:tcPr>
          <w:p w14:paraId="22E627E3"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11,20</w:t>
            </w:r>
          </w:p>
        </w:tc>
        <w:tc>
          <w:tcPr>
            <w:tcW w:w="1100" w:type="dxa"/>
            <w:gridSpan w:val="2"/>
            <w:tcBorders>
              <w:top w:val="nil"/>
              <w:left w:val="nil"/>
              <w:bottom w:val="nil"/>
              <w:right w:val="nil"/>
            </w:tcBorders>
            <w:shd w:val="clear" w:color="auto" w:fill="auto"/>
            <w:noWrap/>
            <w:vAlign w:val="bottom"/>
            <w:hideMark/>
          </w:tcPr>
          <w:p w14:paraId="7294F419"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49.48</w:t>
            </w:r>
          </w:p>
        </w:tc>
        <w:tc>
          <w:tcPr>
            <w:tcW w:w="1100" w:type="dxa"/>
            <w:gridSpan w:val="2"/>
            <w:tcBorders>
              <w:top w:val="nil"/>
              <w:left w:val="nil"/>
              <w:bottom w:val="nil"/>
              <w:right w:val="nil"/>
            </w:tcBorders>
            <w:shd w:val="clear" w:color="auto" w:fill="auto"/>
            <w:noWrap/>
            <w:vAlign w:val="bottom"/>
            <w:hideMark/>
          </w:tcPr>
          <w:p w14:paraId="57654B9B"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18,00</w:t>
            </w:r>
          </w:p>
        </w:tc>
        <w:tc>
          <w:tcPr>
            <w:tcW w:w="1100" w:type="dxa"/>
            <w:gridSpan w:val="2"/>
            <w:tcBorders>
              <w:top w:val="nil"/>
              <w:left w:val="nil"/>
              <w:bottom w:val="nil"/>
              <w:right w:val="nil"/>
            </w:tcBorders>
            <w:shd w:val="clear" w:color="auto" w:fill="auto"/>
            <w:noWrap/>
            <w:vAlign w:val="bottom"/>
            <w:hideMark/>
          </w:tcPr>
          <w:p w14:paraId="64126222"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42.47</w:t>
            </w:r>
          </w:p>
        </w:tc>
        <w:tc>
          <w:tcPr>
            <w:tcW w:w="1100" w:type="dxa"/>
            <w:gridSpan w:val="2"/>
            <w:tcBorders>
              <w:top w:val="nil"/>
              <w:left w:val="nil"/>
              <w:bottom w:val="nil"/>
              <w:right w:val="nil"/>
            </w:tcBorders>
            <w:shd w:val="clear" w:color="auto" w:fill="auto"/>
            <w:noWrap/>
            <w:vAlign w:val="bottom"/>
            <w:hideMark/>
          </w:tcPr>
          <w:p w14:paraId="304B909D"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11,20</w:t>
            </w:r>
          </w:p>
        </w:tc>
        <w:tc>
          <w:tcPr>
            <w:tcW w:w="1100" w:type="dxa"/>
            <w:gridSpan w:val="2"/>
            <w:tcBorders>
              <w:top w:val="nil"/>
              <w:left w:val="nil"/>
              <w:bottom w:val="nil"/>
              <w:right w:val="nil"/>
            </w:tcBorders>
            <w:shd w:val="clear" w:color="auto" w:fill="auto"/>
            <w:noWrap/>
            <w:vAlign w:val="bottom"/>
            <w:hideMark/>
          </w:tcPr>
          <w:p w14:paraId="5DF79DD7"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49.48</w:t>
            </w:r>
          </w:p>
        </w:tc>
        <w:tc>
          <w:tcPr>
            <w:tcW w:w="1100" w:type="dxa"/>
            <w:gridSpan w:val="2"/>
            <w:tcBorders>
              <w:top w:val="nil"/>
              <w:left w:val="nil"/>
              <w:bottom w:val="nil"/>
              <w:right w:val="nil"/>
            </w:tcBorders>
            <w:shd w:val="clear" w:color="auto" w:fill="auto"/>
            <w:noWrap/>
            <w:vAlign w:val="bottom"/>
            <w:hideMark/>
          </w:tcPr>
          <w:p w14:paraId="7F6F33E4"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18,00</w:t>
            </w:r>
          </w:p>
        </w:tc>
      </w:tr>
      <w:tr w:rsidR="00E029DA" w:rsidRPr="00B72B6C" w14:paraId="13AB6484" w14:textId="77777777" w:rsidTr="001E29B8">
        <w:trPr>
          <w:trHeight w:val="360"/>
        </w:trPr>
        <w:tc>
          <w:tcPr>
            <w:tcW w:w="2077" w:type="dxa"/>
            <w:tcBorders>
              <w:top w:val="nil"/>
              <w:left w:val="nil"/>
              <w:bottom w:val="nil"/>
              <w:right w:val="nil"/>
            </w:tcBorders>
            <w:shd w:val="clear" w:color="auto" w:fill="auto"/>
            <w:noWrap/>
            <w:vAlign w:val="bottom"/>
            <w:hideMark/>
          </w:tcPr>
          <w:p w14:paraId="311B1C8C" w14:textId="77777777" w:rsidR="00E029DA" w:rsidRPr="00B72B6C" w:rsidRDefault="00E029DA" w:rsidP="00E029DA">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Stage-1 F p-value</w:t>
            </w:r>
          </w:p>
        </w:tc>
        <w:tc>
          <w:tcPr>
            <w:tcW w:w="1100" w:type="dxa"/>
            <w:gridSpan w:val="2"/>
            <w:tcBorders>
              <w:top w:val="nil"/>
              <w:left w:val="nil"/>
              <w:bottom w:val="nil"/>
              <w:right w:val="nil"/>
            </w:tcBorders>
            <w:shd w:val="clear" w:color="auto" w:fill="auto"/>
            <w:noWrap/>
            <w:vAlign w:val="bottom"/>
            <w:hideMark/>
          </w:tcPr>
          <w:p w14:paraId="782305B7"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&lt;0.001</w:t>
            </w:r>
          </w:p>
        </w:tc>
        <w:tc>
          <w:tcPr>
            <w:tcW w:w="1100" w:type="dxa"/>
            <w:gridSpan w:val="2"/>
            <w:tcBorders>
              <w:top w:val="nil"/>
              <w:left w:val="nil"/>
              <w:bottom w:val="nil"/>
              <w:right w:val="nil"/>
            </w:tcBorders>
            <w:shd w:val="clear" w:color="auto" w:fill="auto"/>
            <w:noWrap/>
            <w:vAlign w:val="bottom"/>
            <w:hideMark/>
          </w:tcPr>
          <w:p w14:paraId="729F3C08"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&lt;0.001</w:t>
            </w:r>
          </w:p>
        </w:tc>
        <w:tc>
          <w:tcPr>
            <w:tcW w:w="1100" w:type="dxa"/>
            <w:gridSpan w:val="2"/>
            <w:tcBorders>
              <w:top w:val="nil"/>
              <w:left w:val="nil"/>
              <w:bottom w:val="nil"/>
              <w:right w:val="nil"/>
            </w:tcBorders>
            <w:shd w:val="clear" w:color="auto" w:fill="auto"/>
            <w:noWrap/>
            <w:vAlign w:val="bottom"/>
            <w:hideMark/>
          </w:tcPr>
          <w:p w14:paraId="61CEF72A"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&lt;0.001</w:t>
            </w:r>
          </w:p>
        </w:tc>
        <w:tc>
          <w:tcPr>
            <w:tcW w:w="1100" w:type="dxa"/>
            <w:gridSpan w:val="2"/>
            <w:tcBorders>
              <w:top w:val="nil"/>
              <w:left w:val="nil"/>
              <w:bottom w:val="nil"/>
              <w:right w:val="nil"/>
            </w:tcBorders>
            <w:shd w:val="clear" w:color="auto" w:fill="auto"/>
            <w:noWrap/>
            <w:vAlign w:val="bottom"/>
            <w:hideMark/>
          </w:tcPr>
          <w:p w14:paraId="5BECF4A0"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&lt;0.001</w:t>
            </w:r>
          </w:p>
        </w:tc>
        <w:tc>
          <w:tcPr>
            <w:tcW w:w="1100" w:type="dxa"/>
            <w:gridSpan w:val="2"/>
            <w:tcBorders>
              <w:top w:val="nil"/>
              <w:left w:val="nil"/>
              <w:bottom w:val="nil"/>
              <w:right w:val="nil"/>
            </w:tcBorders>
            <w:shd w:val="clear" w:color="auto" w:fill="auto"/>
            <w:noWrap/>
            <w:vAlign w:val="bottom"/>
            <w:hideMark/>
          </w:tcPr>
          <w:p w14:paraId="2C718D52"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&lt;0.001</w:t>
            </w:r>
          </w:p>
        </w:tc>
        <w:tc>
          <w:tcPr>
            <w:tcW w:w="1100" w:type="dxa"/>
            <w:gridSpan w:val="2"/>
            <w:tcBorders>
              <w:top w:val="nil"/>
              <w:left w:val="nil"/>
              <w:bottom w:val="nil"/>
              <w:right w:val="nil"/>
            </w:tcBorders>
            <w:shd w:val="clear" w:color="auto" w:fill="auto"/>
            <w:noWrap/>
            <w:vAlign w:val="bottom"/>
            <w:hideMark/>
          </w:tcPr>
          <w:p w14:paraId="1B474B8C"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&lt;0.001</w:t>
            </w:r>
          </w:p>
        </w:tc>
        <w:tc>
          <w:tcPr>
            <w:tcW w:w="1100" w:type="dxa"/>
            <w:gridSpan w:val="2"/>
            <w:tcBorders>
              <w:top w:val="nil"/>
              <w:left w:val="nil"/>
              <w:bottom w:val="nil"/>
              <w:right w:val="nil"/>
            </w:tcBorders>
            <w:shd w:val="clear" w:color="auto" w:fill="auto"/>
            <w:noWrap/>
            <w:vAlign w:val="bottom"/>
            <w:hideMark/>
          </w:tcPr>
          <w:p w14:paraId="1929FBA6"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&lt;0.001</w:t>
            </w:r>
          </w:p>
        </w:tc>
        <w:tc>
          <w:tcPr>
            <w:tcW w:w="1100" w:type="dxa"/>
            <w:gridSpan w:val="2"/>
            <w:tcBorders>
              <w:top w:val="nil"/>
              <w:left w:val="nil"/>
              <w:bottom w:val="nil"/>
              <w:right w:val="nil"/>
            </w:tcBorders>
            <w:shd w:val="clear" w:color="auto" w:fill="auto"/>
            <w:noWrap/>
            <w:vAlign w:val="bottom"/>
            <w:hideMark/>
          </w:tcPr>
          <w:p w14:paraId="7AA7D536"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&lt;0.001</w:t>
            </w:r>
          </w:p>
        </w:tc>
      </w:tr>
      <w:tr w:rsidR="00E029DA" w:rsidRPr="00B72B6C" w14:paraId="0CFBF64F" w14:textId="77777777" w:rsidTr="001E29B8">
        <w:trPr>
          <w:trHeight w:val="300"/>
        </w:trPr>
        <w:tc>
          <w:tcPr>
            <w:tcW w:w="2077" w:type="dxa"/>
            <w:tcBorders>
              <w:top w:val="nil"/>
              <w:left w:val="nil"/>
              <w:bottom w:val="nil"/>
              <w:right w:val="nil"/>
            </w:tcBorders>
            <w:shd w:val="clear" w:color="auto" w:fill="auto"/>
            <w:noWrap/>
            <w:vAlign w:val="bottom"/>
            <w:hideMark/>
          </w:tcPr>
          <w:p w14:paraId="313BE502" w14:textId="77777777" w:rsidR="00E029DA" w:rsidRPr="00B72B6C" w:rsidRDefault="00E029DA" w:rsidP="00E029DA">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lastRenderedPageBreak/>
              <w:t>Wu-Hausman p-value</w:t>
            </w:r>
          </w:p>
        </w:tc>
        <w:tc>
          <w:tcPr>
            <w:tcW w:w="1100" w:type="dxa"/>
            <w:gridSpan w:val="2"/>
            <w:tcBorders>
              <w:top w:val="nil"/>
              <w:left w:val="nil"/>
              <w:bottom w:val="nil"/>
              <w:right w:val="nil"/>
            </w:tcBorders>
            <w:shd w:val="clear" w:color="auto" w:fill="auto"/>
            <w:noWrap/>
            <w:vAlign w:val="bottom"/>
            <w:hideMark/>
          </w:tcPr>
          <w:p w14:paraId="61CD5B63"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&lt;0.001</w:t>
            </w:r>
          </w:p>
        </w:tc>
        <w:tc>
          <w:tcPr>
            <w:tcW w:w="1100" w:type="dxa"/>
            <w:gridSpan w:val="2"/>
            <w:tcBorders>
              <w:top w:val="nil"/>
              <w:left w:val="nil"/>
              <w:bottom w:val="nil"/>
              <w:right w:val="nil"/>
            </w:tcBorders>
            <w:shd w:val="clear" w:color="auto" w:fill="auto"/>
            <w:noWrap/>
            <w:vAlign w:val="bottom"/>
            <w:hideMark/>
          </w:tcPr>
          <w:p w14:paraId="1E37C0C1"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&lt;0.001</w:t>
            </w:r>
          </w:p>
        </w:tc>
        <w:tc>
          <w:tcPr>
            <w:tcW w:w="1100" w:type="dxa"/>
            <w:gridSpan w:val="2"/>
            <w:tcBorders>
              <w:top w:val="nil"/>
              <w:left w:val="nil"/>
              <w:bottom w:val="nil"/>
              <w:right w:val="nil"/>
            </w:tcBorders>
            <w:shd w:val="clear" w:color="auto" w:fill="auto"/>
            <w:noWrap/>
            <w:vAlign w:val="bottom"/>
            <w:hideMark/>
          </w:tcPr>
          <w:p w14:paraId="5BEA7325"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&lt;0.001</w:t>
            </w:r>
          </w:p>
        </w:tc>
        <w:tc>
          <w:tcPr>
            <w:tcW w:w="1100" w:type="dxa"/>
            <w:gridSpan w:val="2"/>
            <w:tcBorders>
              <w:top w:val="nil"/>
              <w:left w:val="nil"/>
              <w:bottom w:val="nil"/>
              <w:right w:val="nil"/>
            </w:tcBorders>
            <w:shd w:val="clear" w:color="auto" w:fill="auto"/>
            <w:noWrap/>
            <w:vAlign w:val="bottom"/>
            <w:hideMark/>
          </w:tcPr>
          <w:p w14:paraId="4C5033C6"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&lt;0.001</w:t>
            </w:r>
          </w:p>
        </w:tc>
        <w:tc>
          <w:tcPr>
            <w:tcW w:w="1100" w:type="dxa"/>
            <w:gridSpan w:val="2"/>
            <w:tcBorders>
              <w:top w:val="nil"/>
              <w:left w:val="nil"/>
              <w:bottom w:val="nil"/>
              <w:right w:val="nil"/>
            </w:tcBorders>
            <w:shd w:val="clear" w:color="auto" w:fill="auto"/>
            <w:noWrap/>
            <w:vAlign w:val="bottom"/>
            <w:hideMark/>
          </w:tcPr>
          <w:p w14:paraId="3BDF0AE5"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0.005</w:t>
            </w:r>
          </w:p>
        </w:tc>
        <w:tc>
          <w:tcPr>
            <w:tcW w:w="1100" w:type="dxa"/>
            <w:gridSpan w:val="2"/>
            <w:tcBorders>
              <w:top w:val="nil"/>
              <w:left w:val="nil"/>
              <w:bottom w:val="nil"/>
              <w:right w:val="nil"/>
            </w:tcBorders>
            <w:shd w:val="clear" w:color="auto" w:fill="auto"/>
            <w:noWrap/>
            <w:vAlign w:val="bottom"/>
            <w:hideMark/>
          </w:tcPr>
          <w:p w14:paraId="76B1D678"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0.141</w:t>
            </w:r>
          </w:p>
        </w:tc>
        <w:tc>
          <w:tcPr>
            <w:tcW w:w="1100" w:type="dxa"/>
            <w:gridSpan w:val="2"/>
            <w:tcBorders>
              <w:top w:val="nil"/>
              <w:left w:val="nil"/>
              <w:bottom w:val="nil"/>
              <w:right w:val="nil"/>
            </w:tcBorders>
            <w:shd w:val="clear" w:color="auto" w:fill="auto"/>
            <w:noWrap/>
            <w:vAlign w:val="bottom"/>
            <w:hideMark/>
          </w:tcPr>
          <w:p w14:paraId="1F7DAD49"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0.039</w:t>
            </w:r>
          </w:p>
        </w:tc>
        <w:tc>
          <w:tcPr>
            <w:tcW w:w="1100" w:type="dxa"/>
            <w:gridSpan w:val="2"/>
            <w:tcBorders>
              <w:top w:val="nil"/>
              <w:left w:val="nil"/>
              <w:bottom w:val="nil"/>
              <w:right w:val="nil"/>
            </w:tcBorders>
            <w:shd w:val="clear" w:color="auto" w:fill="auto"/>
            <w:noWrap/>
            <w:vAlign w:val="bottom"/>
            <w:hideMark/>
          </w:tcPr>
          <w:p w14:paraId="336D8E61"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0.667</w:t>
            </w:r>
          </w:p>
        </w:tc>
      </w:tr>
      <w:tr w:rsidR="00E029DA" w:rsidRPr="00B72B6C" w14:paraId="62DE92D0" w14:textId="77777777" w:rsidTr="001E29B8">
        <w:trPr>
          <w:trHeight w:val="320"/>
        </w:trPr>
        <w:tc>
          <w:tcPr>
            <w:tcW w:w="2077" w:type="dxa"/>
            <w:tcBorders>
              <w:top w:val="nil"/>
              <w:left w:val="nil"/>
              <w:bottom w:val="double" w:sz="6" w:space="0" w:color="auto"/>
              <w:right w:val="nil"/>
            </w:tcBorders>
            <w:shd w:val="clear" w:color="auto" w:fill="auto"/>
            <w:noWrap/>
            <w:vAlign w:val="bottom"/>
            <w:hideMark/>
          </w:tcPr>
          <w:p w14:paraId="3924EAB9" w14:textId="77777777" w:rsidR="00E029DA" w:rsidRPr="00B72B6C" w:rsidRDefault="00E029DA" w:rsidP="00E029DA">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N</w:t>
            </w:r>
          </w:p>
        </w:tc>
        <w:tc>
          <w:tcPr>
            <w:tcW w:w="1100" w:type="dxa"/>
            <w:gridSpan w:val="2"/>
            <w:tcBorders>
              <w:top w:val="nil"/>
              <w:left w:val="nil"/>
              <w:bottom w:val="double" w:sz="6" w:space="0" w:color="auto"/>
              <w:right w:val="nil"/>
            </w:tcBorders>
            <w:shd w:val="clear" w:color="auto" w:fill="auto"/>
            <w:noWrap/>
            <w:vAlign w:val="bottom"/>
            <w:hideMark/>
          </w:tcPr>
          <w:p w14:paraId="584D939F"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36.468</w:t>
            </w:r>
          </w:p>
        </w:tc>
        <w:tc>
          <w:tcPr>
            <w:tcW w:w="1100" w:type="dxa"/>
            <w:gridSpan w:val="2"/>
            <w:tcBorders>
              <w:top w:val="nil"/>
              <w:left w:val="nil"/>
              <w:bottom w:val="double" w:sz="6" w:space="0" w:color="auto"/>
              <w:right w:val="nil"/>
            </w:tcBorders>
            <w:shd w:val="clear" w:color="auto" w:fill="auto"/>
            <w:noWrap/>
            <w:vAlign w:val="bottom"/>
            <w:hideMark/>
          </w:tcPr>
          <w:p w14:paraId="3325217D"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36.468</w:t>
            </w:r>
          </w:p>
        </w:tc>
        <w:tc>
          <w:tcPr>
            <w:tcW w:w="1100" w:type="dxa"/>
            <w:gridSpan w:val="2"/>
            <w:tcBorders>
              <w:top w:val="nil"/>
              <w:left w:val="nil"/>
              <w:bottom w:val="double" w:sz="6" w:space="0" w:color="auto"/>
              <w:right w:val="nil"/>
            </w:tcBorders>
            <w:shd w:val="clear" w:color="auto" w:fill="auto"/>
            <w:noWrap/>
            <w:vAlign w:val="bottom"/>
            <w:hideMark/>
          </w:tcPr>
          <w:p w14:paraId="32829360"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36.468</w:t>
            </w:r>
          </w:p>
        </w:tc>
        <w:tc>
          <w:tcPr>
            <w:tcW w:w="1100" w:type="dxa"/>
            <w:gridSpan w:val="2"/>
            <w:tcBorders>
              <w:top w:val="nil"/>
              <w:left w:val="nil"/>
              <w:bottom w:val="double" w:sz="6" w:space="0" w:color="auto"/>
              <w:right w:val="nil"/>
            </w:tcBorders>
            <w:shd w:val="clear" w:color="auto" w:fill="auto"/>
            <w:noWrap/>
            <w:vAlign w:val="bottom"/>
            <w:hideMark/>
          </w:tcPr>
          <w:p w14:paraId="565C90FB"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36.468</w:t>
            </w:r>
          </w:p>
        </w:tc>
        <w:tc>
          <w:tcPr>
            <w:tcW w:w="1100" w:type="dxa"/>
            <w:gridSpan w:val="2"/>
            <w:tcBorders>
              <w:top w:val="nil"/>
              <w:left w:val="nil"/>
              <w:bottom w:val="double" w:sz="6" w:space="0" w:color="auto"/>
              <w:right w:val="nil"/>
            </w:tcBorders>
            <w:shd w:val="clear" w:color="auto" w:fill="auto"/>
            <w:noWrap/>
            <w:vAlign w:val="bottom"/>
            <w:hideMark/>
          </w:tcPr>
          <w:p w14:paraId="3832D57C"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36.468</w:t>
            </w:r>
          </w:p>
        </w:tc>
        <w:tc>
          <w:tcPr>
            <w:tcW w:w="1100" w:type="dxa"/>
            <w:gridSpan w:val="2"/>
            <w:tcBorders>
              <w:top w:val="nil"/>
              <w:left w:val="nil"/>
              <w:bottom w:val="double" w:sz="6" w:space="0" w:color="auto"/>
              <w:right w:val="nil"/>
            </w:tcBorders>
            <w:shd w:val="clear" w:color="auto" w:fill="auto"/>
            <w:noWrap/>
            <w:vAlign w:val="bottom"/>
            <w:hideMark/>
          </w:tcPr>
          <w:p w14:paraId="1134C9E5"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36.468</w:t>
            </w:r>
          </w:p>
        </w:tc>
        <w:tc>
          <w:tcPr>
            <w:tcW w:w="1100" w:type="dxa"/>
            <w:gridSpan w:val="2"/>
            <w:tcBorders>
              <w:top w:val="nil"/>
              <w:left w:val="nil"/>
              <w:bottom w:val="double" w:sz="6" w:space="0" w:color="auto"/>
              <w:right w:val="nil"/>
            </w:tcBorders>
            <w:shd w:val="clear" w:color="auto" w:fill="auto"/>
            <w:noWrap/>
            <w:vAlign w:val="bottom"/>
            <w:hideMark/>
          </w:tcPr>
          <w:p w14:paraId="3132137C"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36.468</w:t>
            </w:r>
          </w:p>
        </w:tc>
        <w:tc>
          <w:tcPr>
            <w:tcW w:w="1100" w:type="dxa"/>
            <w:gridSpan w:val="2"/>
            <w:tcBorders>
              <w:top w:val="nil"/>
              <w:left w:val="nil"/>
              <w:bottom w:val="double" w:sz="6" w:space="0" w:color="auto"/>
              <w:right w:val="nil"/>
            </w:tcBorders>
            <w:shd w:val="clear" w:color="auto" w:fill="auto"/>
            <w:noWrap/>
            <w:vAlign w:val="bottom"/>
            <w:hideMark/>
          </w:tcPr>
          <w:p w14:paraId="692245D9" w14:textId="77777777" w:rsidR="00E029DA" w:rsidRPr="00B72B6C" w:rsidRDefault="00E029DA" w:rsidP="00E029DA">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36.468</w:t>
            </w:r>
          </w:p>
        </w:tc>
      </w:tr>
      <w:tr w:rsidR="00E029DA" w:rsidRPr="00B72B6C" w14:paraId="6EA76A68" w14:textId="77777777" w:rsidTr="001E29B8">
        <w:trPr>
          <w:gridAfter w:val="1"/>
          <w:wAfter w:w="7" w:type="dxa"/>
          <w:trHeight w:val="320"/>
        </w:trPr>
        <w:tc>
          <w:tcPr>
            <w:tcW w:w="3170" w:type="dxa"/>
            <w:gridSpan w:val="2"/>
            <w:tcBorders>
              <w:top w:val="nil"/>
              <w:left w:val="nil"/>
              <w:bottom w:val="nil"/>
              <w:right w:val="nil"/>
            </w:tcBorders>
            <w:shd w:val="clear" w:color="auto" w:fill="auto"/>
            <w:noWrap/>
            <w:vAlign w:val="bottom"/>
            <w:hideMark/>
          </w:tcPr>
          <w:p w14:paraId="0FB30E81" w14:textId="77777777" w:rsidR="00E029DA" w:rsidRPr="00B72B6C" w:rsidRDefault="00E029DA" w:rsidP="00E029DA">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Note: *p&lt;0.1; **p&lt;0.05; ***p&lt;0.01</w:t>
            </w:r>
          </w:p>
        </w:tc>
        <w:tc>
          <w:tcPr>
            <w:tcW w:w="1100" w:type="dxa"/>
            <w:gridSpan w:val="2"/>
            <w:tcBorders>
              <w:top w:val="nil"/>
              <w:left w:val="nil"/>
              <w:bottom w:val="nil"/>
              <w:right w:val="nil"/>
            </w:tcBorders>
            <w:shd w:val="clear" w:color="auto" w:fill="auto"/>
            <w:noWrap/>
            <w:vAlign w:val="bottom"/>
            <w:hideMark/>
          </w:tcPr>
          <w:p w14:paraId="634035A4" w14:textId="77777777" w:rsidR="00E029DA" w:rsidRPr="00B72B6C" w:rsidRDefault="00E029DA" w:rsidP="00E029DA">
            <w:pPr>
              <w:spacing w:after="0" w:line="240" w:lineRule="auto"/>
              <w:ind w:left="0" w:firstLine="0"/>
              <w:jc w:val="left"/>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3156B90F" w14:textId="77777777" w:rsidR="00E029DA" w:rsidRPr="00B72B6C" w:rsidRDefault="00E029DA" w:rsidP="00E029DA">
            <w:pPr>
              <w:spacing w:after="0" w:line="240" w:lineRule="auto"/>
              <w:ind w:left="0" w:firstLine="0"/>
              <w:jc w:val="left"/>
              <w:rPr>
                <w:rFonts w:ascii="Times New Roman" w:eastAsia="Times New Roman" w:hAnsi="Times New Roman" w:cs="Times New Roman"/>
                <w:color w:val="auto"/>
                <w:sz w:val="16"/>
                <w:szCs w:val="16"/>
                <w:lang w:val="en-US"/>
              </w:rPr>
            </w:pPr>
          </w:p>
        </w:tc>
        <w:tc>
          <w:tcPr>
            <w:tcW w:w="1100" w:type="dxa"/>
            <w:gridSpan w:val="2"/>
            <w:tcBorders>
              <w:top w:val="nil"/>
              <w:left w:val="nil"/>
              <w:bottom w:val="nil"/>
              <w:right w:val="nil"/>
            </w:tcBorders>
            <w:shd w:val="clear" w:color="auto" w:fill="auto"/>
            <w:noWrap/>
            <w:vAlign w:val="bottom"/>
            <w:hideMark/>
          </w:tcPr>
          <w:p w14:paraId="67063E2D" w14:textId="77777777" w:rsidR="00E029DA" w:rsidRPr="00B72B6C" w:rsidRDefault="00E029DA" w:rsidP="00E029DA">
            <w:pPr>
              <w:spacing w:after="0" w:line="240" w:lineRule="auto"/>
              <w:ind w:left="0" w:firstLine="0"/>
              <w:jc w:val="left"/>
              <w:rPr>
                <w:rFonts w:ascii="Times New Roman" w:eastAsia="Times New Roman" w:hAnsi="Times New Roman" w:cs="Times New Roman"/>
                <w:color w:val="auto"/>
                <w:sz w:val="16"/>
                <w:szCs w:val="16"/>
                <w:lang w:val="en-US"/>
              </w:rPr>
            </w:pPr>
          </w:p>
        </w:tc>
        <w:tc>
          <w:tcPr>
            <w:tcW w:w="1100" w:type="dxa"/>
            <w:gridSpan w:val="2"/>
            <w:tcBorders>
              <w:top w:val="nil"/>
              <w:left w:val="nil"/>
              <w:bottom w:val="nil"/>
              <w:right w:val="nil"/>
            </w:tcBorders>
            <w:shd w:val="clear" w:color="auto" w:fill="auto"/>
            <w:noWrap/>
            <w:vAlign w:val="bottom"/>
            <w:hideMark/>
          </w:tcPr>
          <w:p w14:paraId="758C3A5B" w14:textId="77777777" w:rsidR="00E029DA" w:rsidRPr="00B72B6C" w:rsidRDefault="00E029DA" w:rsidP="00E029DA">
            <w:pPr>
              <w:spacing w:after="0" w:line="240" w:lineRule="auto"/>
              <w:ind w:left="0" w:firstLine="0"/>
              <w:jc w:val="left"/>
              <w:rPr>
                <w:rFonts w:ascii="Times New Roman" w:eastAsia="Times New Roman" w:hAnsi="Times New Roman" w:cs="Times New Roman"/>
                <w:color w:val="auto"/>
                <w:sz w:val="16"/>
                <w:szCs w:val="16"/>
                <w:lang w:val="en-US"/>
              </w:rPr>
            </w:pPr>
          </w:p>
        </w:tc>
        <w:tc>
          <w:tcPr>
            <w:tcW w:w="1100" w:type="dxa"/>
            <w:gridSpan w:val="2"/>
            <w:tcBorders>
              <w:top w:val="nil"/>
              <w:left w:val="nil"/>
              <w:bottom w:val="nil"/>
              <w:right w:val="nil"/>
            </w:tcBorders>
            <w:shd w:val="clear" w:color="auto" w:fill="auto"/>
            <w:noWrap/>
            <w:vAlign w:val="bottom"/>
            <w:hideMark/>
          </w:tcPr>
          <w:p w14:paraId="1FA7B87C" w14:textId="77777777" w:rsidR="00E029DA" w:rsidRPr="00B72B6C" w:rsidRDefault="00E029DA" w:rsidP="00E029DA">
            <w:pPr>
              <w:spacing w:after="0" w:line="240" w:lineRule="auto"/>
              <w:ind w:left="0" w:firstLine="0"/>
              <w:jc w:val="left"/>
              <w:rPr>
                <w:rFonts w:ascii="Times New Roman" w:eastAsia="Times New Roman" w:hAnsi="Times New Roman" w:cs="Times New Roman"/>
                <w:color w:val="auto"/>
                <w:sz w:val="16"/>
                <w:szCs w:val="16"/>
                <w:lang w:val="en-US"/>
              </w:rPr>
            </w:pPr>
          </w:p>
        </w:tc>
        <w:tc>
          <w:tcPr>
            <w:tcW w:w="1100" w:type="dxa"/>
            <w:gridSpan w:val="2"/>
            <w:tcBorders>
              <w:top w:val="nil"/>
              <w:left w:val="nil"/>
              <w:bottom w:val="nil"/>
              <w:right w:val="nil"/>
            </w:tcBorders>
            <w:shd w:val="clear" w:color="auto" w:fill="auto"/>
            <w:noWrap/>
            <w:vAlign w:val="bottom"/>
            <w:hideMark/>
          </w:tcPr>
          <w:p w14:paraId="005D379B" w14:textId="77777777" w:rsidR="00E029DA" w:rsidRPr="00B72B6C" w:rsidRDefault="00E029DA" w:rsidP="00E029DA">
            <w:pPr>
              <w:spacing w:after="0" w:line="240" w:lineRule="auto"/>
              <w:ind w:left="0" w:firstLine="0"/>
              <w:jc w:val="left"/>
              <w:rPr>
                <w:rFonts w:ascii="Times New Roman" w:eastAsia="Times New Roman" w:hAnsi="Times New Roman" w:cs="Times New Roman"/>
                <w:color w:val="auto"/>
                <w:sz w:val="16"/>
                <w:szCs w:val="16"/>
                <w:lang w:val="en-US"/>
              </w:rPr>
            </w:pPr>
          </w:p>
        </w:tc>
        <w:tc>
          <w:tcPr>
            <w:tcW w:w="1100" w:type="dxa"/>
            <w:gridSpan w:val="2"/>
            <w:tcBorders>
              <w:top w:val="nil"/>
              <w:left w:val="nil"/>
              <w:bottom w:val="nil"/>
              <w:right w:val="nil"/>
            </w:tcBorders>
            <w:shd w:val="clear" w:color="auto" w:fill="auto"/>
            <w:noWrap/>
            <w:vAlign w:val="bottom"/>
            <w:hideMark/>
          </w:tcPr>
          <w:p w14:paraId="132ADE86" w14:textId="77777777" w:rsidR="00E029DA" w:rsidRPr="00B72B6C" w:rsidRDefault="00E029DA" w:rsidP="00E029DA">
            <w:pPr>
              <w:spacing w:after="0" w:line="240" w:lineRule="auto"/>
              <w:ind w:left="0" w:firstLine="0"/>
              <w:jc w:val="left"/>
              <w:rPr>
                <w:rFonts w:ascii="Times New Roman" w:eastAsia="Times New Roman" w:hAnsi="Times New Roman" w:cs="Times New Roman"/>
                <w:color w:val="auto"/>
                <w:sz w:val="16"/>
                <w:szCs w:val="16"/>
                <w:lang w:val="en-US"/>
              </w:rPr>
            </w:pPr>
          </w:p>
        </w:tc>
      </w:tr>
    </w:tbl>
    <w:p w14:paraId="4BE9FDE4" w14:textId="77777777" w:rsidR="00DF4D03" w:rsidRPr="00160986" w:rsidRDefault="00DF4D03" w:rsidP="00E029DA">
      <w:pPr>
        <w:spacing w:after="0" w:line="259" w:lineRule="auto"/>
        <w:jc w:val="left"/>
        <w:rPr>
          <w:lang w:val="en-US"/>
        </w:rPr>
      </w:pPr>
    </w:p>
    <w:p w14:paraId="6ABDE44D" w14:textId="77777777" w:rsidR="00DF4D03" w:rsidRPr="00073C14" w:rsidRDefault="00DF4D03">
      <w:pPr>
        <w:spacing w:after="0" w:line="259" w:lineRule="auto"/>
        <w:ind w:left="2772" w:firstLine="0"/>
        <w:jc w:val="left"/>
        <w:rPr>
          <w:lang w:val="en-US"/>
        </w:rPr>
      </w:pPr>
    </w:p>
    <w:p w14:paraId="11EC3AF6" w14:textId="77777777" w:rsidR="00DF4D03" w:rsidRPr="00B72B6C" w:rsidRDefault="00DF4D03">
      <w:pPr>
        <w:spacing w:after="0" w:line="259" w:lineRule="auto"/>
        <w:ind w:left="2772" w:firstLine="0"/>
        <w:jc w:val="left"/>
        <w:rPr>
          <w:lang w:val="en-US"/>
        </w:rPr>
      </w:pPr>
    </w:p>
    <w:p w14:paraId="2E9EB2CE" w14:textId="77777777" w:rsidR="00DF4D03" w:rsidRPr="00B72B6C" w:rsidRDefault="00DF4D03">
      <w:pPr>
        <w:spacing w:after="0" w:line="259" w:lineRule="auto"/>
        <w:ind w:left="2772" w:firstLine="0"/>
        <w:jc w:val="left"/>
        <w:rPr>
          <w:lang w:val="en-US"/>
        </w:rPr>
      </w:pPr>
    </w:p>
    <w:p w14:paraId="193E4E99" w14:textId="77777777" w:rsidR="00DF4D03" w:rsidRPr="00B72B6C" w:rsidRDefault="00DF4D03">
      <w:pPr>
        <w:spacing w:after="0" w:line="259" w:lineRule="auto"/>
        <w:ind w:left="2772" w:firstLine="0"/>
        <w:jc w:val="left"/>
        <w:rPr>
          <w:lang w:val="en-US"/>
        </w:rPr>
      </w:pPr>
    </w:p>
    <w:p w14:paraId="32FCFC54" w14:textId="77777777" w:rsidR="00DF4D03" w:rsidRPr="00B72B6C" w:rsidRDefault="00DF4D03" w:rsidP="001E29B8">
      <w:pPr>
        <w:spacing w:after="0" w:line="259" w:lineRule="auto"/>
        <w:ind w:left="0" w:firstLine="0"/>
        <w:jc w:val="left"/>
        <w:rPr>
          <w:lang w:val="en-US"/>
        </w:rPr>
      </w:pPr>
    </w:p>
    <w:p w14:paraId="2E68EDF8" w14:textId="77777777" w:rsidR="00DF4D03" w:rsidRPr="00B72B6C" w:rsidRDefault="00DF4D03">
      <w:pPr>
        <w:spacing w:after="0" w:line="259" w:lineRule="auto"/>
        <w:ind w:left="2772" w:firstLine="0"/>
        <w:jc w:val="left"/>
        <w:rPr>
          <w:lang w:val="en-US"/>
        </w:rPr>
      </w:pPr>
    </w:p>
    <w:p w14:paraId="09D16B26" w14:textId="02B19E58" w:rsidR="00DF4D03" w:rsidRPr="00B72B6C" w:rsidRDefault="00826CE2" w:rsidP="000A5FCE">
      <w:pPr>
        <w:spacing w:line="259" w:lineRule="auto"/>
        <w:ind w:left="879" w:firstLine="0"/>
        <w:rPr>
          <w:lang w:val="en-US"/>
        </w:rPr>
      </w:pPr>
      <w:r w:rsidRPr="00B72B6C">
        <w:rPr>
          <w:lang w:val="en-US"/>
        </w:rPr>
        <w:t xml:space="preserve">Table </w:t>
      </w:r>
      <w:r w:rsidR="003B581B" w:rsidRPr="00B72B6C">
        <w:rPr>
          <w:lang w:val="en-US"/>
        </w:rPr>
        <w:t>3</w:t>
      </w:r>
      <w:r w:rsidR="00FF24AB" w:rsidRPr="00B72B6C">
        <w:rPr>
          <w:lang w:val="en-US"/>
        </w:rPr>
        <w:t>:</w:t>
      </w:r>
      <w:r w:rsidRPr="00B72B6C">
        <w:rPr>
          <w:lang w:val="en-US"/>
        </w:rPr>
        <w:t xml:space="preserve"> OLS and IV regressions of </w:t>
      </w:r>
      <w:r w:rsidR="006E7BD6" w:rsidRPr="00B72B6C">
        <w:rPr>
          <w:lang w:val="en-US"/>
        </w:rPr>
        <w:t xml:space="preserve">indicator for collaboration with </w:t>
      </w:r>
      <w:r w:rsidR="007F66DE" w:rsidRPr="00B72B6C">
        <w:rPr>
          <w:lang w:val="en-US"/>
        </w:rPr>
        <w:t xml:space="preserve">a </w:t>
      </w:r>
      <w:r w:rsidR="006E7BD6" w:rsidRPr="00B72B6C">
        <w:rPr>
          <w:lang w:val="en-US"/>
        </w:rPr>
        <w:t xml:space="preserve">university on having </w:t>
      </w:r>
      <w:r w:rsidR="00B75B65" w:rsidRPr="00B72B6C">
        <w:rPr>
          <w:lang w:val="en-US"/>
        </w:rPr>
        <w:t xml:space="preserve">an </w:t>
      </w:r>
      <w:r w:rsidR="006E7BD6" w:rsidRPr="00B72B6C">
        <w:rPr>
          <w:lang w:val="en-US"/>
        </w:rPr>
        <w:t>employee with tertiary CE degree</w:t>
      </w:r>
    </w:p>
    <w:tbl>
      <w:tblPr>
        <w:tblW w:w="8677" w:type="dxa"/>
        <w:tblLook w:val="04A0" w:firstRow="1" w:lastRow="0" w:firstColumn="1" w:lastColumn="0" w:noHBand="0" w:noVBand="1"/>
      </w:tblPr>
      <w:tblGrid>
        <w:gridCol w:w="2077"/>
        <w:gridCol w:w="1093"/>
        <w:gridCol w:w="7"/>
        <w:gridCol w:w="1093"/>
        <w:gridCol w:w="7"/>
        <w:gridCol w:w="1093"/>
        <w:gridCol w:w="7"/>
        <w:gridCol w:w="1093"/>
        <w:gridCol w:w="7"/>
        <w:gridCol w:w="1093"/>
        <w:gridCol w:w="7"/>
        <w:gridCol w:w="1093"/>
        <w:gridCol w:w="7"/>
      </w:tblGrid>
      <w:tr w:rsidR="000A5FCE" w:rsidRPr="00B72B6C" w14:paraId="6EBD5C4F" w14:textId="77777777" w:rsidTr="000A5FCE">
        <w:trPr>
          <w:trHeight w:val="320"/>
        </w:trPr>
        <w:tc>
          <w:tcPr>
            <w:tcW w:w="2077" w:type="dxa"/>
            <w:tcBorders>
              <w:top w:val="nil"/>
              <w:left w:val="nil"/>
              <w:bottom w:val="double" w:sz="6" w:space="0" w:color="auto"/>
              <w:right w:val="nil"/>
            </w:tcBorders>
            <w:shd w:val="clear" w:color="auto" w:fill="auto"/>
            <w:noWrap/>
            <w:vAlign w:val="bottom"/>
            <w:hideMark/>
          </w:tcPr>
          <w:p w14:paraId="46CA6AE6" w14:textId="77777777" w:rsidR="000A5FCE" w:rsidRPr="00B72B6C" w:rsidRDefault="000A5FCE" w:rsidP="000A5FCE">
            <w:pPr>
              <w:spacing w:after="0" w:line="240" w:lineRule="auto"/>
              <w:ind w:left="0" w:firstLine="0"/>
              <w:jc w:val="left"/>
              <w:rPr>
                <w:rFonts w:ascii="Calibri" w:eastAsia="Times New Roman" w:hAnsi="Calibri" w:cs="Calibri"/>
                <w:szCs w:val="22"/>
                <w:lang w:val="en-US"/>
              </w:rPr>
            </w:pPr>
            <w:r w:rsidRPr="00B72B6C">
              <w:rPr>
                <w:rFonts w:ascii="Calibri" w:eastAsia="Times New Roman" w:hAnsi="Calibri" w:cs="Calibri"/>
                <w:szCs w:val="22"/>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5E73E287" w14:textId="77777777" w:rsidR="000A5FCE" w:rsidRPr="00B72B6C" w:rsidRDefault="000A5FCE" w:rsidP="000A5FCE">
            <w:pPr>
              <w:spacing w:after="0" w:line="240" w:lineRule="auto"/>
              <w:ind w:left="0" w:firstLine="0"/>
              <w:jc w:val="left"/>
              <w:rPr>
                <w:rFonts w:ascii="Calibri" w:eastAsia="Times New Roman" w:hAnsi="Calibri" w:cs="Calibri"/>
                <w:szCs w:val="22"/>
                <w:lang w:val="en-US"/>
              </w:rPr>
            </w:pPr>
            <w:r w:rsidRPr="00B72B6C">
              <w:rPr>
                <w:rFonts w:ascii="Calibri" w:eastAsia="Times New Roman" w:hAnsi="Calibri" w:cs="Calibri"/>
                <w:szCs w:val="22"/>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1EC6413E" w14:textId="77777777" w:rsidR="000A5FCE" w:rsidRPr="00B72B6C" w:rsidRDefault="000A5FCE" w:rsidP="000A5FCE">
            <w:pPr>
              <w:spacing w:after="0" w:line="240" w:lineRule="auto"/>
              <w:ind w:left="0" w:firstLine="0"/>
              <w:jc w:val="left"/>
              <w:rPr>
                <w:rFonts w:ascii="Calibri" w:eastAsia="Times New Roman" w:hAnsi="Calibri" w:cs="Calibri"/>
                <w:szCs w:val="22"/>
                <w:lang w:val="en-US"/>
              </w:rPr>
            </w:pPr>
            <w:r w:rsidRPr="00B72B6C">
              <w:rPr>
                <w:rFonts w:ascii="Calibri" w:eastAsia="Times New Roman" w:hAnsi="Calibri" w:cs="Calibri"/>
                <w:szCs w:val="22"/>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36C1A617" w14:textId="77777777" w:rsidR="000A5FCE" w:rsidRPr="00B72B6C" w:rsidRDefault="000A5FCE" w:rsidP="000A5FCE">
            <w:pPr>
              <w:spacing w:after="0" w:line="240" w:lineRule="auto"/>
              <w:ind w:left="0" w:firstLine="0"/>
              <w:jc w:val="left"/>
              <w:rPr>
                <w:rFonts w:ascii="Calibri" w:eastAsia="Times New Roman" w:hAnsi="Calibri" w:cs="Calibri"/>
                <w:szCs w:val="22"/>
                <w:lang w:val="en-US"/>
              </w:rPr>
            </w:pPr>
            <w:r w:rsidRPr="00B72B6C">
              <w:rPr>
                <w:rFonts w:ascii="Calibri" w:eastAsia="Times New Roman" w:hAnsi="Calibri" w:cs="Calibri"/>
                <w:szCs w:val="22"/>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3E0D8D88" w14:textId="77777777" w:rsidR="000A5FCE" w:rsidRPr="00B72B6C" w:rsidRDefault="000A5FCE" w:rsidP="000A5FCE">
            <w:pPr>
              <w:spacing w:after="0" w:line="240" w:lineRule="auto"/>
              <w:ind w:left="0" w:firstLine="0"/>
              <w:jc w:val="left"/>
              <w:rPr>
                <w:rFonts w:ascii="Calibri" w:eastAsia="Times New Roman" w:hAnsi="Calibri" w:cs="Calibri"/>
                <w:szCs w:val="22"/>
                <w:lang w:val="en-US"/>
              </w:rPr>
            </w:pPr>
            <w:r w:rsidRPr="00B72B6C">
              <w:rPr>
                <w:rFonts w:ascii="Calibri" w:eastAsia="Times New Roman" w:hAnsi="Calibri" w:cs="Calibri"/>
                <w:szCs w:val="22"/>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28FB77B2" w14:textId="77777777" w:rsidR="000A5FCE" w:rsidRPr="00B72B6C" w:rsidRDefault="000A5FCE" w:rsidP="000A5FCE">
            <w:pPr>
              <w:spacing w:after="0" w:line="240" w:lineRule="auto"/>
              <w:ind w:left="0" w:firstLine="0"/>
              <w:jc w:val="left"/>
              <w:rPr>
                <w:rFonts w:ascii="Calibri" w:eastAsia="Times New Roman" w:hAnsi="Calibri" w:cs="Calibri"/>
                <w:szCs w:val="22"/>
                <w:lang w:val="en-US"/>
              </w:rPr>
            </w:pPr>
            <w:r w:rsidRPr="00B72B6C">
              <w:rPr>
                <w:rFonts w:ascii="Calibri" w:eastAsia="Times New Roman" w:hAnsi="Calibri" w:cs="Calibri"/>
                <w:szCs w:val="22"/>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522BA09C" w14:textId="77777777" w:rsidR="000A5FCE" w:rsidRPr="00B72B6C" w:rsidRDefault="000A5FCE" w:rsidP="000A5FCE">
            <w:pPr>
              <w:spacing w:after="0" w:line="240" w:lineRule="auto"/>
              <w:ind w:left="0" w:firstLine="0"/>
              <w:jc w:val="left"/>
              <w:rPr>
                <w:rFonts w:ascii="Calibri" w:eastAsia="Times New Roman" w:hAnsi="Calibri" w:cs="Calibri"/>
                <w:szCs w:val="22"/>
                <w:lang w:val="en-US"/>
              </w:rPr>
            </w:pPr>
            <w:r w:rsidRPr="00B72B6C">
              <w:rPr>
                <w:rFonts w:ascii="Calibri" w:eastAsia="Times New Roman" w:hAnsi="Calibri" w:cs="Calibri"/>
                <w:szCs w:val="22"/>
                <w:lang w:val="en-US"/>
              </w:rPr>
              <w:t> </w:t>
            </w:r>
          </w:p>
        </w:tc>
      </w:tr>
      <w:tr w:rsidR="000A5FCE" w:rsidRPr="00B72B6C" w14:paraId="2F3D8625" w14:textId="77777777" w:rsidTr="000A5FCE">
        <w:trPr>
          <w:trHeight w:val="320"/>
        </w:trPr>
        <w:tc>
          <w:tcPr>
            <w:tcW w:w="2077" w:type="dxa"/>
            <w:tcBorders>
              <w:top w:val="nil"/>
              <w:left w:val="nil"/>
              <w:bottom w:val="nil"/>
              <w:right w:val="nil"/>
            </w:tcBorders>
            <w:shd w:val="clear" w:color="auto" w:fill="auto"/>
            <w:noWrap/>
            <w:vAlign w:val="bottom"/>
            <w:hideMark/>
          </w:tcPr>
          <w:p w14:paraId="718B2228"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01AA4242"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OLS</w:t>
            </w:r>
          </w:p>
        </w:tc>
        <w:tc>
          <w:tcPr>
            <w:tcW w:w="1100" w:type="dxa"/>
            <w:gridSpan w:val="2"/>
            <w:tcBorders>
              <w:top w:val="nil"/>
              <w:left w:val="nil"/>
              <w:bottom w:val="nil"/>
              <w:right w:val="nil"/>
            </w:tcBorders>
            <w:shd w:val="clear" w:color="auto" w:fill="auto"/>
            <w:noWrap/>
            <w:vAlign w:val="bottom"/>
            <w:hideMark/>
          </w:tcPr>
          <w:p w14:paraId="7BBC9CD7"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OLS</w:t>
            </w:r>
          </w:p>
        </w:tc>
        <w:tc>
          <w:tcPr>
            <w:tcW w:w="1100" w:type="dxa"/>
            <w:gridSpan w:val="2"/>
            <w:tcBorders>
              <w:top w:val="nil"/>
              <w:left w:val="nil"/>
              <w:bottom w:val="nil"/>
              <w:right w:val="nil"/>
            </w:tcBorders>
            <w:shd w:val="clear" w:color="auto" w:fill="auto"/>
            <w:noWrap/>
            <w:vAlign w:val="bottom"/>
            <w:hideMark/>
          </w:tcPr>
          <w:p w14:paraId="0DD9CD29"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IV</w:t>
            </w:r>
          </w:p>
        </w:tc>
        <w:tc>
          <w:tcPr>
            <w:tcW w:w="1100" w:type="dxa"/>
            <w:gridSpan w:val="2"/>
            <w:tcBorders>
              <w:top w:val="nil"/>
              <w:left w:val="nil"/>
              <w:bottom w:val="nil"/>
              <w:right w:val="nil"/>
            </w:tcBorders>
            <w:shd w:val="clear" w:color="auto" w:fill="auto"/>
            <w:noWrap/>
            <w:vAlign w:val="bottom"/>
            <w:hideMark/>
          </w:tcPr>
          <w:p w14:paraId="77A04FDE"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OLS</w:t>
            </w:r>
          </w:p>
        </w:tc>
        <w:tc>
          <w:tcPr>
            <w:tcW w:w="1100" w:type="dxa"/>
            <w:gridSpan w:val="2"/>
            <w:tcBorders>
              <w:top w:val="nil"/>
              <w:left w:val="nil"/>
              <w:bottom w:val="nil"/>
              <w:right w:val="nil"/>
            </w:tcBorders>
            <w:shd w:val="clear" w:color="auto" w:fill="auto"/>
            <w:noWrap/>
            <w:vAlign w:val="bottom"/>
            <w:hideMark/>
          </w:tcPr>
          <w:p w14:paraId="5C24FDC5"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OLS</w:t>
            </w:r>
          </w:p>
        </w:tc>
        <w:tc>
          <w:tcPr>
            <w:tcW w:w="1100" w:type="dxa"/>
            <w:gridSpan w:val="2"/>
            <w:tcBorders>
              <w:top w:val="nil"/>
              <w:left w:val="nil"/>
              <w:bottom w:val="nil"/>
              <w:right w:val="nil"/>
            </w:tcBorders>
            <w:shd w:val="clear" w:color="auto" w:fill="auto"/>
            <w:noWrap/>
            <w:vAlign w:val="bottom"/>
            <w:hideMark/>
          </w:tcPr>
          <w:p w14:paraId="12284DCE"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IV</w:t>
            </w:r>
          </w:p>
        </w:tc>
      </w:tr>
      <w:tr w:rsidR="000A5FCE" w:rsidRPr="00B72B6C" w14:paraId="1F10F1B0" w14:textId="77777777" w:rsidTr="000A5FCE">
        <w:trPr>
          <w:trHeight w:val="300"/>
        </w:trPr>
        <w:tc>
          <w:tcPr>
            <w:tcW w:w="2077" w:type="dxa"/>
            <w:tcBorders>
              <w:top w:val="nil"/>
              <w:left w:val="nil"/>
              <w:bottom w:val="single" w:sz="4" w:space="0" w:color="auto"/>
              <w:right w:val="nil"/>
            </w:tcBorders>
            <w:shd w:val="clear" w:color="auto" w:fill="auto"/>
            <w:noWrap/>
            <w:vAlign w:val="bottom"/>
            <w:hideMark/>
          </w:tcPr>
          <w:p w14:paraId="664FF6A8"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24B6743C"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w:t>
            </w:r>
          </w:p>
        </w:tc>
        <w:tc>
          <w:tcPr>
            <w:tcW w:w="1100" w:type="dxa"/>
            <w:gridSpan w:val="2"/>
            <w:tcBorders>
              <w:top w:val="nil"/>
              <w:left w:val="nil"/>
              <w:bottom w:val="single" w:sz="4" w:space="0" w:color="auto"/>
              <w:right w:val="nil"/>
            </w:tcBorders>
            <w:shd w:val="clear" w:color="auto" w:fill="auto"/>
            <w:noWrap/>
            <w:vAlign w:val="bottom"/>
            <w:hideMark/>
          </w:tcPr>
          <w:p w14:paraId="0695D62D"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(2)</w:t>
            </w:r>
          </w:p>
        </w:tc>
        <w:tc>
          <w:tcPr>
            <w:tcW w:w="1100" w:type="dxa"/>
            <w:gridSpan w:val="2"/>
            <w:tcBorders>
              <w:top w:val="nil"/>
              <w:left w:val="nil"/>
              <w:bottom w:val="single" w:sz="4" w:space="0" w:color="auto"/>
              <w:right w:val="nil"/>
            </w:tcBorders>
            <w:shd w:val="clear" w:color="auto" w:fill="auto"/>
            <w:noWrap/>
            <w:vAlign w:val="bottom"/>
            <w:hideMark/>
          </w:tcPr>
          <w:p w14:paraId="3D462E8D"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w:t>
            </w:r>
          </w:p>
        </w:tc>
        <w:tc>
          <w:tcPr>
            <w:tcW w:w="1100" w:type="dxa"/>
            <w:gridSpan w:val="2"/>
            <w:tcBorders>
              <w:top w:val="nil"/>
              <w:left w:val="nil"/>
              <w:bottom w:val="single" w:sz="4" w:space="0" w:color="auto"/>
              <w:right w:val="nil"/>
            </w:tcBorders>
            <w:shd w:val="clear" w:color="auto" w:fill="auto"/>
            <w:noWrap/>
            <w:vAlign w:val="bottom"/>
            <w:hideMark/>
          </w:tcPr>
          <w:p w14:paraId="4874A586"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(4)</w:t>
            </w:r>
          </w:p>
        </w:tc>
        <w:tc>
          <w:tcPr>
            <w:tcW w:w="1100" w:type="dxa"/>
            <w:gridSpan w:val="2"/>
            <w:tcBorders>
              <w:top w:val="nil"/>
              <w:left w:val="nil"/>
              <w:bottom w:val="single" w:sz="4" w:space="0" w:color="auto"/>
              <w:right w:val="nil"/>
            </w:tcBorders>
            <w:shd w:val="clear" w:color="auto" w:fill="auto"/>
            <w:noWrap/>
            <w:vAlign w:val="bottom"/>
            <w:hideMark/>
          </w:tcPr>
          <w:p w14:paraId="3DFED867"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(5)</w:t>
            </w:r>
          </w:p>
        </w:tc>
        <w:tc>
          <w:tcPr>
            <w:tcW w:w="1100" w:type="dxa"/>
            <w:gridSpan w:val="2"/>
            <w:tcBorders>
              <w:top w:val="nil"/>
              <w:left w:val="nil"/>
              <w:bottom w:val="single" w:sz="4" w:space="0" w:color="auto"/>
              <w:right w:val="nil"/>
            </w:tcBorders>
            <w:shd w:val="clear" w:color="auto" w:fill="auto"/>
            <w:noWrap/>
            <w:vAlign w:val="bottom"/>
            <w:hideMark/>
          </w:tcPr>
          <w:p w14:paraId="74C0AF45"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(6)</w:t>
            </w:r>
          </w:p>
        </w:tc>
      </w:tr>
      <w:tr w:rsidR="000A5FCE" w:rsidRPr="00B72B6C" w14:paraId="13026106" w14:textId="77777777" w:rsidTr="000A5FCE">
        <w:trPr>
          <w:trHeight w:val="300"/>
        </w:trPr>
        <w:tc>
          <w:tcPr>
            <w:tcW w:w="2077" w:type="dxa"/>
            <w:tcBorders>
              <w:top w:val="nil"/>
              <w:left w:val="nil"/>
              <w:bottom w:val="nil"/>
              <w:right w:val="nil"/>
            </w:tcBorders>
            <w:shd w:val="clear" w:color="auto" w:fill="auto"/>
            <w:noWrap/>
            <w:vAlign w:val="bottom"/>
            <w:hideMark/>
          </w:tcPr>
          <w:p w14:paraId="6814BE15"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Master (-2Y)</w:t>
            </w:r>
          </w:p>
        </w:tc>
        <w:tc>
          <w:tcPr>
            <w:tcW w:w="1100" w:type="dxa"/>
            <w:gridSpan w:val="2"/>
            <w:tcBorders>
              <w:top w:val="nil"/>
              <w:left w:val="nil"/>
              <w:bottom w:val="nil"/>
              <w:right w:val="nil"/>
            </w:tcBorders>
            <w:shd w:val="clear" w:color="auto" w:fill="auto"/>
            <w:noWrap/>
            <w:vAlign w:val="bottom"/>
            <w:hideMark/>
          </w:tcPr>
          <w:p w14:paraId="7ECD20F7"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.126***</w:t>
            </w:r>
          </w:p>
        </w:tc>
        <w:tc>
          <w:tcPr>
            <w:tcW w:w="1100" w:type="dxa"/>
            <w:gridSpan w:val="2"/>
            <w:tcBorders>
              <w:top w:val="nil"/>
              <w:left w:val="nil"/>
              <w:bottom w:val="nil"/>
              <w:right w:val="nil"/>
            </w:tcBorders>
            <w:shd w:val="clear" w:color="auto" w:fill="auto"/>
            <w:noWrap/>
            <w:vAlign w:val="bottom"/>
            <w:hideMark/>
          </w:tcPr>
          <w:p w14:paraId="1E768ECE"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.104***</w:t>
            </w:r>
          </w:p>
        </w:tc>
        <w:tc>
          <w:tcPr>
            <w:tcW w:w="1100" w:type="dxa"/>
            <w:gridSpan w:val="2"/>
            <w:tcBorders>
              <w:top w:val="nil"/>
              <w:left w:val="nil"/>
              <w:bottom w:val="nil"/>
              <w:right w:val="nil"/>
            </w:tcBorders>
            <w:shd w:val="clear" w:color="auto" w:fill="auto"/>
            <w:noWrap/>
            <w:vAlign w:val="bottom"/>
            <w:hideMark/>
          </w:tcPr>
          <w:p w14:paraId="45513E0A"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58C5F13B"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3CC437FB"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4EA45FF7"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r>
      <w:tr w:rsidR="000A5FCE" w:rsidRPr="00B72B6C" w14:paraId="3A12F536" w14:textId="77777777" w:rsidTr="000A5FCE">
        <w:trPr>
          <w:trHeight w:val="300"/>
        </w:trPr>
        <w:tc>
          <w:tcPr>
            <w:tcW w:w="2077" w:type="dxa"/>
            <w:tcBorders>
              <w:top w:val="nil"/>
              <w:left w:val="nil"/>
              <w:bottom w:val="nil"/>
              <w:right w:val="nil"/>
            </w:tcBorders>
            <w:shd w:val="clear" w:color="auto" w:fill="auto"/>
            <w:noWrap/>
            <w:vAlign w:val="bottom"/>
            <w:hideMark/>
          </w:tcPr>
          <w:p w14:paraId="5D50D1EF"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0092A4DB"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(.005)</w:t>
            </w:r>
          </w:p>
        </w:tc>
        <w:tc>
          <w:tcPr>
            <w:tcW w:w="1100" w:type="dxa"/>
            <w:gridSpan w:val="2"/>
            <w:tcBorders>
              <w:top w:val="nil"/>
              <w:left w:val="nil"/>
              <w:bottom w:val="nil"/>
              <w:right w:val="nil"/>
            </w:tcBorders>
            <w:shd w:val="clear" w:color="auto" w:fill="auto"/>
            <w:noWrap/>
            <w:vAlign w:val="bottom"/>
            <w:hideMark/>
          </w:tcPr>
          <w:p w14:paraId="14CB0FAC"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(.005)</w:t>
            </w:r>
          </w:p>
        </w:tc>
        <w:tc>
          <w:tcPr>
            <w:tcW w:w="1100" w:type="dxa"/>
            <w:gridSpan w:val="2"/>
            <w:tcBorders>
              <w:top w:val="nil"/>
              <w:left w:val="nil"/>
              <w:bottom w:val="nil"/>
              <w:right w:val="nil"/>
            </w:tcBorders>
            <w:shd w:val="clear" w:color="auto" w:fill="auto"/>
            <w:noWrap/>
            <w:vAlign w:val="bottom"/>
            <w:hideMark/>
          </w:tcPr>
          <w:p w14:paraId="4D24F01C"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1D1C311C"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5D94D38A"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31844334"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r>
      <w:tr w:rsidR="000A5FCE" w:rsidRPr="00B72B6C" w14:paraId="63BEEC30" w14:textId="77777777" w:rsidTr="000A5FCE">
        <w:trPr>
          <w:trHeight w:val="300"/>
        </w:trPr>
        <w:tc>
          <w:tcPr>
            <w:tcW w:w="2077" w:type="dxa"/>
            <w:tcBorders>
              <w:top w:val="nil"/>
              <w:left w:val="nil"/>
              <w:bottom w:val="nil"/>
              <w:right w:val="nil"/>
            </w:tcBorders>
            <w:shd w:val="clear" w:color="auto" w:fill="auto"/>
            <w:noWrap/>
            <w:vAlign w:val="bottom"/>
            <w:hideMark/>
          </w:tcPr>
          <w:p w14:paraId="0455F1DC"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Diploma (-2Y)</w:t>
            </w:r>
          </w:p>
        </w:tc>
        <w:tc>
          <w:tcPr>
            <w:tcW w:w="1100" w:type="dxa"/>
            <w:gridSpan w:val="2"/>
            <w:tcBorders>
              <w:top w:val="nil"/>
              <w:left w:val="nil"/>
              <w:bottom w:val="nil"/>
              <w:right w:val="nil"/>
            </w:tcBorders>
            <w:shd w:val="clear" w:color="auto" w:fill="auto"/>
            <w:noWrap/>
            <w:vAlign w:val="bottom"/>
            <w:hideMark/>
          </w:tcPr>
          <w:p w14:paraId="702C4535"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6D67FC9C"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4952DE56"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0B287837"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.089***</w:t>
            </w:r>
          </w:p>
        </w:tc>
        <w:tc>
          <w:tcPr>
            <w:tcW w:w="1100" w:type="dxa"/>
            <w:gridSpan w:val="2"/>
            <w:tcBorders>
              <w:top w:val="nil"/>
              <w:left w:val="nil"/>
              <w:bottom w:val="nil"/>
              <w:right w:val="nil"/>
            </w:tcBorders>
            <w:shd w:val="clear" w:color="auto" w:fill="auto"/>
            <w:noWrap/>
            <w:vAlign w:val="bottom"/>
            <w:hideMark/>
          </w:tcPr>
          <w:p w14:paraId="2A9889D5"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.076***</w:t>
            </w:r>
          </w:p>
        </w:tc>
        <w:tc>
          <w:tcPr>
            <w:tcW w:w="1100" w:type="dxa"/>
            <w:gridSpan w:val="2"/>
            <w:tcBorders>
              <w:top w:val="nil"/>
              <w:left w:val="nil"/>
              <w:bottom w:val="nil"/>
              <w:right w:val="nil"/>
            </w:tcBorders>
            <w:shd w:val="clear" w:color="auto" w:fill="auto"/>
            <w:noWrap/>
            <w:vAlign w:val="bottom"/>
            <w:hideMark/>
          </w:tcPr>
          <w:p w14:paraId="38EC7E88"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p>
        </w:tc>
      </w:tr>
      <w:tr w:rsidR="000A5FCE" w:rsidRPr="00B72B6C" w14:paraId="242677DC" w14:textId="77777777" w:rsidTr="000A5FCE">
        <w:trPr>
          <w:trHeight w:val="300"/>
        </w:trPr>
        <w:tc>
          <w:tcPr>
            <w:tcW w:w="2077" w:type="dxa"/>
            <w:tcBorders>
              <w:top w:val="nil"/>
              <w:left w:val="nil"/>
              <w:bottom w:val="nil"/>
              <w:right w:val="nil"/>
            </w:tcBorders>
            <w:shd w:val="clear" w:color="auto" w:fill="auto"/>
            <w:noWrap/>
            <w:vAlign w:val="bottom"/>
            <w:hideMark/>
          </w:tcPr>
          <w:p w14:paraId="2E77E3E7"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486ECF10" w14:textId="77777777" w:rsidR="000A5FCE" w:rsidRPr="00B72B6C" w:rsidRDefault="000A5FCE" w:rsidP="000A5FCE">
            <w:pPr>
              <w:spacing w:after="0" w:line="240" w:lineRule="auto"/>
              <w:ind w:left="0" w:firstLine="0"/>
              <w:jc w:val="left"/>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5E0A70DA"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51984571"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59ACEF9E"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(.004)</w:t>
            </w:r>
          </w:p>
        </w:tc>
        <w:tc>
          <w:tcPr>
            <w:tcW w:w="1100" w:type="dxa"/>
            <w:gridSpan w:val="2"/>
            <w:tcBorders>
              <w:top w:val="nil"/>
              <w:left w:val="nil"/>
              <w:bottom w:val="nil"/>
              <w:right w:val="nil"/>
            </w:tcBorders>
            <w:shd w:val="clear" w:color="auto" w:fill="auto"/>
            <w:noWrap/>
            <w:vAlign w:val="bottom"/>
            <w:hideMark/>
          </w:tcPr>
          <w:p w14:paraId="5A716BFF"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(.004)</w:t>
            </w:r>
          </w:p>
        </w:tc>
        <w:tc>
          <w:tcPr>
            <w:tcW w:w="1100" w:type="dxa"/>
            <w:gridSpan w:val="2"/>
            <w:tcBorders>
              <w:top w:val="nil"/>
              <w:left w:val="nil"/>
              <w:bottom w:val="nil"/>
              <w:right w:val="nil"/>
            </w:tcBorders>
            <w:shd w:val="clear" w:color="auto" w:fill="auto"/>
            <w:noWrap/>
            <w:vAlign w:val="bottom"/>
            <w:hideMark/>
          </w:tcPr>
          <w:p w14:paraId="4C48E92E"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p>
        </w:tc>
      </w:tr>
      <w:tr w:rsidR="000A5FCE" w:rsidRPr="00B72B6C" w14:paraId="078A9B51" w14:textId="77777777" w:rsidTr="000A5FCE">
        <w:trPr>
          <w:trHeight w:val="300"/>
        </w:trPr>
        <w:tc>
          <w:tcPr>
            <w:tcW w:w="2077" w:type="dxa"/>
            <w:tcBorders>
              <w:top w:val="nil"/>
              <w:left w:val="nil"/>
              <w:bottom w:val="nil"/>
              <w:right w:val="nil"/>
            </w:tcBorders>
            <w:shd w:val="clear" w:color="auto" w:fill="auto"/>
            <w:noWrap/>
            <w:vAlign w:val="bottom"/>
            <w:hideMark/>
          </w:tcPr>
          <w:p w14:paraId="72D0E6D8"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IV Master (-2Y)</w:t>
            </w:r>
          </w:p>
        </w:tc>
        <w:tc>
          <w:tcPr>
            <w:tcW w:w="1100" w:type="dxa"/>
            <w:gridSpan w:val="2"/>
            <w:tcBorders>
              <w:top w:val="nil"/>
              <w:left w:val="nil"/>
              <w:bottom w:val="nil"/>
              <w:right w:val="nil"/>
            </w:tcBorders>
            <w:shd w:val="clear" w:color="auto" w:fill="auto"/>
            <w:noWrap/>
            <w:vAlign w:val="bottom"/>
            <w:hideMark/>
          </w:tcPr>
          <w:p w14:paraId="5334E7F3"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2FB33C4E"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0A1D4CD0"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.372**</w:t>
            </w:r>
          </w:p>
        </w:tc>
        <w:tc>
          <w:tcPr>
            <w:tcW w:w="1100" w:type="dxa"/>
            <w:gridSpan w:val="2"/>
            <w:tcBorders>
              <w:top w:val="nil"/>
              <w:left w:val="nil"/>
              <w:bottom w:val="nil"/>
              <w:right w:val="nil"/>
            </w:tcBorders>
            <w:shd w:val="clear" w:color="auto" w:fill="auto"/>
            <w:noWrap/>
            <w:vAlign w:val="bottom"/>
            <w:hideMark/>
          </w:tcPr>
          <w:p w14:paraId="21187E30"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43ADBAE0"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7AE6E921"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r>
      <w:tr w:rsidR="000A5FCE" w:rsidRPr="00B72B6C" w14:paraId="7DAF70C7" w14:textId="77777777" w:rsidTr="000A5FCE">
        <w:trPr>
          <w:trHeight w:val="300"/>
        </w:trPr>
        <w:tc>
          <w:tcPr>
            <w:tcW w:w="2077" w:type="dxa"/>
            <w:tcBorders>
              <w:top w:val="nil"/>
              <w:left w:val="nil"/>
              <w:bottom w:val="nil"/>
              <w:right w:val="nil"/>
            </w:tcBorders>
            <w:shd w:val="clear" w:color="auto" w:fill="auto"/>
            <w:noWrap/>
            <w:vAlign w:val="bottom"/>
            <w:hideMark/>
          </w:tcPr>
          <w:p w14:paraId="6B751D82"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06F9EF14" w14:textId="77777777" w:rsidR="000A5FCE" w:rsidRPr="00B72B6C" w:rsidRDefault="000A5FCE" w:rsidP="000A5FCE">
            <w:pPr>
              <w:spacing w:after="0" w:line="240" w:lineRule="auto"/>
              <w:ind w:left="0" w:firstLine="0"/>
              <w:jc w:val="left"/>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3D5586A4"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151B1A25"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(.157)</w:t>
            </w:r>
          </w:p>
        </w:tc>
        <w:tc>
          <w:tcPr>
            <w:tcW w:w="1100" w:type="dxa"/>
            <w:gridSpan w:val="2"/>
            <w:tcBorders>
              <w:top w:val="nil"/>
              <w:left w:val="nil"/>
              <w:bottom w:val="nil"/>
              <w:right w:val="nil"/>
            </w:tcBorders>
            <w:shd w:val="clear" w:color="auto" w:fill="auto"/>
            <w:noWrap/>
            <w:vAlign w:val="bottom"/>
            <w:hideMark/>
          </w:tcPr>
          <w:p w14:paraId="4BC6CBBE"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24830ABF"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5240093E"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r>
      <w:tr w:rsidR="000A5FCE" w:rsidRPr="00B72B6C" w14:paraId="45991E0D" w14:textId="77777777" w:rsidTr="000A5FCE">
        <w:trPr>
          <w:trHeight w:val="300"/>
        </w:trPr>
        <w:tc>
          <w:tcPr>
            <w:tcW w:w="2077" w:type="dxa"/>
            <w:tcBorders>
              <w:top w:val="nil"/>
              <w:left w:val="nil"/>
              <w:bottom w:val="nil"/>
              <w:right w:val="nil"/>
            </w:tcBorders>
            <w:shd w:val="clear" w:color="auto" w:fill="auto"/>
            <w:noWrap/>
            <w:vAlign w:val="bottom"/>
            <w:hideMark/>
          </w:tcPr>
          <w:p w14:paraId="4E8679A7"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IV Diploma (-2Y)</w:t>
            </w:r>
          </w:p>
        </w:tc>
        <w:tc>
          <w:tcPr>
            <w:tcW w:w="1100" w:type="dxa"/>
            <w:gridSpan w:val="2"/>
            <w:tcBorders>
              <w:top w:val="nil"/>
              <w:left w:val="nil"/>
              <w:bottom w:val="nil"/>
              <w:right w:val="nil"/>
            </w:tcBorders>
            <w:shd w:val="clear" w:color="auto" w:fill="auto"/>
            <w:noWrap/>
            <w:vAlign w:val="bottom"/>
            <w:hideMark/>
          </w:tcPr>
          <w:p w14:paraId="17F5E326"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4F17D65C"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6087720B"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472EFC0B"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708808FC"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2DCDA754"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.325***</w:t>
            </w:r>
          </w:p>
        </w:tc>
      </w:tr>
      <w:tr w:rsidR="000A5FCE" w:rsidRPr="00B72B6C" w14:paraId="571D1160" w14:textId="77777777" w:rsidTr="000A5FCE">
        <w:trPr>
          <w:trHeight w:val="300"/>
        </w:trPr>
        <w:tc>
          <w:tcPr>
            <w:tcW w:w="2077" w:type="dxa"/>
            <w:tcBorders>
              <w:top w:val="nil"/>
              <w:left w:val="nil"/>
              <w:bottom w:val="single" w:sz="4" w:space="0" w:color="auto"/>
              <w:right w:val="nil"/>
            </w:tcBorders>
            <w:shd w:val="clear" w:color="auto" w:fill="auto"/>
            <w:noWrap/>
            <w:vAlign w:val="bottom"/>
            <w:hideMark/>
          </w:tcPr>
          <w:p w14:paraId="1E22BF14"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36091A63"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164623AE"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1BD38A47"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1D6C84E3"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6732A9B1"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1DA4D21B"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(.100)</w:t>
            </w:r>
          </w:p>
        </w:tc>
      </w:tr>
      <w:tr w:rsidR="000A5FCE" w:rsidRPr="00B72B6C" w14:paraId="0FB52581" w14:textId="77777777" w:rsidTr="000A5FCE">
        <w:trPr>
          <w:trHeight w:val="300"/>
        </w:trPr>
        <w:tc>
          <w:tcPr>
            <w:tcW w:w="2077" w:type="dxa"/>
            <w:tcBorders>
              <w:top w:val="nil"/>
              <w:left w:val="nil"/>
              <w:bottom w:val="nil"/>
              <w:right w:val="nil"/>
            </w:tcBorders>
            <w:shd w:val="clear" w:color="auto" w:fill="auto"/>
            <w:noWrap/>
            <w:vAlign w:val="bottom"/>
            <w:hideMark/>
          </w:tcPr>
          <w:p w14:paraId="1130793A"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Year FE</w:t>
            </w:r>
          </w:p>
        </w:tc>
        <w:tc>
          <w:tcPr>
            <w:tcW w:w="1100" w:type="dxa"/>
            <w:gridSpan w:val="2"/>
            <w:tcBorders>
              <w:top w:val="nil"/>
              <w:left w:val="nil"/>
              <w:bottom w:val="nil"/>
              <w:right w:val="nil"/>
            </w:tcBorders>
            <w:shd w:val="clear" w:color="auto" w:fill="auto"/>
            <w:noWrap/>
            <w:vAlign w:val="bottom"/>
            <w:hideMark/>
          </w:tcPr>
          <w:p w14:paraId="0BA76863"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305C47ED"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5F401E25"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39D1637C"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30E2510F"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754C6B16"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r>
      <w:tr w:rsidR="000A5FCE" w:rsidRPr="00B72B6C" w14:paraId="4D4A933B" w14:textId="77777777" w:rsidTr="000A5FCE">
        <w:trPr>
          <w:trHeight w:val="300"/>
        </w:trPr>
        <w:tc>
          <w:tcPr>
            <w:tcW w:w="2077" w:type="dxa"/>
            <w:tcBorders>
              <w:top w:val="nil"/>
              <w:left w:val="nil"/>
              <w:bottom w:val="nil"/>
              <w:right w:val="nil"/>
            </w:tcBorders>
            <w:shd w:val="clear" w:color="auto" w:fill="auto"/>
            <w:noWrap/>
            <w:vAlign w:val="bottom"/>
            <w:hideMark/>
          </w:tcPr>
          <w:p w14:paraId="336C78BE"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Industry FE</w:t>
            </w:r>
          </w:p>
        </w:tc>
        <w:tc>
          <w:tcPr>
            <w:tcW w:w="1100" w:type="dxa"/>
            <w:gridSpan w:val="2"/>
            <w:tcBorders>
              <w:top w:val="nil"/>
              <w:left w:val="nil"/>
              <w:bottom w:val="nil"/>
              <w:right w:val="nil"/>
            </w:tcBorders>
            <w:shd w:val="clear" w:color="auto" w:fill="auto"/>
            <w:noWrap/>
            <w:vAlign w:val="bottom"/>
            <w:hideMark/>
          </w:tcPr>
          <w:p w14:paraId="6360D14F"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144ABE0F"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126A10AE"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0A0EA4C7"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6ED4174B"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598E9081"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r>
      <w:tr w:rsidR="000A5FCE" w:rsidRPr="00B72B6C" w14:paraId="541A986F" w14:textId="77777777" w:rsidTr="000A5FCE">
        <w:trPr>
          <w:trHeight w:val="360"/>
        </w:trPr>
        <w:tc>
          <w:tcPr>
            <w:tcW w:w="2077" w:type="dxa"/>
            <w:tcBorders>
              <w:top w:val="nil"/>
              <w:left w:val="nil"/>
              <w:bottom w:val="nil"/>
              <w:right w:val="nil"/>
            </w:tcBorders>
            <w:shd w:val="clear" w:color="auto" w:fill="auto"/>
            <w:noWrap/>
            <w:vAlign w:val="bottom"/>
            <w:hideMark/>
          </w:tcPr>
          <w:p w14:paraId="40FF2DA1"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Firm Controls</w:t>
            </w:r>
          </w:p>
        </w:tc>
        <w:tc>
          <w:tcPr>
            <w:tcW w:w="1100" w:type="dxa"/>
            <w:gridSpan w:val="2"/>
            <w:tcBorders>
              <w:top w:val="nil"/>
              <w:left w:val="nil"/>
              <w:bottom w:val="nil"/>
              <w:right w:val="nil"/>
            </w:tcBorders>
            <w:shd w:val="clear" w:color="auto" w:fill="auto"/>
            <w:noWrap/>
            <w:vAlign w:val="bottom"/>
            <w:hideMark/>
          </w:tcPr>
          <w:p w14:paraId="1886423F"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71A82CAC"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5BC6AEC1"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702B0E15"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3EC83204"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nil"/>
              <w:right w:val="nil"/>
            </w:tcBorders>
            <w:shd w:val="clear" w:color="auto" w:fill="auto"/>
            <w:noWrap/>
            <w:vAlign w:val="bottom"/>
            <w:hideMark/>
          </w:tcPr>
          <w:p w14:paraId="21339CFF"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r>
      <w:tr w:rsidR="000A5FCE" w:rsidRPr="00B72B6C" w14:paraId="67C07878" w14:textId="77777777" w:rsidTr="000A5FCE">
        <w:trPr>
          <w:trHeight w:val="300"/>
        </w:trPr>
        <w:tc>
          <w:tcPr>
            <w:tcW w:w="2077" w:type="dxa"/>
            <w:tcBorders>
              <w:top w:val="nil"/>
              <w:left w:val="nil"/>
              <w:bottom w:val="single" w:sz="4" w:space="0" w:color="auto"/>
              <w:right w:val="nil"/>
            </w:tcBorders>
            <w:shd w:val="clear" w:color="auto" w:fill="auto"/>
            <w:noWrap/>
            <w:vAlign w:val="bottom"/>
            <w:hideMark/>
          </w:tcPr>
          <w:p w14:paraId="1B56C433"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Region Controls</w:t>
            </w:r>
          </w:p>
        </w:tc>
        <w:tc>
          <w:tcPr>
            <w:tcW w:w="1100" w:type="dxa"/>
            <w:gridSpan w:val="2"/>
            <w:tcBorders>
              <w:top w:val="nil"/>
              <w:left w:val="nil"/>
              <w:bottom w:val="single" w:sz="4" w:space="0" w:color="auto"/>
              <w:right w:val="nil"/>
            </w:tcBorders>
            <w:shd w:val="clear" w:color="auto" w:fill="auto"/>
            <w:noWrap/>
            <w:vAlign w:val="bottom"/>
            <w:hideMark/>
          </w:tcPr>
          <w:p w14:paraId="6AB1A540"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3C1D8874"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single" w:sz="4" w:space="0" w:color="auto"/>
              <w:right w:val="nil"/>
            </w:tcBorders>
            <w:shd w:val="clear" w:color="auto" w:fill="auto"/>
            <w:noWrap/>
            <w:vAlign w:val="bottom"/>
            <w:hideMark/>
          </w:tcPr>
          <w:p w14:paraId="54089BD0"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single" w:sz="4" w:space="0" w:color="auto"/>
              <w:right w:val="nil"/>
            </w:tcBorders>
            <w:shd w:val="clear" w:color="auto" w:fill="auto"/>
            <w:noWrap/>
            <w:vAlign w:val="bottom"/>
            <w:hideMark/>
          </w:tcPr>
          <w:p w14:paraId="694E53F3"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7CF785DD"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c>
          <w:tcPr>
            <w:tcW w:w="1100" w:type="dxa"/>
            <w:gridSpan w:val="2"/>
            <w:tcBorders>
              <w:top w:val="nil"/>
              <w:left w:val="nil"/>
              <w:bottom w:val="single" w:sz="4" w:space="0" w:color="auto"/>
              <w:right w:val="nil"/>
            </w:tcBorders>
            <w:shd w:val="clear" w:color="auto" w:fill="auto"/>
            <w:noWrap/>
            <w:vAlign w:val="bottom"/>
            <w:hideMark/>
          </w:tcPr>
          <w:p w14:paraId="3ED76167"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Yes</w:t>
            </w:r>
          </w:p>
        </w:tc>
      </w:tr>
      <w:tr w:rsidR="000A5FCE" w:rsidRPr="00B72B6C" w14:paraId="4793B922" w14:textId="77777777" w:rsidTr="000A5FCE">
        <w:trPr>
          <w:trHeight w:val="300"/>
        </w:trPr>
        <w:tc>
          <w:tcPr>
            <w:tcW w:w="2077" w:type="dxa"/>
            <w:tcBorders>
              <w:top w:val="nil"/>
              <w:left w:val="nil"/>
              <w:bottom w:val="nil"/>
              <w:right w:val="nil"/>
            </w:tcBorders>
            <w:shd w:val="clear" w:color="auto" w:fill="auto"/>
            <w:noWrap/>
            <w:vAlign w:val="bottom"/>
            <w:hideMark/>
          </w:tcPr>
          <w:p w14:paraId="5DDA7B71"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Stage-1 F-stat</w:t>
            </w:r>
          </w:p>
        </w:tc>
        <w:tc>
          <w:tcPr>
            <w:tcW w:w="1100" w:type="dxa"/>
            <w:gridSpan w:val="2"/>
            <w:tcBorders>
              <w:top w:val="nil"/>
              <w:left w:val="nil"/>
              <w:bottom w:val="nil"/>
              <w:right w:val="nil"/>
            </w:tcBorders>
            <w:shd w:val="clear" w:color="auto" w:fill="auto"/>
            <w:noWrap/>
            <w:vAlign w:val="bottom"/>
            <w:hideMark/>
          </w:tcPr>
          <w:p w14:paraId="21BE94D0"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275FC595"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202BACB0"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11,20</w:t>
            </w:r>
          </w:p>
        </w:tc>
        <w:tc>
          <w:tcPr>
            <w:tcW w:w="1100" w:type="dxa"/>
            <w:gridSpan w:val="2"/>
            <w:tcBorders>
              <w:top w:val="nil"/>
              <w:left w:val="nil"/>
              <w:bottom w:val="nil"/>
              <w:right w:val="nil"/>
            </w:tcBorders>
            <w:shd w:val="clear" w:color="auto" w:fill="auto"/>
            <w:noWrap/>
            <w:vAlign w:val="bottom"/>
            <w:hideMark/>
          </w:tcPr>
          <w:p w14:paraId="468CA152"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1C15A846"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05E544F9"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18,00</w:t>
            </w:r>
          </w:p>
        </w:tc>
      </w:tr>
      <w:tr w:rsidR="000A5FCE" w:rsidRPr="00B72B6C" w14:paraId="7E08767F" w14:textId="77777777" w:rsidTr="000A5FCE">
        <w:trPr>
          <w:trHeight w:val="300"/>
        </w:trPr>
        <w:tc>
          <w:tcPr>
            <w:tcW w:w="2077" w:type="dxa"/>
            <w:tcBorders>
              <w:top w:val="nil"/>
              <w:left w:val="nil"/>
              <w:bottom w:val="nil"/>
              <w:right w:val="nil"/>
            </w:tcBorders>
            <w:shd w:val="clear" w:color="auto" w:fill="auto"/>
            <w:noWrap/>
            <w:vAlign w:val="bottom"/>
            <w:hideMark/>
          </w:tcPr>
          <w:p w14:paraId="09321B6E"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Stage-1 F p-value</w:t>
            </w:r>
          </w:p>
        </w:tc>
        <w:tc>
          <w:tcPr>
            <w:tcW w:w="1100" w:type="dxa"/>
            <w:gridSpan w:val="2"/>
            <w:tcBorders>
              <w:top w:val="nil"/>
              <w:left w:val="nil"/>
              <w:bottom w:val="nil"/>
              <w:right w:val="nil"/>
            </w:tcBorders>
            <w:shd w:val="clear" w:color="auto" w:fill="auto"/>
            <w:noWrap/>
            <w:vAlign w:val="bottom"/>
            <w:hideMark/>
          </w:tcPr>
          <w:p w14:paraId="625308C6"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26848E84"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465C17B9"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&lt;0.001</w:t>
            </w:r>
          </w:p>
        </w:tc>
        <w:tc>
          <w:tcPr>
            <w:tcW w:w="1100" w:type="dxa"/>
            <w:gridSpan w:val="2"/>
            <w:tcBorders>
              <w:top w:val="nil"/>
              <w:left w:val="nil"/>
              <w:bottom w:val="nil"/>
              <w:right w:val="nil"/>
            </w:tcBorders>
            <w:shd w:val="clear" w:color="auto" w:fill="auto"/>
            <w:noWrap/>
            <w:vAlign w:val="bottom"/>
            <w:hideMark/>
          </w:tcPr>
          <w:p w14:paraId="5606EFC5"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6329310E"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3E4BD3C8"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&lt;0.001</w:t>
            </w:r>
          </w:p>
        </w:tc>
      </w:tr>
      <w:tr w:rsidR="000A5FCE" w:rsidRPr="00B72B6C" w14:paraId="2E3CECA2" w14:textId="77777777" w:rsidTr="000A5FCE">
        <w:trPr>
          <w:trHeight w:val="300"/>
        </w:trPr>
        <w:tc>
          <w:tcPr>
            <w:tcW w:w="2077" w:type="dxa"/>
            <w:tcBorders>
              <w:top w:val="nil"/>
              <w:left w:val="nil"/>
              <w:bottom w:val="nil"/>
              <w:right w:val="nil"/>
            </w:tcBorders>
            <w:shd w:val="clear" w:color="auto" w:fill="auto"/>
            <w:noWrap/>
            <w:vAlign w:val="bottom"/>
            <w:hideMark/>
          </w:tcPr>
          <w:p w14:paraId="25B6D3FC"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Wu-Hausman p-value</w:t>
            </w:r>
          </w:p>
        </w:tc>
        <w:tc>
          <w:tcPr>
            <w:tcW w:w="1100" w:type="dxa"/>
            <w:gridSpan w:val="2"/>
            <w:tcBorders>
              <w:top w:val="nil"/>
              <w:left w:val="nil"/>
              <w:bottom w:val="nil"/>
              <w:right w:val="nil"/>
            </w:tcBorders>
            <w:shd w:val="clear" w:color="auto" w:fill="auto"/>
            <w:noWrap/>
            <w:vAlign w:val="bottom"/>
            <w:hideMark/>
          </w:tcPr>
          <w:p w14:paraId="71EF291C"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7F090AB5"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18ECC58E"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0,087</w:t>
            </w:r>
          </w:p>
        </w:tc>
        <w:tc>
          <w:tcPr>
            <w:tcW w:w="1100" w:type="dxa"/>
            <w:gridSpan w:val="2"/>
            <w:tcBorders>
              <w:top w:val="nil"/>
              <w:left w:val="nil"/>
              <w:bottom w:val="nil"/>
              <w:right w:val="nil"/>
            </w:tcBorders>
            <w:shd w:val="clear" w:color="auto" w:fill="auto"/>
            <w:noWrap/>
            <w:vAlign w:val="bottom"/>
            <w:hideMark/>
          </w:tcPr>
          <w:p w14:paraId="4E639F8B"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5EEC71DC" w14:textId="77777777" w:rsidR="000A5FCE" w:rsidRPr="00B72B6C" w:rsidRDefault="000A5FCE" w:rsidP="000A5FCE">
            <w:pPr>
              <w:spacing w:after="0" w:line="240" w:lineRule="auto"/>
              <w:ind w:left="0" w:firstLine="0"/>
              <w:jc w:val="center"/>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2FD8E103"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0,009</w:t>
            </w:r>
          </w:p>
        </w:tc>
      </w:tr>
      <w:tr w:rsidR="000A5FCE" w:rsidRPr="00B72B6C" w14:paraId="23765DF8" w14:textId="77777777" w:rsidTr="000A5FCE">
        <w:trPr>
          <w:trHeight w:val="320"/>
        </w:trPr>
        <w:tc>
          <w:tcPr>
            <w:tcW w:w="2077" w:type="dxa"/>
            <w:tcBorders>
              <w:top w:val="nil"/>
              <w:left w:val="nil"/>
              <w:bottom w:val="double" w:sz="6" w:space="0" w:color="auto"/>
              <w:right w:val="nil"/>
            </w:tcBorders>
            <w:shd w:val="clear" w:color="auto" w:fill="auto"/>
            <w:noWrap/>
            <w:vAlign w:val="bottom"/>
            <w:hideMark/>
          </w:tcPr>
          <w:p w14:paraId="724ED3B2"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N</w:t>
            </w:r>
          </w:p>
        </w:tc>
        <w:tc>
          <w:tcPr>
            <w:tcW w:w="1100" w:type="dxa"/>
            <w:gridSpan w:val="2"/>
            <w:tcBorders>
              <w:top w:val="nil"/>
              <w:left w:val="nil"/>
              <w:bottom w:val="double" w:sz="6" w:space="0" w:color="auto"/>
              <w:right w:val="nil"/>
            </w:tcBorders>
            <w:shd w:val="clear" w:color="auto" w:fill="auto"/>
            <w:noWrap/>
            <w:vAlign w:val="bottom"/>
            <w:hideMark/>
          </w:tcPr>
          <w:p w14:paraId="551C537E"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36.995</w:t>
            </w:r>
          </w:p>
        </w:tc>
        <w:tc>
          <w:tcPr>
            <w:tcW w:w="1100" w:type="dxa"/>
            <w:gridSpan w:val="2"/>
            <w:tcBorders>
              <w:top w:val="nil"/>
              <w:left w:val="nil"/>
              <w:bottom w:val="double" w:sz="6" w:space="0" w:color="auto"/>
              <w:right w:val="nil"/>
            </w:tcBorders>
            <w:shd w:val="clear" w:color="auto" w:fill="auto"/>
            <w:noWrap/>
            <w:vAlign w:val="bottom"/>
            <w:hideMark/>
          </w:tcPr>
          <w:p w14:paraId="3ABBDE1E"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36.995</w:t>
            </w:r>
          </w:p>
        </w:tc>
        <w:tc>
          <w:tcPr>
            <w:tcW w:w="1100" w:type="dxa"/>
            <w:gridSpan w:val="2"/>
            <w:tcBorders>
              <w:top w:val="nil"/>
              <w:left w:val="nil"/>
              <w:bottom w:val="double" w:sz="6" w:space="0" w:color="auto"/>
              <w:right w:val="nil"/>
            </w:tcBorders>
            <w:shd w:val="clear" w:color="auto" w:fill="auto"/>
            <w:noWrap/>
            <w:vAlign w:val="bottom"/>
            <w:hideMark/>
          </w:tcPr>
          <w:p w14:paraId="5444FA77"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36.468</w:t>
            </w:r>
          </w:p>
        </w:tc>
        <w:tc>
          <w:tcPr>
            <w:tcW w:w="1100" w:type="dxa"/>
            <w:gridSpan w:val="2"/>
            <w:tcBorders>
              <w:top w:val="nil"/>
              <w:left w:val="nil"/>
              <w:bottom w:val="double" w:sz="6" w:space="0" w:color="auto"/>
              <w:right w:val="nil"/>
            </w:tcBorders>
            <w:shd w:val="clear" w:color="auto" w:fill="auto"/>
            <w:noWrap/>
            <w:vAlign w:val="bottom"/>
            <w:hideMark/>
          </w:tcPr>
          <w:p w14:paraId="754991B3"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36.995</w:t>
            </w:r>
          </w:p>
        </w:tc>
        <w:tc>
          <w:tcPr>
            <w:tcW w:w="1100" w:type="dxa"/>
            <w:gridSpan w:val="2"/>
            <w:tcBorders>
              <w:top w:val="nil"/>
              <w:left w:val="nil"/>
              <w:bottom w:val="double" w:sz="6" w:space="0" w:color="auto"/>
              <w:right w:val="nil"/>
            </w:tcBorders>
            <w:shd w:val="clear" w:color="auto" w:fill="auto"/>
            <w:noWrap/>
            <w:vAlign w:val="bottom"/>
            <w:hideMark/>
          </w:tcPr>
          <w:p w14:paraId="22678481"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36.995</w:t>
            </w:r>
          </w:p>
        </w:tc>
        <w:tc>
          <w:tcPr>
            <w:tcW w:w="1100" w:type="dxa"/>
            <w:gridSpan w:val="2"/>
            <w:tcBorders>
              <w:top w:val="nil"/>
              <w:left w:val="nil"/>
              <w:bottom w:val="double" w:sz="6" w:space="0" w:color="auto"/>
              <w:right w:val="nil"/>
            </w:tcBorders>
            <w:shd w:val="clear" w:color="auto" w:fill="auto"/>
            <w:noWrap/>
            <w:vAlign w:val="bottom"/>
            <w:hideMark/>
          </w:tcPr>
          <w:p w14:paraId="785301BB" w14:textId="77777777" w:rsidR="000A5FCE" w:rsidRPr="00B72B6C" w:rsidRDefault="000A5FCE" w:rsidP="000A5FCE">
            <w:pPr>
              <w:spacing w:after="0" w:line="240" w:lineRule="auto"/>
              <w:ind w:left="0" w:firstLine="0"/>
              <w:jc w:val="center"/>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36.468</w:t>
            </w:r>
          </w:p>
        </w:tc>
      </w:tr>
      <w:tr w:rsidR="000A5FCE" w:rsidRPr="00B72B6C" w14:paraId="711EFD66" w14:textId="77777777" w:rsidTr="000A5FCE">
        <w:trPr>
          <w:gridAfter w:val="1"/>
          <w:wAfter w:w="7" w:type="dxa"/>
          <w:trHeight w:val="320"/>
        </w:trPr>
        <w:tc>
          <w:tcPr>
            <w:tcW w:w="3170" w:type="dxa"/>
            <w:gridSpan w:val="2"/>
            <w:tcBorders>
              <w:top w:val="nil"/>
              <w:left w:val="nil"/>
              <w:bottom w:val="nil"/>
              <w:right w:val="nil"/>
            </w:tcBorders>
            <w:shd w:val="clear" w:color="auto" w:fill="auto"/>
            <w:noWrap/>
            <w:vAlign w:val="bottom"/>
            <w:hideMark/>
          </w:tcPr>
          <w:p w14:paraId="0EFFB077"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r w:rsidRPr="00B72B6C">
              <w:rPr>
                <w:rFonts w:ascii="Times New Roman" w:eastAsia="Times New Roman" w:hAnsi="Times New Roman" w:cs="Times New Roman"/>
                <w:sz w:val="20"/>
                <w:szCs w:val="20"/>
                <w:lang w:val="en-US"/>
              </w:rPr>
              <w:t>Note: *p&lt;0.1; **p&lt;0.05; ***p&lt;0.01</w:t>
            </w:r>
          </w:p>
        </w:tc>
        <w:tc>
          <w:tcPr>
            <w:tcW w:w="1100" w:type="dxa"/>
            <w:gridSpan w:val="2"/>
            <w:tcBorders>
              <w:top w:val="nil"/>
              <w:left w:val="nil"/>
              <w:bottom w:val="nil"/>
              <w:right w:val="nil"/>
            </w:tcBorders>
            <w:shd w:val="clear" w:color="auto" w:fill="auto"/>
            <w:noWrap/>
            <w:vAlign w:val="bottom"/>
            <w:hideMark/>
          </w:tcPr>
          <w:p w14:paraId="02216FA5" w14:textId="77777777" w:rsidR="000A5FCE" w:rsidRPr="00B72B6C" w:rsidRDefault="000A5FCE" w:rsidP="000A5FCE">
            <w:pPr>
              <w:spacing w:after="0" w:line="240" w:lineRule="auto"/>
              <w:ind w:left="0" w:firstLine="0"/>
              <w:jc w:val="left"/>
              <w:rPr>
                <w:rFonts w:ascii="Times New Roman" w:eastAsia="Times New Roman" w:hAnsi="Times New Roman" w:cs="Times New Roman"/>
                <w:sz w:val="20"/>
                <w:szCs w:val="20"/>
                <w:lang w:val="en-US"/>
              </w:rPr>
            </w:pPr>
          </w:p>
        </w:tc>
        <w:tc>
          <w:tcPr>
            <w:tcW w:w="1100" w:type="dxa"/>
            <w:gridSpan w:val="2"/>
            <w:tcBorders>
              <w:top w:val="nil"/>
              <w:left w:val="nil"/>
              <w:bottom w:val="nil"/>
              <w:right w:val="nil"/>
            </w:tcBorders>
            <w:shd w:val="clear" w:color="auto" w:fill="auto"/>
            <w:noWrap/>
            <w:vAlign w:val="bottom"/>
            <w:hideMark/>
          </w:tcPr>
          <w:p w14:paraId="57C4B913" w14:textId="77777777" w:rsidR="000A5FCE" w:rsidRPr="00B72B6C" w:rsidRDefault="000A5FCE" w:rsidP="000A5FCE">
            <w:pPr>
              <w:spacing w:after="0" w:line="240" w:lineRule="auto"/>
              <w:ind w:left="0" w:firstLine="0"/>
              <w:jc w:val="left"/>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30FCE738" w14:textId="77777777" w:rsidR="000A5FCE" w:rsidRPr="00B72B6C" w:rsidRDefault="000A5FCE" w:rsidP="000A5FCE">
            <w:pPr>
              <w:spacing w:after="0" w:line="240" w:lineRule="auto"/>
              <w:ind w:left="0" w:firstLine="0"/>
              <w:jc w:val="left"/>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713F2D9A" w14:textId="77777777" w:rsidR="000A5FCE" w:rsidRPr="00B72B6C" w:rsidRDefault="000A5FCE" w:rsidP="000A5FCE">
            <w:pPr>
              <w:spacing w:after="0" w:line="240" w:lineRule="auto"/>
              <w:ind w:left="0" w:firstLine="0"/>
              <w:jc w:val="left"/>
              <w:rPr>
                <w:rFonts w:ascii="Times New Roman" w:eastAsia="Times New Roman" w:hAnsi="Times New Roman" w:cs="Times New Roman"/>
                <w:color w:val="auto"/>
                <w:sz w:val="20"/>
                <w:szCs w:val="20"/>
                <w:lang w:val="en-US"/>
              </w:rPr>
            </w:pPr>
          </w:p>
        </w:tc>
        <w:tc>
          <w:tcPr>
            <w:tcW w:w="1100" w:type="dxa"/>
            <w:gridSpan w:val="2"/>
            <w:tcBorders>
              <w:top w:val="nil"/>
              <w:left w:val="nil"/>
              <w:bottom w:val="nil"/>
              <w:right w:val="nil"/>
            </w:tcBorders>
            <w:shd w:val="clear" w:color="auto" w:fill="auto"/>
            <w:noWrap/>
            <w:vAlign w:val="bottom"/>
            <w:hideMark/>
          </w:tcPr>
          <w:p w14:paraId="1FC55A1E" w14:textId="77777777" w:rsidR="000A5FCE" w:rsidRPr="00B72B6C" w:rsidRDefault="000A5FCE" w:rsidP="000A5FCE">
            <w:pPr>
              <w:spacing w:after="0" w:line="240" w:lineRule="auto"/>
              <w:ind w:left="0" w:firstLine="0"/>
              <w:jc w:val="left"/>
              <w:rPr>
                <w:rFonts w:ascii="Times New Roman" w:eastAsia="Times New Roman" w:hAnsi="Times New Roman" w:cs="Times New Roman"/>
                <w:color w:val="auto"/>
                <w:sz w:val="20"/>
                <w:szCs w:val="20"/>
                <w:lang w:val="en-US"/>
              </w:rPr>
            </w:pPr>
          </w:p>
        </w:tc>
      </w:tr>
    </w:tbl>
    <w:p w14:paraId="42083B37" w14:textId="77777777" w:rsidR="00DF4D03" w:rsidRPr="00160986" w:rsidRDefault="00DF4D03" w:rsidP="000A5FCE">
      <w:pPr>
        <w:spacing w:after="0" w:line="259" w:lineRule="auto"/>
        <w:jc w:val="left"/>
        <w:rPr>
          <w:lang w:val="en-US"/>
        </w:rPr>
      </w:pPr>
    </w:p>
    <w:p w14:paraId="50D47F7A" w14:textId="77777777" w:rsidR="00DF4D03" w:rsidRPr="00073C14" w:rsidRDefault="00DF4D03">
      <w:pPr>
        <w:spacing w:after="0" w:line="259" w:lineRule="auto"/>
        <w:ind w:left="2538" w:firstLine="0"/>
        <w:jc w:val="left"/>
        <w:rPr>
          <w:lang w:val="en-US"/>
        </w:rPr>
      </w:pPr>
    </w:p>
    <w:p w14:paraId="032B44A4" w14:textId="77777777" w:rsidR="00DF4D03" w:rsidRPr="00B72B6C" w:rsidRDefault="00DF4D03">
      <w:pPr>
        <w:spacing w:after="0" w:line="259" w:lineRule="auto"/>
        <w:ind w:left="2538" w:firstLine="0"/>
        <w:jc w:val="left"/>
        <w:rPr>
          <w:lang w:val="en-US"/>
        </w:rPr>
      </w:pPr>
    </w:p>
    <w:p w14:paraId="2DF4E879" w14:textId="77777777" w:rsidR="00DF4D03" w:rsidRPr="00B72B6C" w:rsidRDefault="00DF4D03">
      <w:pPr>
        <w:spacing w:after="0" w:line="259" w:lineRule="auto"/>
        <w:ind w:left="2538" w:firstLine="0"/>
        <w:jc w:val="left"/>
        <w:rPr>
          <w:lang w:val="en-US"/>
        </w:rPr>
      </w:pPr>
    </w:p>
    <w:p w14:paraId="278739D6" w14:textId="77777777" w:rsidR="00DF4D03" w:rsidRPr="00B72B6C" w:rsidRDefault="00DF4D03">
      <w:pPr>
        <w:spacing w:after="0" w:line="259" w:lineRule="auto"/>
        <w:ind w:left="2538" w:firstLine="0"/>
        <w:jc w:val="left"/>
        <w:rPr>
          <w:lang w:val="en-US"/>
        </w:rPr>
      </w:pPr>
    </w:p>
    <w:p w14:paraId="09C282FD" w14:textId="77777777" w:rsidR="00DF4D03" w:rsidRPr="00B72B6C" w:rsidRDefault="00DF4D03">
      <w:pPr>
        <w:spacing w:after="0" w:line="259" w:lineRule="auto"/>
        <w:ind w:left="2538" w:firstLine="0"/>
        <w:jc w:val="left"/>
        <w:rPr>
          <w:lang w:val="en-US"/>
        </w:rPr>
      </w:pPr>
    </w:p>
    <w:p w14:paraId="0627D8E3" w14:textId="77777777" w:rsidR="00DF4D03" w:rsidRPr="00B72B6C" w:rsidRDefault="00DF4D03">
      <w:pPr>
        <w:spacing w:after="0" w:line="259" w:lineRule="auto"/>
        <w:ind w:left="2538" w:firstLine="0"/>
        <w:jc w:val="left"/>
        <w:rPr>
          <w:lang w:val="en-US"/>
        </w:rPr>
      </w:pPr>
    </w:p>
    <w:p w14:paraId="41B8400D" w14:textId="77777777" w:rsidR="00DF4D03" w:rsidRPr="00B72B6C" w:rsidRDefault="00DF4D03">
      <w:pPr>
        <w:spacing w:after="0" w:line="259" w:lineRule="auto"/>
        <w:ind w:left="2538" w:firstLine="0"/>
        <w:jc w:val="left"/>
        <w:rPr>
          <w:lang w:val="en-US"/>
        </w:rPr>
      </w:pPr>
    </w:p>
    <w:p w14:paraId="547E066B" w14:textId="77777777" w:rsidR="00DF4D03" w:rsidRPr="00B72B6C" w:rsidRDefault="00DF4D03">
      <w:pPr>
        <w:spacing w:after="0" w:line="259" w:lineRule="auto"/>
        <w:ind w:left="2538" w:firstLine="0"/>
        <w:jc w:val="left"/>
        <w:rPr>
          <w:lang w:val="en-US"/>
        </w:rPr>
      </w:pPr>
    </w:p>
    <w:p w14:paraId="01C90C98" w14:textId="77777777" w:rsidR="00DF4D03" w:rsidRPr="00B72B6C" w:rsidRDefault="00DF4D03">
      <w:pPr>
        <w:spacing w:after="0" w:line="259" w:lineRule="auto"/>
        <w:ind w:left="2538" w:firstLine="0"/>
        <w:jc w:val="left"/>
        <w:rPr>
          <w:lang w:val="en-US"/>
        </w:rPr>
      </w:pPr>
    </w:p>
    <w:p w14:paraId="18F4CEE8" w14:textId="77777777" w:rsidR="00DF4D03" w:rsidRPr="00B72B6C" w:rsidRDefault="00DF4D03">
      <w:pPr>
        <w:spacing w:after="0" w:line="259" w:lineRule="auto"/>
        <w:ind w:left="2538" w:firstLine="0"/>
        <w:jc w:val="left"/>
        <w:rPr>
          <w:lang w:val="en-US"/>
        </w:rPr>
      </w:pPr>
    </w:p>
    <w:p w14:paraId="02B249CB" w14:textId="77777777" w:rsidR="00DF4D03" w:rsidRPr="00B72B6C" w:rsidRDefault="00DF4D03">
      <w:pPr>
        <w:spacing w:after="0" w:line="259" w:lineRule="auto"/>
        <w:ind w:left="2538" w:firstLine="0"/>
        <w:jc w:val="left"/>
        <w:rPr>
          <w:lang w:val="en-US"/>
        </w:rPr>
      </w:pPr>
    </w:p>
    <w:p w14:paraId="0CC59B02" w14:textId="77777777" w:rsidR="00DF4D03" w:rsidRPr="00B72B6C" w:rsidRDefault="00DF4D03">
      <w:pPr>
        <w:spacing w:after="0" w:line="259" w:lineRule="auto"/>
        <w:ind w:left="2538" w:firstLine="0"/>
        <w:jc w:val="left"/>
        <w:rPr>
          <w:lang w:val="en-US"/>
        </w:rPr>
      </w:pPr>
    </w:p>
    <w:p w14:paraId="13D8604B" w14:textId="77777777" w:rsidR="00DF4D03" w:rsidRPr="00B72B6C" w:rsidRDefault="00DF4D03">
      <w:pPr>
        <w:spacing w:after="0" w:line="259" w:lineRule="auto"/>
        <w:ind w:left="2538" w:firstLine="0"/>
        <w:jc w:val="left"/>
        <w:rPr>
          <w:lang w:val="en-US"/>
        </w:rPr>
      </w:pPr>
    </w:p>
    <w:p w14:paraId="6EF2C911" w14:textId="77777777" w:rsidR="00DF4D03" w:rsidRPr="00B72B6C" w:rsidRDefault="00DF4D03">
      <w:pPr>
        <w:spacing w:after="0" w:line="259" w:lineRule="auto"/>
        <w:ind w:left="2538" w:firstLine="0"/>
        <w:jc w:val="left"/>
        <w:rPr>
          <w:lang w:val="en-US"/>
        </w:rPr>
      </w:pPr>
    </w:p>
    <w:p w14:paraId="73188C18" w14:textId="77777777" w:rsidR="00DF4D03" w:rsidRPr="00B72B6C" w:rsidRDefault="00DF4D03">
      <w:pPr>
        <w:spacing w:after="0" w:line="259" w:lineRule="auto"/>
        <w:ind w:left="2538" w:firstLine="0"/>
        <w:jc w:val="left"/>
        <w:rPr>
          <w:lang w:val="en-US"/>
        </w:rPr>
      </w:pPr>
    </w:p>
    <w:p w14:paraId="0FC36125" w14:textId="77777777" w:rsidR="00DF4D03" w:rsidRPr="00B72B6C" w:rsidRDefault="00DF4D03">
      <w:pPr>
        <w:spacing w:after="0" w:line="259" w:lineRule="auto"/>
        <w:ind w:left="2538" w:firstLine="0"/>
        <w:jc w:val="left"/>
        <w:rPr>
          <w:lang w:val="en-US"/>
        </w:rPr>
      </w:pPr>
    </w:p>
    <w:p w14:paraId="5572759F" w14:textId="77777777" w:rsidR="00DF4D03" w:rsidRPr="00B72B6C" w:rsidRDefault="00DF4D03">
      <w:pPr>
        <w:spacing w:after="0" w:line="259" w:lineRule="auto"/>
        <w:ind w:left="2538" w:firstLine="0"/>
        <w:jc w:val="left"/>
        <w:rPr>
          <w:lang w:val="en-US"/>
        </w:rPr>
      </w:pPr>
    </w:p>
    <w:p w14:paraId="231742E9" w14:textId="77777777" w:rsidR="00DF4D03" w:rsidRPr="00B72B6C" w:rsidRDefault="00DF4D03">
      <w:pPr>
        <w:spacing w:after="0" w:line="259" w:lineRule="auto"/>
        <w:ind w:left="2538" w:firstLine="0"/>
        <w:jc w:val="left"/>
        <w:rPr>
          <w:lang w:val="en-US"/>
        </w:rPr>
      </w:pPr>
    </w:p>
    <w:p w14:paraId="4E6E9892" w14:textId="77777777" w:rsidR="00DF4D03" w:rsidRPr="00B72B6C" w:rsidRDefault="00DF4D03">
      <w:pPr>
        <w:spacing w:after="0" w:line="259" w:lineRule="auto"/>
        <w:ind w:left="2538" w:firstLine="0"/>
        <w:jc w:val="left"/>
        <w:rPr>
          <w:lang w:val="en-US"/>
        </w:rPr>
      </w:pPr>
    </w:p>
    <w:p w14:paraId="03DFEE29" w14:textId="66492007" w:rsidR="00593CF7" w:rsidRPr="00B72B6C" w:rsidRDefault="006E7BD6">
      <w:pPr>
        <w:spacing w:line="252" w:lineRule="auto"/>
        <w:ind w:left="-15" w:firstLine="0"/>
        <w:rPr>
          <w:lang w:val="en-US"/>
        </w:rPr>
      </w:pPr>
      <w:r w:rsidRPr="00B72B6C">
        <w:rPr>
          <w:lang w:val="en-US"/>
        </w:rPr>
        <w:t xml:space="preserve">Table </w:t>
      </w:r>
      <w:r w:rsidR="00D42AD5" w:rsidRPr="00B72B6C">
        <w:rPr>
          <w:lang w:val="en-US"/>
        </w:rPr>
        <w:t>4</w:t>
      </w:r>
      <w:r w:rsidR="00FF24AB" w:rsidRPr="00B72B6C">
        <w:rPr>
          <w:lang w:val="en-US"/>
        </w:rPr>
        <w:t xml:space="preserve">: </w:t>
      </w:r>
      <w:r w:rsidR="00481A20" w:rsidRPr="00B72B6C">
        <w:rPr>
          <w:lang w:val="en-US"/>
        </w:rPr>
        <w:t xml:space="preserve">IV regressions of Innovation outcomes on having former </w:t>
      </w:r>
      <w:r w:rsidR="00BA0DC9" w:rsidRPr="00B72B6C">
        <w:rPr>
          <w:lang w:val="en-US"/>
        </w:rPr>
        <w:t>participants</w:t>
      </w:r>
      <w:r w:rsidR="00481A20" w:rsidRPr="00B72B6C">
        <w:rPr>
          <w:lang w:val="en-US"/>
        </w:rPr>
        <w:t xml:space="preserve"> in CE among employees and controlling for collaboration with Universities for innovation purposes. </w:t>
      </w:r>
    </w:p>
    <w:tbl>
      <w:tblPr>
        <w:tblW w:w="10970" w:type="dxa"/>
        <w:tblLook w:val="04A0" w:firstRow="1" w:lastRow="0" w:firstColumn="1" w:lastColumn="0" w:noHBand="0" w:noVBand="1"/>
      </w:tblPr>
      <w:tblGrid>
        <w:gridCol w:w="2170"/>
        <w:gridCol w:w="1093"/>
        <w:gridCol w:w="7"/>
        <w:gridCol w:w="1093"/>
        <w:gridCol w:w="7"/>
        <w:gridCol w:w="1093"/>
        <w:gridCol w:w="7"/>
        <w:gridCol w:w="1093"/>
        <w:gridCol w:w="7"/>
        <w:gridCol w:w="1093"/>
        <w:gridCol w:w="7"/>
        <w:gridCol w:w="1093"/>
        <w:gridCol w:w="7"/>
        <w:gridCol w:w="1093"/>
        <w:gridCol w:w="7"/>
        <w:gridCol w:w="1093"/>
        <w:gridCol w:w="7"/>
      </w:tblGrid>
      <w:tr w:rsidR="00C5363C" w:rsidRPr="00B72B6C" w14:paraId="301DA37A" w14:textId="77777777" w:rsidTr="00C5363C">
        <w:trPr>
          <w:trHeight w:val="320"/>
        </w:trPr>
        <w:tc>
          <w:tcPr>
            <w:tcW w:w="2170" w:type="dxa"/>
            <w:tcBorders>
              <w:top w:val="nil"/>
              <w:left w:val="nil"/>
              <w:bottom w:val="double" w:sz="6" w:space="0" w:color="auto"/>
              <w:right w:val="nil"/>
            </w:tcBorders>
            <w:shd w:val="clear" w:color="auto" w:fill="auto"/>
            <w:noWrap/>
            <w:vAlign w:val="bottom"/>
            <w:hideMark/>
          </w:tcPr>
          <w:p w14:paraId="2E2E3D76"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3EF8B2CB"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65EFEC8C"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4052B471"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3FE11703"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393C9E44"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659057D0"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6D85C0D8"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 </w:t>
            </w:r>
          </w:p>
        </w:tc>
        <w:tc>
          <w:tcPr>
            <w:tcW w:w="1100" w:type="dxa"/>
            <w:gridSpan w:val="2"/>
            <w:tcBorders>
              <w:top w:val="nil"/>
              <w:left w:val="nil"/>
              <w:bottom w:val="double" w:sz="6" w:space="0" w:color="auto"/>
              <w:right w:val="nil"/>
            </w:tcBorders>
            <w:shd w:val="clear" w:color="auto" w:fill="auto"/>
            <w:noWrap/>
            <w:vAlign w:val="bottom"/>
            <w:hideMark/>
          </w:tcPr>
          <w:p w14:paraId="3F440918"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 </w:t>
            </w:r>
          </w:p>
        </w:tc>
      </w:tr>
      <w:tr w:rsidR="00C5363C" w:rsidRPr="00B72B6C" w14:paraId="0E731C6D" w14:textId="77777777" w:rsidTr="00C5363C">
        <w:trPr>
          <w:trHeight w:val="320"/>
        </w:trPr>
        <w:tc>
          <w:tcPr>
            <w:tcW w:w="2170" w:type="dxa"/>
            <w:tcBorders>
              <w:top w:val="nil"/>
              <w:left w:val="nil"/>
              <w:bottom w:val="nil"/>
              <w:right w:val="nil"/>
            </w:tcBorders>
            <w:shd w:val="clear" w:color="auto" w:fill="auto"/>
            <w:noWrap/>
            <w:vAlign w:val="bottom"/>
            <w:hideMark/>
          </w:tcPr>
          <w:p w14:paraId="7C155D47"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p>
        </w:tc>
        <w:tc>
          <w:tcPr>
            <w:tcW w:w="4400" w:type="dxa"/>
            <w:gridSpan w:val="8"/>
            <w:tcBorders>
              <w:top w:val="nil"/>
              <w:left w:val="nil"/>
              <w:bottom w:val="nil"/>
              <w:right w:val="nil"/>
            </w:tcBorders>
            <w:shd w:val="clear" w:color="auto" w:fill="auto"/>
            <w:noWrap/>
            <w:vAlign w:val="bottom"/>
            <w:hideMark/>
          </w:tcPr>
          <w:p w14:paraId="5AA86474"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Product Innovation</w:t>
            </w:r>
          </w:p>
        </w:tc>
        <w:tc>
          <w:tcPr>
            <w:tcW w:w="4400" w:type="dxa"/>
            <w:gridSpan w:val="8"/>
            <w:tcBorders>
              <w:top w:val="nil"/>
              <w:left w:val="nil"/>
              <w:bottom w:val="nil"/>
              <w:right w:val="nil"/>
            </w:tcBorders>
            <w:shd w:val="clear" w:color="auto" w:fill="auto"/>
            <w:noWrap/>
            <w:vAlign w:val="bottom"/>
            <w:hideMark/>
          </w:tcPr>
          <w:p w14:paraId="09229321"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Process Innovation</w:t>
            </w:r>
          </w:p>
        </w:tc>
      </w:tr>
      <w:tr w:rsidR="00C5363C" w:rsidRPr="00B72B6C" w14:paraId="253D84F5" w14:textId="77777777" w:rsidTr="00C5363C">
        <w:trPr>
          <w:trHeight w:val="300"/>
        </w:trPr>
        <w:tc>
          <w:tcPr>
            <w:tcW w:w="2170" w:type="dxa"/>
            <w:tcBorders>
              <w:top w:val="nil"/>
              <w:left w:val="nil"/>
              <w:bottom w:val="single" w:sz="4" w:space="0" w:color="auto"/>
              <w:right w:val="nil"/>
            </w:tcBorders>
            <w:shd w:val="clear" w:color="auto" w:fill="auto"/>
            <w:noWrap/>
            <w:vAlign w:val="bottom"/>
            <w:hideMark/>
          </w:tcPr>
          <w:p w14:paraId="7116475A"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7EBC4C04"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(1)</w:t>
            </w:r>
          </w:p>
        </w:tc>
        <w:tc>
          <w:tcPr>
            <w:tcW w:w="1100" w:type="dxa"/>
            <w:gridSpan w:val="2"/>
            <w:tcBorders>
              <w:top w:val="nil"/>
              <w:left w:val="nil"/>
              <w:bottom w:val="single" w:sz="4" w:space="0" w:color="auto"/>
              <w:right w:val="nil"/>
            </w:tcBorders>
            <w:shd w:val="clear" w:color="auto" w:fill="auto"/>
            <w:noWrap/>
            <w:vAlign w:val="bottom"/>
            <w:hideMark/>
          </w:tcPr>
          <w:p w14:paraId="18BD2D44"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(2)</w:t>
            </w:r>
          </w:p>
        </w:tc>
        <w:tc>
          <w:tcPr>
            <w:tcW w:w="1100" w:type="dxa"/>
            <w:gridSpan w:val="2"/>
            <w:tcBorders>
              <w:top w:val="nil"/>
              <w:left w:val="nil"/>
              <w:bottom w:val="single" w:sz="4" w:space="0" w:color="auto"/>
              <w:right w:val="nil"/>
            </w:tcBorders>
            <w:shd w:val="clear" w:color="auto" w:fill="auto"/>
            <w:noWrap/>
            <w:vAlign w:val="bottom"/>
            <w:hideMark/>
          </w:tcPr>
          <w:p w14:paraId="2C7E4E44"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(3)</w:t>
            </w:r>
          </w:p>
        </w:tc>
        <w:tc>
          <w:tcPr>
            <w:tcW w:w="1100" w:type="dxa"/>
            <w:gridSpan w:val="2"/>
            <w:tcBorders>
              <w:top w:val="nil"/>
              <w:left w:val="nil"/>
              <w:bottom w:val="single" w:sz="4" w:space="0" w:color="auto"/>
              <w:right w:val="nil"/>
            </w:tcBorders>
            <w:shd w:val="clear" w:color="auto" w:fill="auto"/>
            <w:noWrap/>
            <w:vAlign w:val="bottom"/>
            <w:hideMark/>
          </w:tcPr>
          <w:p w14:paraId="048D41E7"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(4)</w:t>
            </w:r>
          </w:p>
        </w:tc>
        <w:tc>
          <w:tcPr>
            <w:tcW w:w="1100" w:type="dxa"/>
            <w:gridSpan w:val="2"/>
            <w:tcBorders>
              <w:top w:val="nil"/>
              <w:left w:val="nil"/>
              <w:bottom w:val="single" w:sz="4" w:space="0" w:color="auto"/>
              <w:right w:val="nil"/>
            </w:tcBorders>
            <w:shd w:val="clear" w:color="auto" w:fill="auto"/>
            <w:noWrap/>
            <w:vAlign w:val="bottom"/>
            <w:hideMark/>
          </w:tcPr>
          <w:p w14:paraId="3A25DB10"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(5)</w:t>
            </w:r>
          </w:p>
        </w:tc>
        <w:tc>
          <w:tcPr>
            <w:tcW w:w="1100" w:type="dxa"/>
            <w:gridSpan w:val="2"/>
            <w:tcBorders>
              <w:top w:val="nil"/>
              <w:left w:val="nil"/>
              <w:bottom w:val="single" w:sz="4" w:space="0" w:color="auto"/>
              <w:right w:val="nil"/>
            </w:tcBorders>
            <w:shd w:val="clear" w:color="auto" w:fill="auto"/>
            <w:noWrap/>
            <w:vAlign w:val="bottom"/>
            <w:hideMark/>
          </w:tcPr>
          <w:p w14:paraId="5951CBBA"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(6)</w:t>
            </w:r>
          </w:p>
        </w:tc>
        <w:tc>
          <w:tcPr>
            <w:tcW w:w="1100" w:type="dxa"/>
            <w:gridSpan w:val="2"/>
            <w:tcBorders>
              <w:top w:val="nil"/>
              <w:left w:val="nil"/>
              <w:bottom w:val="single" w:sz="4" w:space="0" w:color="auto"/>
              <w:right w:val="nil"/>
            </w:tcBorders>
            <w:shd w:val="clear" w:color="auto" w:fill="auto"/>
            <w:noWrap/>
            <w:vAlign w:val="bottom"/>
            <w:hideMark/>
          </w:tcPr>
          <w:p w14:paraId="32019362"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(7)</w:t>
            </w:r>
          </w:p>
        </w:tc>
        <w:tc>
          <w:tcPr>
            <w:tcW w:w="1100" w:type="dxa"/>
            <w:gridSpan w:val="2"/>
            <w:tcBorders>
              <w:top w:val="nil"/>
              <w:left w:val="nil"/>
              <w:bottom w:val="single" w:sz="4" w:space="0" w:color="auto"/>
              <w:right w:val="nil"/>
            </w:tcBorders>
            <w:shd w:val="clear" w:color="auto" w:fill="auto"/>
            <w:noWrap/>
            <w:vAlign w:val="bottom"/>
            <w:hideMark/>
          </w:tcPr>
          <w:p w14:paraId="017FF743"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(8)</w:t>
            </w:r>
          </w:p>
        </w:tc>
      </w:tr>
      <w:tr w:rsidR="00C5363C" w:rsidRPr="00B72B6C" w14:paraId="68CFFF91" w14:textId="77777777" w:rsidTr="00C5363C">
        <w:trPr>
          <w:trHeight w:val="300"/>
        </w:trPr>
        <w:tc>
          <w:tcPr>
            <w:tcW w:w="2170" w:type="dxa"/>
            <w:tcBorders>
              <w:top w:val="nil"/>
              <w:left w:val="nil"/>
              <w:bottom w:val="nil"/>
              <w:right w:val="nil"/>
            </w:tcBorders>
            <w:shd w:val="clear" w:color="auto" w:fill="auto"/>
            <w:noWrap/>
            <w:vAlign w:val="bottom"/>
            <w:hideMark/>
          </w:tcPr>
          <w:p w14:paraId="442266A6"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Master (-2Y)</w:t>
            </w:r>
          </w:p>
        </w:tc>
        <w:tc>
          <w:tcPr>
            <w:tcW w:w="1100" w:type="dxa"/>
            <w:gridSpan w:val="2"/>
            <w:tcBorders>
              <w:top w:val="nil"/>
              <w:left w:val="nil"/>
              <w:bottom w:val="nil"/>
              <w:right w:val="nil"/>
            </w:tcBorders>
            <w:shd w:val="clear" w:color="auto" w:fill="auto"/>
            <w:noWrap/>
            <w:vAlign w:val="bottom"/>
            <w:hideMark/>
          </w:tcPr>
          <w:p w14:paraId="76C8C3C2"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1.739***</w:t>
            </w:r>
          </w:p>
        </w:tc>
        <w:tc>
          <w:tcPr>
            <w:tcW w:w="1100" w:type="dxa"/>
            <w:gridSpan w:val="2"/>
            <w:tcBorders>
              <w:top w:val="nil"/>
              <w:left w:val="nil"/>
              <w:bottom w:val="nil"/>
              <w:right w:val="nil"/>
            </w:tcBorders>
            <w:shd w:val="clear" w:color="auto" w:fill="auto"/>
            <w:noWrap/>
            <w:vAlign w:val="bottom"/>
            <w:hideMark/>
          </w:tcPr>
          <w:p w14:paraId="0F0ADCB8"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1.646***</w:t>
            </w:r>
          </w:p>
        </w:tc>
        <w:tc>
          <w:tcPr>
            <w:tcW w:w="1100" w:type="dxa"/>
            <w:gridSpan w:val="2"/>
            <w:tcBorders>
              <w:top w:val="nil"/>
              <w:left w:val="nil"/>
              <w:bottom w:val="nil"/>
              <w:right w:val="nil"/>
            </w:tcBorders>
            <w:shd w:val="clear" w:color="auto" w:fill="auto"/>
            <w:noWrap/>
            <w:vAlign w:val="bottom"/>
            <w:hideMark/>
          </w:tcPr>
          <w:p w14:paraId="2EC24068"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p>
        </w:tc>
        <w:tc>
          <w:tcPr>
            <w:tcW w:w="1100" w:type="dxa"/>
            <w:gridSpan w:val="2"/>
            <w:tcBorders>
              <w:top w:val="nil"/>
              <w:left w:val="nil"/>
              <w:bottom w:val="nil"/>
              <w:right w:val="nil"/>
            </w:tcBorders>
            <w:shd w:val="clear" w:color="auto" w:fill="auto"/>
            <w:noWrap/>
            <w:vAlign w:val="bottom"/>
            <w:hideMark/>
          </w:tcPr>
          <w:p w14:paraId="6D2DAD25" w14:textId="77777777" w:rsidR="00C5363C" w:rsidRPr="00B72B6C" w:rsidRDefault="00C5363C" w:rsidP="00C5363C">
            <w:pPr>
              <w:spacing w:after="0" w:line="240" w:lineRule="auto"/>
              <w:ind w:left="0" w:firstLine="0"/>
              <w:jc w:val="center"/>
              <w:rPr>
                <w:rFonts w:ascii="Times New Roman" w:eastAsia="Times New Roman" w:hAnsi="Times New Roman" w:cs="Times New Roman"/>
                <w:color w:val="auto"/>
                <w:sz w:val="21"/>
                <w:szCs w:val="21"/>
                <w:lang w:val="en-US"/>
              </w:rPr>
            </w:pPr>
          </w:p>
        </w:tc>
        <w:tc>
          <w:tcPr>
            <w:tcW w:w="1100" w:type="dxa"/>
            <w:gridSpan w:val="2"/>
            <w:tcBorders>
              <w:top w:val="nil"/>
              <w:left w:val="nil"/>
              <w:bottom w:val="nil"/>
              <w:right w:val="nil"/>
            </w:tcBorders>
            <w:shd w:val="clear" w:color="auto" w:fill="auto"/>
            <w:noWrap/>
            <w:vAlign w:val="bottom"/>
            <w:hideMark/>
          </w:tcPr>
          <w:p w14:paraId="0C585CB4"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.796*</w:t>
            </w:r>
          </w:p>
        </w:tc>
        <w:tc>
          <w:tcPr>
            <w:tcW w:w="1100" w:type="dxa"/>
            <w:gridSpan w:val="2"/>
            <w:tcBorders>
              <w:top w:val="nil"/>
              <w:left w:val="nil"/>
              <w:bottom w:val="nil"/>
              <w:right w:val="nil"/>
            </w:tcBorders>
            <w:shd w:val="clear" w:color="auto" w:fill="auto"/>
            <w:noWrap/>
            <w:vAlign w:val="bottom"/>
            <w:hideMark/>
          </w:tcPr>
          <w:p w14:paraId="34E92D66"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.676</w:t>
            </w:r>
          </w:p>
        </w:tc>
        <w:tc>
          <w:tcPr>
            <w:tcW w:w="1100" w:type="dxa"/>
            <w:gridSpan w:val="2"/>
            <w:tcBorders>
              <w:top w:val="nil"/>
              <w:left w:val="nil"/>
              <w:bottom w:val="nil"/>
              <w:right w:val="nil"/>
            </w:tcBorders>
            <w:shd w:val="clear" w:color="auto" w:fill="auto"/>
            <w:noWrap/>
            <w:vAlign w:val="bottom"/>
            <w:hideMark/>
          </w:tcPr>
          <w:p w14:paraId="707F6AE2"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p>
        </w:tc>
        <w:tc>
          <w:tcPr>
            <w:tcW w:w="1100" w:type="dxa"/>
            <w:gridSpan w:val="2"/>
            <w:tcBorders>
              <w:top w:val="nil"/>
              <w:left w:val="nil"/>
              <w:bottom w:val="nil"/>
              <w:right w:val="nil"/>
            </w:tcBorders>
            <w:shd w:val="clear" w:color="auto" w:fill="auto"/>
            <w:noWrap/>
            <w:vAlign w:val="bottom"/>
            <w:hideMark/>
          </w:tcPr>
          <w:p w14:paraId="63344F38" w14:textId="77777777" w:rsidR="00C5363C" w:rsidRPr="00B72B6C" w:rsidRDefault="00C5363C" w:rsidP="00C5363C">
            <w:pPr>
              <w:spacing w:after="0" w:line="240" w:lineRule="auto"/>
              <w:ind w:left="0" w:firstLine="0"/>
              <w:jc w:val="center"/>
              <w:rPr>
                <w:rFonts w:ascii="Times New Roman" w:eastAsia="Times New Roman" w:hAnsi="Times New Roman" w:cs="Times New Roman"/>
                <w:color w:val="auto"/>
                <w:sz w:val="21"/>
                <w:szCs w:val="21"/>
                <w:lang w:val="en-US"/>
              </w:rPr>
            </w:pPr>
          </w:p>
        </w:tc>
      </w:tr>
      <w:tr w:rsidR="00C5363C" w:rsidRPr="00B72B6C" w14:paraId="591617F6" w14:textId="77777777" w:rsidTr="00C5363C">
        <w:trPr>
          <w:trHeight w:val="300"/>
        </w:trPr>
        <w:tc>
          <w:tcPr>
            <w:tcW w:w="2170" w:type="dxa"/>
            <w:tcBorders>
              <w:top w:val="nil"/>
              <w:left w:val="nil"/>
              <w:bottom w:val="nil"/>
              <w:right w:val="nil"/>
            </w:tcBorders>
            <w:shd w:val="clear" w:color="auto" w:fill="auto"/>
            <w:noWrap/>
            <w:vAlign w:val="bottom"/>
            <w:hideMark/>
          </w:tcPr>
          <w:p w14:paraId="0E8C50EB" w14:textId="77777777" w:rsidR="00C5363C" w:rsidRPr="00B72B6C" w:rsidRDefault="00C5363C" w:rsidP="00C5363C">
            <w:pPr>
              <w:spacing w:after="0" w:line="240" w:lineRule="auto"/>
              <w:ind w:left="0" w:firstLine="0"/>
              <w:jc w:val="center"/>
              <w:rPr>
                <w:rFonts w:ascii="Times New Roman" w:eastAsia="Times New Roman" w:hAnsi="Times New Roman" w:cs="Times New Roman"/>
                <w:color w:val="auto"/>
                <w:sz w:val="21"/>
                <w:szCs w:val="21"/>
                <w:lang w:val="en-US"/>
              </w:rPr>
            </w:pPr>
          </w:p>
        </w:tc>
        <w:tc>
          <w:tcPr>
            <w:tcW w:w="1100" w:type="dxa"/>
            <w:gridSpan w:val="2"/>
            <w:tcBorders>
              <w:top w:val="nil"/>
              <w:left w:val="nil"/>
              <w:bottom w:val="nil"/>
              <w:right w:val="nil"/>
            </w:tcBorders>
            <w:shd w:val="clear" w:color="auto" w:fill="auto"/>
            <w:noWrap/>
            <w:vAlign w:val="bottom"/>
            <w:hideMark/>
          </w:tcPr>
          <w:p w14:paraId="380908C9"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(.453)</w:t>
            </w:r>
          </w:p>
        </w:tc>
        <w:tc>
          <w:tcPr>
            <w:tcW w:w="1100" w:type="dxa"/>
            <w:gridSpan w:val="2"/>
            <w:tcBorders>
              <w:top w:val="nil"/>
              <w:left w:val="nil"/>
              <w:bottom w:val="nil"/>
              <w:right w:val="nil"/>
            </w:tcBorders>
            <w:shd w:val="clear" w:color="auto" w:fill="auto"/>
            <w:noWrap/>
            <w:vAlign w:val="bottom"/>
            <w:hideMark/>
          </w:tcPr>
          <w:p w14:paraId="4DA2D073"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(.466)</w:t>
            </w:r>
          </w:p>
        </w:tc>
        <w:tc>
          <w:tcPr>
            <w:tcW w:w="1100" w:type="dxa"/>
            <w:gridSpan w:val="2"/>
            <w:tcBorders>
              <w:top w:val="nil"/>
              <w:left w:val="nil"/>
              <w:bottom w:val="nil"/>
              <w:right w:val="nil"/>
            </w:tcBorders>
            <w:shd w:val="clear" w:color="auto" w:fill="auto"/>
            <w:noWrap/>
            <w:vAlign w:val="bottom"/>
            <w:hideMark/>
          </w:tcPr>
          <w:p w14:paraId="7A23A5EA"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p>
        </w:tc>
        <w:tc>
          <w:tcPr>
            <w:tcW w:w="1100" w:type="dxa"/>
            <w:gridSpan w:val="2"/>
            <w:tcBorders>
              <w:top w:val="nil"/>
              <w:left w:val="nil"/>
              <w:bottom w:val="nil"/>
              <w:right w:val="nil"/>
            </w:tcBorders>
            <w:shd w:val="clear" w:color="auto" w:fill="auto"/>
            <w:noWrap/>
            <w:vAlign w:val="bottom"/>
            <w:hideMark/>
          </w:tcPr>
          <w:p w14:paraId="44A0EF8E" w14:textId="77777777" w:rsidR="00C5363C" w:rsidRPr="00B72B6C" w:rsidRDefault="00C5363C" w:rsidP="00C5363C">
            <w:pPr>
              <w:spacing w:after="0" w:line="240" w:lineRule="auto"/>
              <w:ind w:left="0" w:firstLine="0"/>
              <w:jc w:val="center"/>
              <w:rPr>
                <w:rFonts w:ascii="Times New Roman" w:eastAsia="Times New Roman" w:hAnsi="Times New Roman" w:cs="Times New Roman"/>
                <w:color w:val="auto"/>
                <w:sz w:val="21"/>
                <w:szCs w:val="21"/>
                <w:lang w:val="en-US"/>
              </w:rPr>
            </w:pPr>
          </w:p>
        </w:tc>
        <w:tc>
          <w:tcPr>
            <w:tcW w:w="1100" w:type="dxa"/>
            <w:gridSpan w:val="2"/>
            <w:tcBorders>
              <w:top w:val="nil"/>
              <w:left w:val="nil"/>
              <w:bottom w:val="nil"/>
              <w:right w:val="nil"/>
            </w:tcBorders>
            <w:shd w:val="clear" w:color="auto" w:fill="auto"/>
            <w:noWrap/>
            <w:vAlign w:val="bottom"/>
            <w:hideMark/>
          </w:tcPr>
          <w:p w14:paraId="6D12E3A3"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(.468)</w:t>
            </w:r>
          </w:p>
        </w:tc>
        <w:tc>
          <w:tcPr>
            <w:tcW w:w="1100" w:type="dxa"/>
            <w:gridSpan w:val="2"/>
            <w:tcBorders>
              <w:top w:val="nil"/>
              <w:left w:val="nil"/>
              <w:bottom w:val="nil"/>
              <w:right w:val="nil"/>
            </w:tcBorders>
            <w:shd w:val="clear" w:color="auto" w:fill="auto"/>
            <w:noWrap/>
            <w:vAlign w:val="bottom"/>
            <w:hideMark/>
          </w:tcPr>
          <w:p w14:paraId="08B3E83E"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(.485)</w:t>
            </w:r>
          </w:p>
        </w:tc>
        <w:tc>
          <w:tcPr>
            <w:tcW w:w="1100" w:type="dxa"/>
            <w:gridSpan w:val="2"/>
            <w:tcBorders>
              <w:top w:val="nil"/>
              <w:left w:val="nil"/>
              <w:bottom w:val="nil"/>
              <w:right w:val="nil"/>
            </w:tcBorders>
            <w:shd w:val="clear" w:color="auto" w:fill="auto"/>
            <w:noWrap/>
            <w:vAlign w:val="bottom"/>
            <w:hideMark/>
          </w:tcPr>
          <w:p w14:paraId="78E14818"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p>
        </w:tc>
        <w:tc>
          <w:tcPr>
            <w:tcW w:w="1100" w:type="dxa"/>
            <w:gridSpan w:val="2"/>
            <w:tcBorders>
              <w:top w:val="nil"/>
              <w:left w:val="nil"/>
              <w:bottom w:val="nil"/>
              <w:right w:val="nil"/>
            </w:tcBorders>
            <w:shd w:val="clear" w:color="auto" w:fill="auto"/>
            <w:noWrap/>
            <w:vAlign w:val="bottom"/>
            <w:hideMark/>
          </w:tcPr>
          <w:p w14:paraId="7597BC0C" w14:textId="77777777" w:rsidR="00C5363C" w:rsidRPr="00B72B6C" w:rsidRDefault="00C5363C" w:rsidP="00C5363C">
            <w:pPr>
              <w:spacing w:after="0" w:line="240" w:lineRule="auto"/>
              <w:ind w:left="0" w:firstLine="0"/>
              <w:jc w:val="center"/>
              <w:rPr>
                <w:rFonts w:ascii="Times New Roman" w:eastAsia="Times New Roman" w:hAnsi="Times New Roman" w:cs="Times New Roman"/>
                <w:color w:val="auto"/>
                <w:sz w:val="21"/>
                <w:szCs w:val="21"/>
                <w:lang w:val="en-US"/>
              </w:rPr>
            </w:pPr>
          </w:p>
        </w:tc>
      </w:tr>
      <w:tr w:rsidR="00C5363C" w:rsidRPr="00B72B6C" w14:paraId="4FC51253" w14:textId="77777777" w:rsidTr="00C5363C">
        <w:trPr>
          <w:trHeight w:val="300"/>
        </w:trPr>
        <w:tc>
          <w:tcPr>
            <w:tcW w:w="2170" w:type="dxa"/>
            <w:tcBorders>
              <w:top w:val="nil"/>
              <w:left w:val="nil"/>
              <w:bottom w:val="nil"/>
              <w:right w:val="nil"/>
            </w:tcBorders>
            <w:shd w:val="clear" w:color="auto" w:fill="auto"/>
            <w:noWrap/>
            <w:vAlign w:val="bottom"/>
            <w:hideMark/>
          </w:tcPr>
          <w:p w14:paraId="3FA21F18"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Diploma (-2Y)</w:t>
            </w:r>
          </w:p>
        </w:tc>
        <w:tc>
          <w:tcPr>
            <w:tcW w:w="1100" w:type="dxa"/>
            <w:gridSpan w:val="2"/>
            <w:tcBorders>
              <w:top w:val="nil"/>
              <w:left w:val="nil"/>
              <w:bottom w:val="nil"/>
              <w:right w:val="nil"/>
            </w:tcBorders>
            <w:shd w:val="clear" w:color="auto" w:fill="auto"/>
            <w:noWrap/>
            <w:vAlign w:val="bottom"/>
            <w:hideMark/>
          </w:tcPr>
          <w:p w14:paraId="498FB6AE"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p>
        </w:tc>
        <w:tc>
          <w:tcPr>
            <w:tcW w:w="1100" w:type="dxa"/>
            <w:gridSpan w:val="2"/>
            <w:tcBorders>
              <w:top w:val="nil"/>
              <w:left w:val="nil"/>
              <w:bottom w:val="nil"/>
              <w:right w:val="nil"/>
            </w:tcBorders>
            <w:shd w:val="clear" w:color="auto" w:fill="auto"/>
            <w:noWrap/>
            <w:vAlign w:val="bottom"/>
            <w:hideMark/>
          </w:tcPr>
          <w:p w14:paraId="29601EAF" w14:textId="77777777" w:rsidR="00C5363C" w:rsidRPr="00B72B6C" w:rsidRDefault="00C5363C" w:rsidP="00C5363C">
            <w:pPr>
              <w:spacing w:after="0" w:line="240" w:lineRule="auto"/>
              <w:ind w:left="0" w:firstLine="0"/>
              <w:jc w:val="center"/>
              <w:rPr>
                <w:rFonts w:ascii="Times New Roman" w:eastAsia="Times New Roman" w:hAnsi="Times New Roman" w:cs="Times New Roman"/>
                <w:color w:val="auto"/>
                <w:sz w:val="21"/>
                <w:szCs w:val="21"/>
                <w:lang w:val="en-US"/>
              </w:rPr>
            </w:pPr>
          </w:p>
        </w:tc>
        <w:tc>
          <w:tcPr>
            <w:tcW w:w="1100" w:type="dxa"/>
            <w:gridSpan w:val="2"/>
            <w:tcBorders>
              <w:top w:val="nil"/>
              <w:left w:val="nil"/>
              <w:bottom w:val="nil"/>
              <w:right w:val="nil"/>
            </w:tcBorders>
            <w:shd w:val="clear" w:color="auto" w:fill="auto"/>
            <w:noWrap/>
            <w:vAlign w:val="bottom"/>
            <w:hideMark/>
          </w:tcPr>
          <w:p w14:paraId="6785E182"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1.476***</w:t>
            </w:r>
          </w:p>
        </w:tc>
        <w:tc>
          <w:tcPr>
            <w:tcW w:w="1100" w:type="dxa"/>
            <w:gridSpan w:val="2"/>
            <w:tcBorders>
              <w:top w:val="nil"/>
              <w:left w:val="nil"/>
              <w:bottom w:val="nil"/>
              <w:right w:val="nil"/>
            </w:tcBorders>
            <w:shd w:val="clear" w:color="auto" w:fill="auto"/>
            <w:noWrap/>
            <w:vAlign w:val="bottom"/>
            <w:hideMark/>
          </w:tcPr>
          <w:p w14:paraId="16293270"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1.394***</w:t>
            </w:r>
          </w:p>
        </w:tc>
        <w:tc>
          <w:tcPr>
            <w:tcW w:w="1100" w:type="dxa"/>
            <w:gridSpan w:val="2"/>
            <w:tcBorders>
              <w:top w:val="nil"/>
              <w:left w:val="nil"/>
              <w:bottom w:val="nil"/>
              <w:right w:val="nil"/>
            </w:tcBorders>
            <w:shd w:val="clear" w:color="auto" w:fill="auto"/>
            <w:noWrap/>
            <w:vAlign w:val="bottom"/>
            <w:hideMark/>
          </w:tcPr>
          <w:p w14:paraId="4580AFFB"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p>
        </w:tc>
        <w:tc>
          <w:tcPr>
            <w:tcW w:w="1100" w:type="dxa"/>
            <w:gridSpan w:val="2"/>
            <w:tcBorders>
              <w:top w:val="nil"/>
              <w:left w:val="nil"/>
              <w:bottom w:val="nil"/>
              <w:right w:val="nil"/>
            </w:tcBorders>
            <w:shd w:val="clear" w:color="auto" w:fill="auto"/>
            <w:noWrap/>
            <w:vAlign w:val="bottom"/>
            <w:hideMark/>
          </w:tcPr>
          <w:p w14:paraId="74EBF9FC" w14:textId="77777777" w:rsidR="00C5363C" w:rsidRPr="00B72B6C" w:rsidRDefault="00C5363C" w:rsidP="00C5363C">
            <w:pPr>
              <w:spacing w:after="0" w:line="240" w:lineRule="auto"/>
              <w:ind w:left="0" w:firstLine="0"/>
              <w:jc w:val="center"/>
              <w:rPr>
                <w:rFonts w:ascii="Times New Roman" w:eastAsia="Times New Roman" w:hAnsi="Times New Roman" w:cs="Times New Roman"/>
                <w:color w:val="auto"/>
                <w:sz w:val="21"/>
                <w:szCs w:val="21"/>
                <w:lang w:val="en-US"/>
              </w:rPr>
            </w:pPr>
          </w:p>
        </w:tc>
        <w:tc>
          <w:tcPr>
            <w:tcW w:w="1100" w:type="dxa"/>
            <w:gridSpan w:val="2"/>
            <w:tcBorders>
              <w:top w:val="nil"/>
              <w:left w:val="nil"/>
              <w:bottom w:val="nil"/>
              <w:right w:val="nil"/>
            </w:tcBorders>
            <w:shd w:val="clear" w:color="auto" w:fill="auto"/>
            <w:noWrap/>
            <w:vAlign w:val="bottom"/>
            <w:hideMark/>
          </w:tcPr>
          <w:p w14:paraId="1BE23588"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.269</w:t>
            </w:r>
          </w:p>
        </w:tc>
        <w:tc>
          <w:tcPr>
            <w:tcW w:w="1100" w:type="dxa"/>
            <w:gridSpan w:val="2"/>
            <w:tcBorders>
              <w:top w:val="nil"/>
              <w:left w:val="nil"/>
              <w:bottom w:val="nil"/>
              <w:right w:val="nil"/>
            </w:tcBorders>
            <w:shd w:val="clear" w:color="auto" w:fill="auto"/>
            <w:noWrap/>
            <w:vAlign w:val="bottom"/>
            <w:hideMark/>
          </w:tcPr>
          <w:p w14:paraId="502C54FB"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.148</w:t>
            </w:r>
          </w:p>
        </w:tc>
      </w:tr>
      <w:tr w:rsidR="00C5363C" w:rsidRPr="00B72B6C" w14:paraId="0C43178D" w14:textId="77777777" w:rsidTr="00C5363C">
        <w:trPr>
          <w:trHeight w:val="300"/>
        </w:trPr>
        <w:tc>
          <w:tcPr>
            <w:tcW w:w="2170" w:type="dxa"/>
            <w:tcBorders>
              <w:top w:val="nil"/>
              <w:left w:val="nil"/>
              <w:bottom w:val="nil"/>
              <w:right w:val="nil"/>
            </w:tcBorders>
            <w:shd w:val="clear" w:color="auto" w:fill="auto"/>
            <w:noWrap/>
            <w:vAlign w:val="bottom"/>
            <w:hideMark/>
          </w:tcPr>
          <w:p w14:paraId="565CDEA1"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p>
        </w:tc>
        <w:tc>
          <w:tcPr>
            <w:tcW w:w="1100" w:type="dxa"/>
            <w:gridSpan w:val="2"/>
            <w:tcBorders>
              <w:top w:val="nil"/>
              <w:left w:val="nil"/>
              <w:bottom w:val="nil"/>
              <w:right w:val="nil"/>
            </w:tcBorders>
            <w:shd w:val="clear" w:color="auto" w:fill="auto"/>
            <w:noWrap/>
            <w:vAlign w:val="bottom"/>
            <w:hideMark/>
          </w:tcPr>
          <w:p w14:paraId="43D5B695" w14:textId="77777777" w:rsidR="00C5363C" w:rsidRPr="00B72B6C" w:rsidRDefault="00C5363C" w:rsidP="00C5363C">
            <w:pPr>
              <w:spacing w:after="0" w:line="240" w:lineRule="auto"/>
              <w:ind w:left="0" w:firstLine="0"/>
              <w:jc w:val="left"/>
              <w:rPr>
                <w:rFonts w:ascii="Times New Roman" w:eastAsia="Times New Roman" w:hAnsi="Times New Roman" w:cs="Times New Roman"/>
                <w:color w:val="auto"/>
                <w:sz w:val="21"/>
                <w:szCs w:val="21"/>
                <w:lang w:val="en-US"/>
              </w:rPr>
            </w:pPr>
          </w:p>
        </w:tc>
        <w:tc>
          <w:tcPr>
            <w:tcW w:w="1100" w:type="dxa"/>
            <w:gridSpan w:val="2"/>
            <w:tcBorders>
              <w:top w:val="nil"/>
              <w:left w:val="nil"/>
              <w:bottom w:val="nil"/>
              <w:right w:val="nil"/>
            </w:tcBorders>
            <w:shd w:val="clear" w:color="auto" w:fill="auto"/>
            <w:noWrap/>
            <w:vAlign w:val="bottom"/>
            <w:hideMark/>
          </w:tcPr>
          <w:p w14:paraId="78CA41C6" w14:textId="77777777" w:rsidR="00C5363C" w:rsidRPr="00B72B6C" w:rsidRDefault="00C5363C" w:rsidP="00C5363C">
            <w:pPr>
              <w:spacing w:after="0" w:line="240" w:lineRule="auto"/>
              <w:ind w:left="0" w:firstLine="0"/>
              <w:jc w:val="center"/>
              <w:rPr>
                <w:rFonts w:ascii="Times New Roman" w:eastAsia="Times New Roman" w:hAnsi="Times New Roman" w:cs="Times New Roman"/>
                <w:color w:val="auto"/>
                <w:sz w:val="21"/>
                <w:szCs w:val="21"/>
                <w:lang w:val="en-US"/>
              </w:rPr>
            </w:pPr>
          </w:p>
        </w:tc>
        <w:tc>
          <w:tcPr>
            <w:tcW w:w="1100" w:type="dxa"/>
            <w:gridSpan w:val="2"/>
            <w:tcBorders>
              <w:top w:val="nil"/>
              <w:left w:val="nil"/>
              <w:bottom w:val="nil"/>
              <w:right w:val="nil"/>
            </w:tcBorders>
            <w:shd w:val="clear" w:color="auto" w:fill="auto"/>
            <w:noWrap/>
            <w:vAlign w:val="bottom"/>
            <w:hideMark/>
          </w:tcPr>
          <w:p w14:paraId="024A4C5C"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(.251)</w:t>
            </w:r>
          </w:p>
        </w:tc>
        <w:tc>
          <w:tcPr>
            <w:tcW w:w="1100" w:type="dxa"/>
            <w:gridSpan w:val="2"/>
            <w:tcBorders>
              <w:top w:val="nil"/>
              <w:left w:val="nil"/>
              <w:bottom w:val="nil"/>
              <w:right w:val="nil"/>
            </w:tcBorders>
            <w:shd w:val="clear" w:color="auto" w:fill="auto"/>
            <w:noWrap/>
            <w:vAlign w:val="bottom"/>
            <w:hideMark/>
          </w:tcPr>
          <w:p w14:paraId="7760099C"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(.258)</w:t>
            </w:r>
          </w:p>
        </w:tc>
        <w:tc>
          <w:tcPr>
            <w:tcW w:w="1100" w:type="dxa"/>
            <w:gridSpan w:val="2"/>
            <w:tcBorders>
              <w:top w:val="nil"/>
              <w:left w:val="nil"/>
              <w:bottom w:val="nil"/>
              <w:right w:val="nil"/>
            </w:tcBorders>
            <w:shd w:val="clear" w:color="auto" w:fill="auto"/>
            <w:noWrap/>
            <w:vAlign w:val="bottom"/>
            <w:hideMark/>
          </w:tcPr>
          <w:p w14:paraId="3A5D9B9D"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p>
        </w:tc>
        <w:tc>
          <w:tcPr>
            <w:tcW w:w="1100" w:type="dxa"/>
            <w:gridSpan w:val="2"/>
            <w:tcBorders>
              <w:top w:val="nil"/>
              <w:left w:val="nil"/>
              <w:bottom w:val="nil"/>
              <w:right w:val="nil"/>
            </w:tcBorders>
            <w:shd w:val="clear" w:color="auto" w:fill="auto"/>
            <w:noWrap/>
            <w:vAlign w:val="bottom"/>
            <w:hideMark/>
          </w:tcPr>
          <w:p w14:paraId="34279CD8" w14:textId="77777777" w:rsidR="00C5363C" w:rsidRPr="00B72B6C" w:rsidRDefault="00C5363C" w:rsidP="00C5363C">
            <w:pPr>
              <w:spacing w:after="0" w:line="240" w:lineRule="auto"/>
              <w:ind w:left="0" w:firstLine="0"/>
              <w:jc w:val="center"/>
              <w:rPr>
                <w:rFonts w:ascii="Times New Roman" w:eastAsia="Times New Roman" w:hAnsi="Times New Roman" w:cs="Times New Roman"/>
                <w:color w:val="auto"/>
                <w:sz w:val="21"/>
                <w:szCs w:val="21"/>
                <w:lang w:val="en-US"/>
              </w:rPr>
            </w:pPr>
          </w:p>
        </w:tc>
        <w:tc>
          <w:tcPr>
            <w:tcW w:w="1100" w:type="dxa"/>
            <w:gridSpan w:val="2"/>
            <w:tcBorders>
              <w:top w:val="nil"/>
              <w:left w:val="nil"/>
              <w:bottom w:val="nil"/>
              <w:right w:val="nil"/>
            </w:tcBorders>
            <w:shd w:val="clear" w:color="auto" w:fill="auto"/>
            <w:noWrap/>
            <w:vAlign w:val="bottom"/>
            <w:hideMark/>
          </w:tcPr>
          <w:p w14:paraId="6EB8D6E5"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(.344)</w:t>
            </w:r>
          </w:p>
        </w:tc>
        <w:tc>
          <w:tcPr>
            <w:tcW w:w="1100" w:type="dxa"/>
            <w:gridSpan w:val="2"/>
            <w:tcBorders>
              <w:top w:val="nil"/>
              <w:left w:val="nil"/>
              <w:bottom w:val="nil"/>
              <w:right w:val="nil"/>
            </w:tcBorders>
            <w:shd w:val="clear" w:color="auto" w:fill="auto"/>
            <w:noWrap/>
            <w:vAlign w:val="bottom"/>
            <w:hideMark/>
          </w:tcPr>
          <w:p w14:paraId="4418F385"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(.359)</w:t>
            </w:r>
          </w:p>
        </w:tc>
      </w:tr>
      <w:tr w:rsidR="00C5363C" w:rsidRPr="00B72B6C" w14:paraId="49BE6B15" w14:textId="77777777" w:rsidTr="00C5363C">
        <w:trPr>
          <w:trHeight w:val="300"/>
        </w:trPr>
        <w:tc>
          <w:tcPr>
            <w:tcW w:w="2170" w:type="dxa"/>
            <w:tcBorders>
              <w:top w:val="nil"/>
              <w:left w:val="nil"/>
              <w:bottom w:val="nil"/>
              <w:right w:val="nil"/>
            </w:tcBorders>
            <w:shd w:val="clear" w:color="auto" w:fill="auto"/>
            <w:noWrap/>
            <w:vAlign w:val="bottom"/>
            <w:hideMark/>
          </w:tcPr>
          <w:p w14:paraId="04EB34B9"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Collab. w. Uni.</w:t>
            </w:r>
          </w:p>
        </w:tc>
        <w:tc>
          <w:tcPr>
            <w:tcW w:w="1100" w:type="dxa"/>
            <w:gridSpan w:val="2"/>
            <w:tcBorders>
              <w:top w:val="nil"/>
              <w:left w:val="nil"/>
              <w:bottom w:val="nil"/>
              <w:right w:val="nil"/>
            </w:tcBorders>
            <w:shd w:val="clear" w:color="auto" w:fill="auto"/>
            <w:noWrap/>
            <w:vAlign w:val="bottom"/>
            <w:hideMark/>
          </w:tcPr>
          <w:p w14:paraId="4E524F09"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p>
        </w:tc>
        <w:tc>
          <w:tcPr>
            <w:tcW w:w="1100" w:type="dxa"/>
            <w:gridSpan w:val="2"/>
            <w:tcBorders>
              <w:top w:val="nil"/>
              <w:left w:val="nil"/>
              <w:bottom w:val="nil"/>
              <w:right w:val="nil"/>
            </w:tcBorders>
            <w:shd w:val="clear" w:color="auto" w:fill="auto"/>
            <w:noWrap/>
            <w:vAlign w:val="bottom"/>
            <w:hideMark/>
          </w:tcPr>
          <w:p w14:paraId="46AEDE17"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.253***</w:t>
            </w:r>
          </w:p>
        </w:tc>
        <w:tc>
          <w:tcPr>
            <w:tcW w:w="1100" w:type="dxa"/>
            <w:gridSpan w:val="2"/>
            <w:tcBorders>
              <w:top w:val="nil"/>
              <w:left w:val="nil"/>
              <w:bottom w:val="nil"/>
              <w:right w:val="nil"/>
            </w:tcBorders>
            <w:shd w:val="clear" w:color="auto" w:fill="auto"/>
            <w:noWrap/>
            <w:vAlign w:val="bottom"/>
            <w:hideMark/>
          </w:tcPr>
          <w:p w14:paraId="3D8AFFAF"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p>
        </w:tc>
        <w:tc>
          <w:tcPr>
            <w:tcW w:w="1100" w:type="dxa"/>
            <w:gridSpan w:val="2"/>
            <w:tcBorders>
              <w:top w:val="nil"/>
              <w:left w:val="nil"/>
              <w:bottom w:val="nil"/>
              <w:right w:val="nil"/>
            </w:tcBorders>
            <w:shd w:val="clear" w:color="auto" w:fill="auto"/>
            <w:noWrap/>
            <w:vAlign w:val="bottom"/>
            <w:hideMark/>
          </w:tcPr>
          <w:p w14:paraId="187FA28F"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.253***</w:t>
            </w:r>
          </w:p>
        </w:tc>
        <w:tc>
          <w:tcPr>
            <w:tcW w:w="1100" w:type="dxa"/>
            <w:gridSpan w:val="2"/>
            <w:tcBorders>
              <w:top w:val="nil"/>
              <w:left w:val="nil"/>
              <w:bottom w:val="nil"/>
              <w:right w:val="nil"/>
            </w:tcBorders>
            <w:shd w:val="clear" w:color="auto" w:fill="auto"/>
            <w:noWrap/>
            <w:vAlign w:val="bottom"/>
            <w:hideMark/>
          </w:tcPr>
          <w:p w14:paraId="738C1473"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p>
        </w:tc>
        <w:tc>
          <w:tcPr>
            <w:tcW w:w="1100" w:type="dxa"/>
            <w:gridSpan w:val="2"/>
            <w:tcBorders>
              <w:top w:val="nil"/>
              <w:left w:val="nil"/>
              <w:bottom w:val="nil"/>
              <w:right w:val="nil"/>
            </w:tcBorders>
            <w:shd w:val="clear" w:color="auto" w:fill="auto"/>
            <w:noWrap/>
            <w:vAlign w:val="bottom"/>
            <w:hideMark/>
          </w:tcPr>
          <w:p w14:paraId="5FF96B13"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.306***</w:t>
            </w:r>
          </w:p>
        </w:tc>
        <w:tc>
          <w:tcPr>
            <w:tcW w:w="1100" w:type="dxa"/>
            <w:gridSpan w:val="2"/>
            <w:tcBorders>
              <w:top w:val="nil"/>
              <w:left w:val="nil"/>
              <w:bottom w:val="nil"/>
              <w:right w:val="nil"/>
            </w:tcBorders>
            <w:shd w:val="clear" w:color="auto" w:fill="auto"/>
            <w:noWrap/>
            <w:vAlign w:val="bottom"/>
            <w:hideMark/>
          </w:tcPr>
          <w:p w14:paraId="7E8D95EF"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p>
        </w:tc>
        <w:tc>
          <w:tcPr>
            <w:tcW w:w="1100" w:type="dxa"/>
            <w:gridSpan w:val="2"/>
            <w:tcBorders>
              <w:top w:val="nil"/>
              <w:left w:val="nil"/>
              <w:bottom w:val="nil"/>
              <w:right w:val="nil"/>
            </w:tcBorders>
            <w:shd w:val="clear" w:color="auto" w:fill="auto"/>
            <w:noWrap/>
            <w:vAlign w:val="bottom"/>
            <w:hideMark/>
          </w:tcPr>
          <w:p w14:paraId="18BDF075"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.373***</w:t>
            </w:r>
          </w:p>
        </w:tc>
      </w:tr>
      <w:tr w:rsidR="00C5363C" w:rsidRPr="00B72B6C" w14:paraId="0FDCA9B7" w14:textId="77777777" w:rsidTr="00C5363C">
        <w:trPr>
          <w:trHeight w:val="300"/>
        </w:trPr>
        <w:tc>
          <w:tcPr>
            <w:tcW w:w="2170" w:type="dxa"/>
            <w:tcBorders>
              <w:top w:val="nil"/>
              <w:left w:val="nil"/>
              <w:bottom w:val="single" w:sz="4" w:space="0" w:color="auto"/>
              <w:right w:val="nil"/>
            </w:tcBorders>
            <w:shd w:val="clear" w:color="auto" w:fill="auto"/>
            <w:noWrap/>
            <w:vAlign w:val="bottom"/>
            <w:hideMark/>
          </w:tcPr>
          <w:p w14:paraId="291ECF69"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1E07AD43"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278EAD12"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(.067)</w:t>
            </w:r>
          </w:p>
        </w:tc>
        <w:tc>
          <w:tcPr>
            <w:tcW w:w="1100" w:type="dxa"/>
            <w:gridSpan w:val="2"/>
            <w:tcBorders>
              <w:top w:val="nil"/>
              <w:left w:val="nil"/>
              <w:bottom w:val="single" w:sz="4" w:space="0" w:color="auto"/>
              <w:right w:val="nil"/>
            </w:tcBorders>
            <w:shd w:val="clear" w:color="auto" w:fill="auto"/>
            <w:noWrap/>
            <w:vAlign w:val="bottom"/>
            <w:hideMark/>
          </w:tcPr>
          <w:p w14:paraId="27925B31"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34C11D80"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(.046)</w:t>
            </w:r>
          </w:p>
        </w:tc>
        <w:tc>
          <w:tcPr>
            <w:tcW w:w="1100" w:type="dxa"/>
            <w:gridSpan w:val="2"/>
            <w:tcBorders>
              <w:top w:val="nil"/>
              <w:left w:val="nil"/>
              <w:bottom w:val="single" w:sz="4" w:space="0" w:color="auto"/>
              <w:right w:val="nil"/>
            </w:tcBorders>
            <w:shd w:val="clear" w:color="auto" w:fill="auto"/>
            <w:noWrap/>
            <w:vAlign w:val="bottom"/>
            <w:hideMark/>
          </w:tcPr>
          <w:p w14:paraId="6F9581E7"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55A562EB"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(.068)</w:t>
            </w:r>
          </w:p>
        </w:tc>
        <w:tc>
          <w:tcPr>
            <w:tcW w:w="1100" w:type="dxa"/>
            <w:gridSpan w:val="2"/>
            <w:tcBorders>
              <w:top w:val="nil"/>
              <w:left w:val="nil"/>
              <w:bottom w:val="single" w:sz="4" w:space="0" w:color="auto"/>
              <w:right w:val="nil"/>
            </w:tcBorders>
            <w:shd w:val="clear" w:color="auto" w:fill="auto"/>
            <w:noWrap/>
            <w:vAlign w:val="bottom"/>
            <w:hideMark/>
          </w:tcPr>
          <w:p w14:paraId="44D0AFB5"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 </w:t>
            </w:r>
          </w:p>
        </w:tc>
        <w:tc>
          <w:tcPr>
            <w:tcW w:w="1100" w:type="dxa"/>
            <w:gridSpan w:val="2"/>
            <w:tcBorders>
              <w:top w:val="nil"/>
              <w:left w:val="nil"/>
              <w:bottom w:val="single" w:sz="4" w:space="0" w:color="auto"/>
              <w:right w:val="nil"/>
            </w:tcBorders>
            <w:shd w:val="clear" w:color="auto" w:fill="auto"/>
            <w:noWrap/>
            <w:vAlign w:val="bottom"/>
            <w:hideMark/>
          </w:tcPr>
          <w:p w14:paraId="14F18088"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(.059)</w:t>
            </w:r>
          </w:p>
        </w:tc>
      </w:tr>
      <w:tr w:rsidR="00C5363C" w:rsidRPr="00B72B6C" w14:paraId="4561893D" w14:textId="77777777" w:rsidTr="00C5363C">
        <w:trPr>
          <w:trHeight w:val="360"/>
        </w:trPr>
        <w:tc>
          <w:tcPr>
            <w:tcW w:w="2170" w:type="dxa"/>
            <w:tcBorders>
              <w:top w:val="nil"/>
              <w:left w:val="nil"/>
              <w:bottom w:val="nil"/>
              <w:right w:val="nil"/>
            </w:tcBorders>
            <w:shd w:val="clear" w:color="auto" w:fill="auto"/>
            <w:noWrap/>
            <w:vAlign w:val="bottom"/>
            <w:hideMark/>
          </w:tcPr>
          <w:p w14:paraId="1F678FD3"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Year FE</w:t>
            </w:r>
          </w:p>
        </w:tc>
        <w:tc>
          <w:tcPr>
            <w:tcW w:w="1100" w:type="dxa"/>
            <w:gridSpan w:val="2"/>
            <w:tcBorders>
              <w:top w:val="nil"/>
              <w:left w:val="nil"/>
              <w:bottom w:val="nil"/>
              <w:right w:val="nil"/>
            </w:tcBorders>
            <w:shd w:val="clear" w:color="auto" w:fill="auto"/>
            <w:noWrap/>
            <w:vAlign w:val="bottom"/>
            <w:hideMark/>
          </w:tcPr>
          <w:p w14:paraId="630549EC"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5CF1CC62"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433AA9C9"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3C906A39"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0B47DD42"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5EFFEA91"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1AD6A25B"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371F4331"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r>
      <w:tr w:rsidR="00C5363C" w:rsidRPr="00B72B6C" w14:paraId="0DE0C918" w14:textId="77777777" w:rsidTr="00C5363C">
        <w:trPr>
          <w:trHeight w:val="300"/>
        </w:trPr>
        <w:tc>
          <w:tcPr>
            <w:tcW w:w="2170" w:type="dxa"/>
            <w:tcBorders>
              <w:top w:val="nil"/>
              <w:left w:val="nil"/>
              <w:bottom w:val="nil"/>
              <w:right w:val="nil"/>
            </w:tcBorders>
            <w:shd w:val="clear" w:color="auto" w:fill="auto"/>
            <w:noWrap/>
            <w:vAlign w:val="bottom"/>
            <w:hideMark/>
          </w:tcPr>
          <w:p w14:paraId="49DACC37"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Industry FE</w:t>
            </w:r>
          </w:p>
        </w:tc>
        <w:tc>
          <w:tcPr>
            <w:tcW w:w="1100" w:type="dxa"/>
            <w:gridSpan w:val="2"/>
            <w:tcBorders>
              <w:top w:val="nil"/>
              <w:left w:val="nil"/>
              <w:bottom w:val="nil"/>
              <w:right w:val="nil"/>
            </w:tcBorders>
            <w:shd w:val="clear" w:color="auto" w:fill="auto"/>
            <w:noWrap/>
            <w:vAlign w:val="bottom"/>
            <w:hideMark/>
          </w:tcPr>
          <w:p w14:paraId="69D938C3"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4D63886D"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7E759389"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7FA9FC15"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3738A1A6"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129E2610"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5826F599"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69A8DADA"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r>
      <w:tr w:rsidR="00C5363C" w:rsidRPr="00B72B6C" w14:paraId="5F3AB315" w14:textId="77777777" w:rsidTr="00C5363C">
        <w:trPr>
          <w:trHeight w:val="300"/>
        </w:trPr>
        <w:tc>
          <w:tcPr>
            <w:tcW w:w="2170" w:type="dxa"/>
            <w:tcBorders>
              <w:top w:val="nil"/>
              <w:left w:val="nil"/>
              <w:bottom w:val="nil"/>
              <w:right w:val="nil"/>
            </w:tcBorders>
            <w:shd w:val="clear" w:color="auto" w:fill="auto"/>
            <w:noWrap/>
            <w:vAlign w:val="bottom"/>
            <w:hideMark/>
          </w:tcPr>
          <w:p w14:paraId="038F66C7"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Firm Controls</w:t>
            </w:r>
          </w:p>
        </w:tc>
        <w:tc>
          <w:tcPr>
            <w:tcW w:w="1100" w:type="dxa"/>
            <w:gridSpan w:val="2"/>
            <w:tcBorders>
              <w:top w:val="nil"/>
              <w:left w:val="nil"/>
              <w:bottom w:val="nil"/>
              <w:right w:val="nil"/>
            </w:tcBorders>
            <w:shd w:val="clear" w:color="auto" w:fill="auto"/>
            <w:noWrap/>
            <w:vAlign w:val="bottom"/>
            <w:hideMark/>
          </w:tcPr>
          <w:p w14:paraId="2F669797"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0DD257A5"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59791BF9"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163300CB"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3DB21D59"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751CC29C"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6B62CE5C"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nil"/>
              <w:right w:val="nil"/>
            </w:tcBorders>
            <w:shd w:val="clear" w:color="auto" w:fill="auto"/>
            <w:noWrap/>
            <w:vAlign w:val="bottom"/>
            <w:hideMark/>
          </w:tcPr>
          <w:p w14:paraId="48938AA5"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r>
      <w:tr w:rsidR="00C5363C" w:rsidRPr="00B72B6C" w14:paraId="170DDC63" w14:textId="77777777" w:rsidTr="00C5363C">
        <w:trPr>
          <w:trHeight w:val="300"/>
        </w:trPr>
        <w:tc>
          <w:tcPr>
            <w:tcW w:w="2170" w:type="dxa"/>
            <w:tcBorders>
              <w:top w:val="nil"/>
              <w:left w:val="nil"/>
              <w:bottom w:val="single" w:sz="4" w:space="0" w:color="auto"/>
              <w:right w:val="nil"/>
            </w:tcBorders>
            <w:shd w:val="clear" w:color="auto" w:fill="auto"/>
            <w:noWrap/>
            <w:vAlign w:val="bottom"/>
            <w:hideMark/>
          </w:tcPr>
          <w:p w14:paraId="69F50FFB"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Region Controls</w:t>
            </w:r>
          </w:p>
        </w:tc>
        <w:tc>
          <w:tcPr>
            <w:tcW w:w="1100" w:type="dxa"/>
            <w:gridSpan w:val="2"/>
            <w:tcBorders>
              <w:top w:val="nil"/>
              <w:left w:val="nil"/>
              <w:bottom w:val="single" w:sz="4" w:space="0" w:color="auto"/>
              <w:right w:val="nil"/>
            </w:tcBorders>
            <w:shd w:val="clear" w:color="auto" w:fill="auto"/>
            <w:noWrap/>
            <w:vAlign w:val="bottom"/>
            <w:hideMark/>
          </w:tcPr>
          <w:p w14:paraId="79730AD7"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single" w:sz="4" w:space="0" w:color="auto"/>
              <w:right w:val="nil"/>
            </w:tcBorders>
            <w:shd w:val="clear" w:color="auto" w:fill="auto"/>
            <w:noWrap/>
            <w:vAlign w:val="bottom"/>
            <w:hideMark/>
          </w:tcPr>
          <w:p w14:paraId="4D73C135"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single" w:sz="4" w:space="0" w:color="auto"/>
              <w:right w:val="nil"/>
            </w:tcBorders>
            <w:shd w:val="clear" w:color="auto" w:fill="auto"/>
            <w:noWrap/>
            <w:vAlign w:val="bottom"/>
            <w:hideMark/>
          </w:tcPr>
          <w:p w14:paraId="6CC7E5B1"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single" w:sz="4" w:space="0" w:color="auto"/>
              <w:right w:val="nil"/>
            </w:tcBorders>
            <w:shd w:val="clear" w:color="auto" w:fill="auto"/>
            <w:noWrap/>
            <w:vAlign w:val="bottom"/>
            <w:hideMark/>
          </w:tcPr>
          <w:p w14:paraId="4BC3B687"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single" w:sz="4" w:space="0" w:color="auto"/>
              <w:right w:val="nil"/>
            </w:tcBorders>
            <w:shd w:val="clear" w:color="auto" w:fill="auto"/>
            <w:noWrap/>
            <w:vAlign w:val="bottom"/>
            <w:hideMark/>
          </w:tcPr>
          <w:p w14:paraId="2E3E435E"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single" w:sz="4" w:space="0" w:color="auto"/>
              <w:right w:val="nil"/>
            </w:tcBorders>
            <w:shd w:val="clear" w:color="auto" w:fill="auto"/>
            <w:noWrap/>
            <w:vAlign w:val="bottom"/>
            <w:hideMark/>
          </w:tcPr>
          <w:p w14:paraId="25AB3D53"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single" w:sz="4" w:space="0" w:color="auto"/>
              <w:right w:val="nil"/>
            </w:tcBorders>
            <w:shd w:val="clear" w:color="auto" w:fill="auto"/>
            <w:noWrap/>
            <w:vAlign w:val="bottom"/>
            <w:hideMark/>
          </w:tcPr>
          <w:p w14:paraId="355C5A44"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c>
          <w:tcPr>
            <w:tcW w:w="1100" w:type="dxa"/>
            <w:gridSpan w:val="2"/>
            <w:tcBorders>
              <w:top w:val="nil"/>
              <w:left w:val="nil"/>
              <w:bottom w:val="single" w:sz="4" w:space="0" w:color="auto"/>
              <w:right w:val="nil"/>
            </w:tcBorders>
            <w:shd w:val="clear" w:color="auto" w:fill="auto"/>
            <w:noWrap/>
            <w:vAlign w:val="bottom"/>
            <w:hideMark/>
          </w:tcPr>
          <w:p w14:paraId="32FFB6A0"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Yes</w:t>
            </w:r>
          </w:p>
        </w:tc>
      </w:tr>
      <w:tr w:rsidR="00C5363C" w:rsidRPr="00B72B6C" w14:paraId="7EF3F6A6" w14:textId="77777777" w:rsidTr="00C5363C">
        <w:trPr>
          <w:trHeight w:val="300"/>
        </w:trPr>
        <w:tc>
          <w:tcPr>
            <w:tcW w:w="2170" w:type="dxa"/>
            <w:tcBorders>
              <w:top w:val="nil"/>
              <w:left w:val="nil"/>
              <w:bottom w:val="nil"/>
              <w:right w:val="nil"/>
            </w:tcBorders>
            <w:shd w:val="clear" w:color="auto" w:fill="auto"/>
            <w:noWrap/>
            <w:vAlign w:val="bottom"/>
            <w:hideMark/>
          </w:tcPr>
          <w:p w14:paraId="09CC87A7"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Stage-1 F-stat</w:t>
            </w:r>
          </w:p>
        </w:tc>
        <w:tc>
          <w:tcPr>
            <w:tcW w:w="1100" w:type="dxa"/>
            <w:gridSpan w:val="2"/>
            <w:tcBorders>
              <w:top w:val="nil"/>
              <w:left w:val="nil"/>
              <w:bottom w:val="nil"/>
              <w:right w:val="nil"/>
            </w:tcBorders>
            <w:shd w:val="clear" w:color="auto" w:fill="auto"/>
            <w:noWrap/>
            <w:vAlign w:val="bottom"/>
            <w:hideMark/>
          </w:tcPr>
          <w:p w14:paraId="067CC24D"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11,20</w:t>
            </w:r>
          </w:p>
        </w:tc>
        <w:tc>
          <w:tcPr>
            <w:tcW w:w="1100" w:type="dxa"/>
            <w:gridSpan w:val="2"/>
            <w:tcBorders>
              <w:top w:val="nil"/>
              <w:left w:val="nil"/>
              <w:bottom w:val="nil"/>
              <w:right w:val="nil"/>
            </w:tcBorders>
            <w:shd w:val="clear" w:color="auto" w:fill="auto"/>
            <w:noWrap/>
            <w:vAlign w:val="bottom"/>
            <w:hideMark/>
          </w:tcPr>
          <w:p w14:paraId="7B36B306"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10,25</w:t>
            </w:r>
          </w:p>
        </w:tc>
        <w:tc>
          <w:tcPr>
            <w:tcW w:w="1100" w:type="dxa"/>
            <w:gridSpan w:val="2"/>
            <w:tcBorders>
              <w:top w:val="nil"/>
              <w:left w:val="nil"/>
              <w:bottom w:val="nil"/>
              <w:right w:val="nil"/>
            </w:tcBorders>
            <w:shd w:val="clear" w:color="auto" w:fill="auto"/>
            <w:noWrap/>
            <w:vAlign w:val="bottom"/>
            <w:hideMark/>
          </w:tcPr>
          <w:p w14:paraId="7C7EF013"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18,00</w:t>
            </w:r>
          </w:p>
        </w:tc>
        <w:tc>
          <w:tcPr>
            <w:tcW w:w="1100" w:type="dxa"/>
            <w:gridSpan w:val="2"/>
            <w:tcBorders>
              <w:top w:val="nil"/>
              <w:left w:val="nil"/>
              <w:bottom w:val="nil"/>
              <w:right w:val="nil"/>
            </w:tcBorders>
            <w:shd w:val="clear" w:color="auto" w:fill="auto"/>
            <w:noWrap/>
            <w:vAlign w:val="bottom"/>
            <w:hideMark/>
          </w:tcPr>
          <w:p w14:paraId="2CCD15B2"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16,38</w:t>
            </w:r>
          </w:p>
        </w:tc>
        <w:tc>
          <w:tcPr>
            <w:tcW w:w="1100" w:type="dxa"/>
            <w:gridSpan w:val="2"/>
            <w:tcBorders>
              <w:top w:val="nil"/>
              <w:left w:val="nil"/>
              <w:bottom w:val="nil"/>
              <w:right w:val="nil"/>
            </w:tcBorders>
            <w:shd w:val="clear" w:color="auto" w:fill="auto"/>
            <w:noWrap/>
            <w:vAlign w:val="bottom"/>
            <w:hideMark/>
          </w:tcPr>
          <w:p w14:paraId="52C60CD4"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11,20</w:t>
            </w:r>
          </w:p>
        </w:tc>
        <w:tc>
          <w:tcPr>
            <w:tcW w:w="1100" w:type="dxa"/>
            <w:gridSpan w:val="2"/>
            <w:tcBorders>
              <w:top w:val="nil"/>
              <w:left w:val="nil"/>
              <w:bottom w:val="nil"/>
              <w:right w:val="nil"/>
            </w:tcBorders>
            <w:shd w:val="clear" w:color="auto" w:fill="auto"/>
            <w:noWrap/>
            <w:vAlign w:val="bottom"/>
            <w:hideMark/>
          </w:tcPr>
          <w:p w14:paraId="12E6FF94"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10,25</w:t>
            </w:r>
          </w:p>
        </w:tc>
        <w:tc>
          <w:tcPr>
            <w:tcW w:w="1100" w:type="dxa"/>
            <w:gridSpan w:val="2"/>
            <w:tcBorders>
              <w:top w:val="nil"/>
              <w:left w:val="nil"/>
              <w:bottom w:val="nil"/>
              <w:right w:val="nil"/>
            </w:tcBorders>
            <w:shd w:val="clear" w:color="auto" w:fill="auto"/>
            <w:noWrap/>
            <w:vAlign w:val="bottom"/>
            <w:hideMark/>
          </w:tcPr>
          <w:p w14:paraId="42E78D15"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18,00</w:t>
            </w:r>
          </w:p>
        </w:tc>
        <w:tc>
          <w:tcPr>
            <w:tcW w:w="1100" w:type="dxa"/>
            <w:gridSpan w:val="2"/>
            <w:tcBorders>
              <w:top w:val="nil"/>
              <w:left w:val="nil"/>
              <w:bottom w:val="nil"/>
              <w:right w:val="nil"/>
            </w:tcBorders>
            <w:shd w:val="clear" w:color="auto" w:fill="auto"/>
            <w:noWrap/>
            <w:vAlign w:val="bottom"/>
            <w:hideMark/>
          </w:tcPr>
          <w:p w14:paraId="481C40EF"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16,38</w:t>
            </w:r>
          </w:p>
        </w:tc>
      </w:tr>
      <w:tr w:rsidR="00C5363C" w:rsidRPr="00B72B6C" w14:paraId="4D3F0210" w14:textId="77777777" w:rsidTr="00C5363C">
        <w:trPr>
          <w:trHeight w:val="300"/>
        </w:trPr>
        <w:tc>
          <w:tcPr>
            <w:tcW w:w="2170" w:type="dxa"/>
            <w:tcBorders>
              <w:top w:val="nil"/>
              <w:left w:val="nil"/>
              <w:bottom w:val="nil"/>
              <w:right w:val="nil"/>
            </w:tcBorders>
            <w:shd w:val="clear" w:color="auto" w:fill="auto"/>
            <w:noWrap/>
            <w:vAlign w:val="bottom"/>
            <w:hideMark/>
          </w:tcPr>
          <w:p w14:paraId="704A38BC"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Stage-1 F p-value</w:t>
            </w:r>
          </w:p>
        </w:tc>
        <w:tc>
          <w:tcPr>
            <w:tcW w:w="1100" w:type="dxa"/>
            <w:gridSpan w:val="2"/>
            <w:tcBorders>
              <w:top w:val="nil"/>
              <w:left w:val="nil"/>
              <w:bottom w:val="nil"/>
              <w:right w:val="nil"/>
            </w:tcBorders>
            <w:shd w:val="clear" w:color="auto" w:fill="auto"/>
            <w:noWrap/>
            <w:vAlign w:val="bottom"/>
            <w:hideMark/>
          </w:tcPr>
          <w:p w14:paraId="6A6F7D01"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&lt;0.001</w:t>
            </w:r>
          </w:p>
        </w:tc>
        <w:tc>
          <w:tcPr>
            <w:tcW w:w="1100" w:type="dxa"/>
            <w:gridSpan w:val="2"/>
            <w:tcBorders>
              <w:top w:val="nil"/>
              <w:left w:val="nil"/>
              <w:bottom w:val="nil"/>
              <w:right w:val="nil"/>
            </w:tcBorders>
            <w:shd w:val="clear" w:color="auto" w:fill="auto"/>
            <w:noWrap/>
            <w:vAlign w:val="bottom"/>
            <w:hideMark/>
          </w:tcPr>
          <w:p w14:paraId="521B812E"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&lt;0.001</w:t>
            </w:r>
          </w:p>
        </w:tc>
        <w:tc>
          <w:tcPr>
            <w:tcW w:w="1100" w:type="dxa"/>
            <w:gridSpan w:val="2"/>
            <w:tcBorders>
              <w:top w:val="nil"/>
              <w:left w:val="nil"/>
              <w:bottom w:val="nil"/>
              <w:right w:val="nil"/>
            </w:tcBorders>
            <w:shd w:val="clear" w:color="auto" w:fill="auto"/>
            <w:noWrap/>
            <w:vAlign w:val="bottom"/>
            <w:hideMark/>
          </w:tcPr>
          <w:p w14:paraId="0437982F"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&lt;0.001</w:t>
            </w:r>
          </w:p>
        </w:tc>
        <w:tc>
          <w:tcPr>
            <w:tcW w:w="1100" w:type="dxa"/>
            <w:gridSpan w:val="2"/>
            <w:tcBorders>
              <w:top w:val="nil"/>
              <w:left w:val="nil"/>
              <w:bottom w:val="nil"/>
              <w:right w:val="nil"/>
            </w:tcBorders>
            <w:shd w:val="clear" w:color="auto" w:fill="auto"/>
            <w:noWrap/>
            <w:vAlign w:val="bottom"/>
            <w:hideMark/>
          </w:tcPr>
          <w:p w14:paraId="63D5E7B6"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&lt;0.001</w:t>
            </w:r>
          </w:p>
        </w:tc>
        <w:tc>
          <w:tcPr>
            <w:tcW w:w="1100" w:type="dxa"/>
            <w:gridSpan w:val="2"/>
            <w:tcBorders>
              <w:top w:val="nil"/>
              <w:left w:val="nil"/>
              <w:bottom w:val="nil"/>
              <w:right w:val="nil"/>
            </w:tcBorders>
            <w:shd w:val="clear" w:color="auto" w:fill="auto"/>
            <w:noWrap/>
            <w:vAlign w:val="bottom"/>
            <w:hideMark/>
          </w:tcPr>
          <w:p w14:paraId="20272A81"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&lt;0.001</w:t>
            </w:r>
          </w:p>
        </w:tc>
        <w:tc>
          <w:tcPr>
            <w:tcW w:w="1100" w:type="dxa"/>
            <w:gridSpan w:val="2"/>
            <w:tcBorders>
              <w:top w:val="nil"/>
              <w:left w:val="nil"/>
              <w:bottom w:val="nil"/>
              <w:right w:val="nil"/>
            </w:tcBorders>
            <w:shd w:val="clear" w:color="auto" w:fill="auto"/>
            <w:noWrap/>
            <w:vAlign w:val="bottom"/>
            <w:hideMark/>
          </w:tcPr>
          <w:p w14:paraId="1996543B"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&lt;0.001</w:t>
            </w:r>
          </w:p>
        </w:tc>
        <w:tc>
          <w:tcPr>
            <w:tcW w:w="1100" w:type="dxa"/>
            <w:gridSpan w:val="2"/>
            <w:tcBorders>
              <w:top w:val="nil"/>
              <w:left w:val="nil"/>
              <w:bottom w:val="nil"/>
              <w:right w:val="nil"/>
            </w:tcBorders>
            <w:shd w:val="clear" w:color="auto" w:fill="auto"/>
            <w:noWrap/>
            <w:vAlign w:val="bottom"/>
            <w:hideMark/>
          </w:tcPr>
          <w:p w14:paraId="372A2C35"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&lt;0.001</w:t>
            </w:r>
          </w:p>
        </w:tc>
        <w:tc>
          <w:tcPr>
            <w:tcW w:w="1100" w:type="dxa"/>
            <w:gridSpan w:val="2"/>
            <w:tcBorders>
              <w:top w:val="nil"/>
              <w:left w:val="nil"/>
              <w:bottom w:val="nil"/>
              <w:right w:val="nil"/>
            </w:tcBorders>
            <w:shd w:val="clear" w:color="auto" w:fill="auto"/>
            <w:noWrap/>
            <w:vAlign w:val="bottom"/>
            <w:hideMark/>
          </w:tcPr>
          <w:p w14:paraId="67EEBFBF"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&lt;0.001</w:t>
            </w:r>
          </w:p>
        </w:tc>
      </w:tr>
      <w:tr w:rsidR="00C5363C" w:rsidRPr="00B72B6C" w14:paraId="433140BA" w14:textId="77777777" w:rsidTr="00C5363C">
        <w:trPr>
          <w:trHeight w:val="360"/>
        </w:trPr>
        <w:tc>
          <w:tcPr>
            <w:tcW w:w="2170" w:type="dxa"/>
            <w:tcBorders>
              <w:top w:val="nil"/>
              <w:left w:val="nil"/>
              <w:bottom w:val="nil"/>
              <w:right w:val="nil"/>
            </w:tcBorders>
            <w:shd w:val="clear" w:color="auto" w:fill="auto"/>
            <w:noWrap/>
            <w:vAlign w:val="bottom"/>
            <w:hideMark/>
          </w:tcPr>
          <w:p w14:paraId="053F0D70"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Wu-Hausman p-value</w:t>
            </w:r>
          </w:p>
        </w:tc>
        <w:tc>
          <w:tcPr>
            <w:tcW w:w="1100" w:type="dxa"/>
            <w:gridSpan w:val="2"/>
            <w:tcBorders>
              <w:top w:val="nil"/>
              <w:left w:val="nil"/>
              <w:bottom w:val="nil"/>
              <w:right w:val="nil"/>
            </w:tcBorders>
            <w:shd w:val="clear" w:color="auto" w:fill="auto"/>
            <w:noWrap/>
            <w:vAlign w:val="bottom"/>
            <w:hideMark/>
          </w:tcPr>
          <w:p w14:paraId="5EF32B32"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&lt;0.001</w:t>
            </w:r>
          </w:p>
        </w:tc>
        <w:tc>
          <w:tcPr>
            <w:tcW w:w="1100" w:type="dxa"/>
            <w:gridSpan w:val="2"/>
            <w:tcBorders>
              <w:top w:val="nil"/>
              <w:left w:val="nil"/>
              <w:bottom w:val="nil"/>
              <w:right w:val="nil"/>
            </w:tcBorders>
            <w:shd w:val="clear" w:color="auto" w:fill="auto"/>
            <w:noWrap/>
            <w:vAlign w:val="bottom"/>
            <w:hideMark/>
          </w:tcPr>
          <w:p w14:paraId="31CD0F22"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0,112</w:t>
            </w:r>
          </w:p>
        </w:tc>
        <w:tc>
          <w:tcPr>
            <w:tcW w:w="1100" w:type="dxa"/>
            <w:gridSpan w:val="2"/>
            <w:tcBorders>
              <w:top w:val="nil"/>
              <w:left w:val="nil"/>
              <w:bottom w:val="nil"/>
              <w:right w:val="nil"/>
            </w:tcBorders>
            <w:shd w:val="clear" w:color="auto" w:fill="auto"/>
            <w:noWrap/>
            <w:vAlign w:val="bottom"/>
            <w:hideMark/>
          </w:tcPr>
          <w:p w14:paraId="22CA4965"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&lt;0.001</w:t>
            </w:r>
          </w:p>
        </w:tc>
        <w:tc>
          <w:tcPr>
            <w:tcW w:w="1100" w:type="dxa"/>
            <w:gridSpan w:val="2"/>
            <w:tcBorders>
              <w:top w:val="nil"/>
              <w:left w:val="nil"/>
              <w:bottom w:val="nil"/>
              <w:right w:val="nil"/>
            </w:tcBorders>
            <w:shd w:val="clear" w:color="auto" w:fill="auto"/>
            <w:noWrap/>
            <w:vAlign w:val="bottom"/>
            <w:hideMark/>
          </w:tcPr>
          <w:p w14:paraId="456E6A74"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0,008</w:t>
            </w:r>
          </w:p>
        </w:tc>
        <w:tc>
          <w:tcPr>
            <w:tcW w:w="1100" w:type="dxa"/>
            <w:gridSpan w:val="2"/>
            <w:tcBorders>
              <w:top w:val="nil"/>
              <w:left w:val="nil"/>
              <w:bottom w:val="nil"/>
              <w:right w:val="nil"/>
            </w:tcBorders>
            <w:shd w:val="clear" w:color="auto" w:fill="auto"/>
            <w:noWrap/>
            <w:vAlign w:val="bottom"/>
            <w:hideMark/>
          </w:tcPr>
          <w:p w14:paraId="37F6B7E9"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0,141</w:t>
            </w:r>
          </w:p>
        </w:tc>
        <w:tc>
          <w:tcPr>
            <w:tcW w:w="1100" w:type="dxa"/>
            <w:gridSpan w:val="2"/>
            <w:tcBorders>
              <w:top w:val="nil"/>
              <w:left w:val="nil"/>
              <w:bottom w:val="nil"/>
              <w:right w:val="nil"/>
            </w:tcBorders>
            <w:shd w:val="clear" w:color="auto" w:fill="auto"/>
            <w:noWrap/>
            <w:vAlign w:val="bottom"/>
            <w:hideMark/>
          </w:tcPr>
          <w:p w14:paraId="0EFA4256"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0,112</w:t>
            </w:r>
          </w:p>
        </w:tc>
        <w:tc>
          <w:tcPr>
            <w:tcW w:w="1100" w:type="dxa"/>
            <w:gridSpan w:val="2"/>
            <w:tcBorders>
              <w:top w:val="nil"/>
              <w:left w:val="nil"/>
              <w:bottom w:val="nil"/>
              <w:right w:val="nil"/>
            </w:tcBorders>
            <w:shd w:val="clear" w:color="auto" w:fill="auto"/>
            <w:noWrap/>
            <w:vAlign w:val="bottom"/>
            <w:hideMark/>
          </w:tcPr>
          <w:p w14:paraId="31CF84CE"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0,667</w:t>
            </w:r>
          </w:p>
        </w:tc>
        <w:tc>
          <w:tcPr>
            <w:tcW w:w="1100" w:type="dxa"/>
            <w:gridSpan w:val="2"/>
            <w:tcBorders>
              <w:top w:val="nil"/>
              <w:left w:val="nil"/>
              <w:bottom w:val="nil"/>
              <w:right w:val="nil"/>
            </w:tcBorders>
            <w:shd w:val="clear" w:color="auto" w:fill="auto"/>
            <w:noWrap/>
            <w:vAlign w:val="bottom"/>
            <w:hideMark/>
          </w:tcPr>
          <w:p w14:paraId="0126A915"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0,008</w:t>
            </w:r>
          </w:p>
        </w:tc>
      </w:tr>
      <w:tr w:rsidR="00C5363C" w:rsidRPr="00B72B6C" w14:paraId="4FA075CD" w14:textId="77777777" w:rsidTr="00C5363C">
        <w:trPr>
          <w:trHeight w:val="320"/>
        </w:trPr>
        <w:tc>
          <w:tcPr>
            <w:tcW w:w="2170" w:type="dxa"/>
            <w:tcBorders>
              <w:top w:val="nil"/>
              <w:left w:val="nil"/>
              <w:bottom w:val="double" w:sz="6" w:space="0" w:color="auto"/>
              <w:right w:val="nil"/>
            </w:tcBorders>
            <w:shd w:val="clear" w:color="auto" w:fill="auto"/>
            <w:noWrap/>
            <w:vAlign w:val="bottom"/>
            <w:hideMark/>
          </w:tcPr>
          <w:p w14:paraId="538CFEF4"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N</w:t>
            </w:r>
          </w:p>
        </w:tc>
        <w:tc>
          <w:tcPr>
            <w:tcW w:w="1100" w:type="dxa"/>
            <w:gridSpan w:val="2"/>
            <w:tcBorders>
              <w:top w:val="nil"/>
              <w:left w:val="nil"/>
              <w:bottom w:val="double" w:sz="6" w:space="0" w:color="auto"/>
              <w:right w:val="nil"/>
            </w:tcBorders>
            <w:shd w:val="clear" w:color="auto" w:fill="auto"/>
            <w:noWrap/>
            <w:vAlign w:val="bottom"/>
            <w:hideMark/>
          </w:tcPr>
          <w:p w14:paraId="631DC4B5"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36.468</w:t>
            </w:r>
          </w:p>
        </w:tc>
        <w:tc>
          <w:tcPr>
            <w:tcW w:w="1100" w:type="dxa"/>
            <w:gridSpan w:val="2"/>
            <w:tcBorders>
              <w:top w:val="nil"/>
              <w:left w:val="nil"/>
              <w:bottom w:val="double" w:sz="6" w:space="0" w:color="auto"/>
              <w:right w:val="nil"/>
            </w:tcBorders>
            <w:shd w:val="clear" w:color="auto" w:fill="auto"/>
            <w:noWrap/>
            <w:vAlign w:val="bottom"/>
            <w:hideMark/>
          </w:tcPr>
          <w:p w14:paraId="08104D71"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36.468</w:t>
            </w:r>
          </w:p>
        </w:tc>
        <w:tc>
          <w:tcPr>
            <w:tcW w:w="1100" w:type="dxa"/>
            <w:gridSpan w:val="2"/>
            <w:tcBorders>
              <w:top w:val="nil"/>
              <w:left w:val="nil"/>
              <w:bottom w:val="double" w:sz="6" w:space="0" w:color="auto"/>
              <w:right w:val="nil"/>
            </w:tcBorders>
            <w:shd w:val="clear" w:color="auto" w:fill="auto"/>
            <w:noWrap/>
            <w:vAlign w:val="bottom"/>
            <w:hideMark/>
          </w:tcPr>
          <w:p w14:paraId="74779AED"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36.468</w:t>
            </w:r>
          </w:p>
        </w:tc>
        <w:tc>
          <w:tcPr>
            <w:tcW w:w="1100" w:type="dxa"/>
            <w:gridSpan w:val="2"/>
            <w:tcBorders>
              <w:top w:val="nil"/>
              <w:left w:val="nil"/>
              <w:bottom w:val="double" w:sz="6" w:space="0" w:color="auto"/>
              <w:right w:val="nil"/>
            </w:tcBorders>
            <w:shd w:val="clear" w:color="auto" w:fill="auto"/>
            <w:noWrap/>
            <w:vAlign w:val="bottom"/>
            <w:hideMark/>
          </w:tcPr>
          <w:p w14:paraId="2B7F5CC0"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36.468</w:t>
            </w:r>
          </w:p>
        </w:tc>
        <w:tc>
          <w:tcPr>
            <w:tcW w:w="1100" w:type="dxa"/>
            <w:gridSpan w:val="2"/>
            <w:tcBorders>
              <w:top w:val="nil"/>
              <w:left w:val="nil"/>
              <w:bottom w:val="double" w:sz="6" w:space="0" w:color="auto"/>
              <w:right w:val="nil"/>
            </w:tcBorders>
            <w:shd w:val="clear" w:color="auto" w:fill="auto"/>
            <w:noWrap/>
            <w:vAlign w:val="bottom"/>
            <w:hideMark/>
          </w:tcPr>
          <w:p w14:paraId="501605E5"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36.468</w:t>
            </w:r>
          </w:p>
        </w:tc>
        <w:tc>
          <w:tcPr>
            <w:tcW w:w="1100" w:type="dxa"/>
            <w:gridSpan w:val="2"/>
            <w:tcBorders>
              <w:top w:val="nil"/>
              <w:left w:val="nil"/>
              <w:bottom w:val="double" w:sz="6" w:space="0" w:color="auto"/>
              <w:right w:val="nil"/>
            </w:tcBorders>
            <w:shd w:val="clear" w:color="auto" w:fill="auto"/>
            <w:noWrap/>
            <w:vAlign w:val="bottom"/>
            <w:hideMark/>
          </w:tcPr>
          <w:p w14:paraId="77ECFB5A"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36.468</w:t>
            </w:r>
          </w:p>
        </w:tc>
        <w:tc>
          <w:tcPr>
            <w:tcW w:w="1100" w:type="dxa"/>
            <w:gridSpan w:val="2"/>
            <w:tcBorders>
              <w:top w:val="nil"/>
              <w:left w:val="nil"/>
              <w:bottom w:val="double" w:sz="6" w:space="0" w:color="auto"/>
              <w:right w:val="nil"/>
            </w:tcBorders>
            <w:shd w:val="clear" w:color="auto" w:fill="auto"/>
            <w:noWrap/>
            <w:vAlign w:val="bottom"/>
            <w:hideMark/>
          </w:tcPr>
          <w:p w14:paraId="5973B1BE"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36.468</w:t>
            </w:r>
          </w:p>
        </w:tc>
        <w:tc>
          <w:tcPr>
            <w:tcW w:w="1100" w:type="dxa"/>
            <w:gridSpan w:val="2"/>
            <w:tcBorders>
              <w:top w:val="nil"/>
              <w:left w:val="nil"/>
              <w:bottom w:val="double" w:sz="6" w:space="0" w:color="auto"/>
              <w:right w:val="nil"/>
            </w:tcBorders>
            <w:shd w:val="clear" w:color="auto" w:fill="auto"/>
            <w:noWrap/>
            <w:vAlign w:val="bottom"/>
            <w:hideMark/>
          </w:tcPr>
          <w:p w14:paraId="46769E37" w14:textId="77777777" w:rsidR="00C5363C" w:rsidRPr="00B72B6C" w:rsidRDefault="00C5363C" w:rsidP="00C5363C">
            <w:pPr>
              <w:spacing w:after="0" w:line="240" w:lineRule="auto"/>
              <w:ind w:left="0" w:firstLine="0"/>
              <w:jc w:val="center"/>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36.468</w:t>
            </w:r>
          </w:p>
        </w:tc>
      </w:tr>
      <w:tr w:rsidR="00C5363C" w:rsidRPr="00B72B6C" w14:paraId="64D7FD58" w14:textId="77777777" w:rsidTr="00C5363C">
        <w:trPr>
          <w:gridAfter w:val="1"/>
          <w:wAfter w:w="7" w:type="dxa"/>
          <w:trHeight w:val="360"/>
        </w:trPr>
        <w:tc>
          <w:tcPr>
            <w:tcW w:w="3263" w:type="dxa"/>
            <w:gridSpan w:val="2"/>
            <w:tcBorders>
              <w:top w:val="nil"/>
              <w:left w:val="nil"/>
              <w:bottom w:val="nil"/>
              <w:right w:val="nil"/>
            </w:tcBorders>
            <w:shd w:val="clear" w:color="auto" w:fill="auto"/>
            <w:noWrap/>
            <w:vAlign w:val="bottom"/>
            <w:hideMark/>
          </w:tcPr>
          <w:p w14:paraId="59D420CC"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r w:rsidRPr="00B72B6C">
              <w:rPr>
                <w:rFonts w:ascii="Times New Roman" w:eastAsia="Times New Roman" w:hAnsi="Times New Roman" w:cs="Times New Roman"/>
                <w:sz w:val="21"/>
                <w:szCs w:val="21"/>
                <w:lang w:val="en-US"/>
              </w:rPr>
              <w:t>Note: *p&lt;0.1; **p&lt;0.05; ***p&lt;0.01</w:t>
            </w:r>
          </w:p>
        </w:tc>
        <w:tc>
          <w:tcPr>
            <w:tcW w:w="1100" w:type="dxa"/>
            <w:gridSpan w:val="2"/>
            <w:tcBorders>
              <w:top w:val="nil"/>
              <w:left w:val="nil"/>
              <w:bottom w:val="nil"/>
              <w:right w:val="nil"/>
            </w:tcBorders>
            <w:shd w:val="clear" w:color="auto" w:fill="auto"/>
            <w:noWrap/>
            <w:vAlign w:val="bottom"/>
            <w:hideMark/>
          </w:tcPr>
          <w:p w14:paraId="39FB1E75" w14:textId="77777777" w:rsidR="00C5363C" w:rsidRPr="00B72B6C" w:rsidRDefault="00C5363C" w:rsidP="00C5363C">
            <w:pPr>
              <w:spacing w:after="0" w:line="240" w:lineRule="auto"/>
              <w:ind w:left="0" w:firstLine="0"/>
              <w:jc w:val="left"/>
              <w:rPr>
                <w:rFonts w:ascii="Times New Roman" w:eastAsia="Times New Roman" w:hAnsi="Times New Roman" w:cs="Times New Roman"/>
                <w:sz w:val="21"/>
                <w:szCs w:val="21"/>
                <w:lang w:val="en-US"/>
              </w:rPr>
            </w:pPr>
          </w:p>
        </w:tc>
        <w:tc>
          <w:tcPr>
            <w:tcW w:w="1100" w:type="dxa"/>
            <w:gridSpan w:val="2"/>
            <w:tcBorders>
              <w:top w:val="nil"/>
              <w:left w:val="nil"/>
              <w:bottom w:val="nil"/>
              <w:right w:val="nil"/>
            </w:tcBorders>
            <w:shd w:val="clear" w:color="auto" w:fill="auto"/>
            <w:noWrap/>
            <w:vAlign w:val="bottom"/>
            <w:hideMark/>
          </w:tcPr>
          <w:p w14:paraId="71CC3B01" w14:textId="77777777" w:rsidR="00C5363C" w:rsidRPr="00B72B6C" w:rsidRDefault="00C5363C" w:rsidP="00C5363C">
            <w:pPr>
              <w:spacing w:after="0" w:line="240" w:lineRule="auto"/>
              <w:ind w:left="0" w:firstLine="0"/>
              <w:jc w:val="left"/>
              <w:rPr>
                <w:rFonts w:ascii="Times New Roman" w:eastAsia="Times New Roman" w:hAnsi="Times New Roman" w:cs="Times New Roman"/>
                <w:color w:val="auto"/>
                <w:sz w:val="21"/>
                <w:szCs w:val="21"/>
                <w:lang w:val="en-US"/>
              </w:rPr>
            </w:pPr>
          </w:p>
        </w:tc>
        <w:tc>
          <w:tcPr>
            <w:tcW w:w="1100" w:type="dxa"/>
            <w:gridSpan w:val="2"/>
            <w:tcBorders>
              <w:top w:val="nil"/>
              <w:left w:val="nil"/>
              <w:bottom w:val="nil"/>
              <w:right w:val="nil"/>
            </w:tcBorders>
            <w:shd w:val="clear" w:color="auto" w:fill="auto"/>
            <w:noWrap/>
            <w:vAlign w:val="bottom"/>
            <w:hideMark/>
          </w:tcPr>
          <w:p w14:paraId="430080A9" w14:textId="77777777" w:rsidR="00C5363C" w:rsidRPr="00B72B6C" w:rsidRDefault="00C5363C" w:rsidP="00C5363C">
            <w:pPr>
              <w:spacing w:after="0" w:line="240" w:lineRule="auto"/>
              <w:ind w:left="0" w:firstLine="0"/>
              <w:jc w:val="left"/>
              <w:rPr>
                <w:rFonts w:ascii="Times New Roman" w:eastAsia="Times New Roman" w:hAnsi="Times New Roman" w:cs="Times New Roman"/>
                <w:color w:val="auto"/>
                <w:sz w:val="21"/>
                <w:szCs w:val="21"/>
                <w:lang w:val="en-US"/>
              </w:rPr>
            </w:pPr>
          </w:p>
        </w:tc>
        <w:tc>
          <w:tcPr>
            <w:tcW w:w="1100" w:type="dxa"/>
            <w:gridSpan w:val="2"/>
            <w:tcBorders>
              <w:top w:val="nil"/>
              <w:left w:val="nil"/>
              <w:bottom w:val="nil"/>
              <w:right w:val="nil"/>
            </w:tcBorders>
            <w:shd w:val="clear" w:color="auto" w:fill="auto"/>
            <w:noWrap/>
            <w:vAlign w:val="bottom"/>
            <w:hideMark/>
          </w:tcPr>
          <w:p w14:paraId="0554B16F" w14:textId="77777777" w:rsidR="00C5363C" w:rsidRPr="00B72B6C" w:rsidRDefault="00C5363C" w:rsidP="00C5363C">
            <w:pPr>
              <w:spacing w:after="0" w:line="240" w:lineRule="auto"/>
              <w:ind w:left="0" w:firstLine="0"/>
              <w:jc w:val="left"/>
              <w:rPr>
                <w:rFonts w:ascii="Times New Roman" w:eastAsia="Times New Roman" w:hAnsi="Times New Roman" w:cs="Times New Roman"/>
                <w:color w:val="auto"/>
                <w:sz w:val="21"/>
                <w:szCs w:val="21"/>
                <w:lang w:val="en-US"/>
              </w:rPr>
            </w:pPr>
          </w:p>
        </w:tc>
        <w:tc>
          <w:tcPr>
            <w:tcW w:w="1100" w:type="dxa"/>
            <w:gridSpan w:val="2"/>
            <w:tcBorders>
              <w:top w:val="nil"/>
              <w:left w:val="nil"/>
              <w:bottom w:val="nil"/>
              <w:right w:val="nil"/>
            </w:tcBorders>
            <w:shd w:val="clear" w:color="auto" w:fill="auto"/>
            <w:noWrap/>
            <w:vAlign w:val="bottom"/>
            <w:hideMark/>
          </w:tcPr>
          <w:p w14:paraId="1D27A13B" w14:textId="77777777" w:rsidR="00C5363C" w:rsidRPr="00B72B6C" w:rsidRDefault="00C5363C" w:rsidP="00C5363C">
            <w:pPr>
              <w:spacing w:after="0" w:line="240" w:lineRule="auto"/>
              <w:ind w:left="0" w:firstLine="0"/>
              <w:jc w:val="left"/>
              <w:rPr>
                <w:rFonts w:ascii="Times New Roman" w:eastAsia="Times New Roman" w:hAnsi="Times New Roman" w:cs="Times New Roman"/>
                <w:color w:val="auto"/>
                <w:sz w:val="21"/>
                <w:szCs w:val="21"/>
                <w:lang w:val="en-US"/>
              </w:rPr>
            </w:pPr>
          </w:p>
        </w:tc>
        <w:tc>
          <w:tcPr>
            <w:tcW w:w="1100" w:type="dxa"/>
            <w:gridSpan w:val="2"/>
            <w:tcBorders>
              <w:top w:val="nil"/>
              <w:left w:val="nil"/>
              <w:bottom w:val="nil"/>
              <w:right w:val="nil"/>
            </w:tcBorders>
            <w:shd w:val="clear" w:color="auto" w:fill="auto"/>
            <w:noWrap/>
            <w:vAlign w:val="bottom"/>
            <w:hideMark/>
          </w:tcPr>
          <w:p w14:paraId="146106DD" w14:textId="77777777" w:rsidR="00C5363C" w:rsidRPr="00B72B6C" w:rsidRDefault="00C5363C" w:rsidP="00C5363C">
            <w:pPr>
              <w:spacing w:after="0" w:line="240" w:lineRule="auto"/>
              <w:ind w:left="0" w:firstLine="0"/>
              <w:jc w:val="left"/>
              <w:rPr>
                <w:rFonts w:ascii="Times New Roman" w:eastAsia="Times New Roman" w:hAnsi="Times New Roman" w:cs="Times New Roman"/>
                <w:color w:val="auto"/>
                <w:sz w:val="21"/>
                <w:szCs w:val="21"/>
                <w:lang w:val="en-US"/>
              </w:rPr>
            </w:pPr>
          </w:p>
        </w:tc>
        <w:tc>
          <w:tcPr>
            <w:tcW w:w="1100" w:type="dxa"/>
            <w:gridSpan w:val="2"/>
            <w:tcBorders>
              <w:top w:val="nil"/>
              <w:left w:val="nil"/>
              <w:bottom w:val="nil"/>
              <w:right w:val="nil"/>
            </w:tcBorders>
            <w:shd w:val="clear" w:color="auto" w:fill="auto"/>
            <w:noWrap/>
            <w:vAlign w:val="bottom"/>
            <w:hideMark/>
          </w:tcPr>
          <w:p w14:paraId="69510920" w14:textId="77777777" w:rsidR="00C5363C" w:rsidRPr="00B72B6C" w:rsidRDefault="00C5363C" w:rsidP="00C5363C">
            <w:pPr>
              <w:spacing w:after="0" w:line="240" w:lineRule="auto"/>
              <w:ind w:left="0" w:firstLine="0"/>
              <w:jc w:val="left"/>
              <w:rPr>
                <w:rFonts w:ascii="Times New Roman" w:eastAsia="Times New Roman" w:hAnsi="Times New Roman" w:cs="Times New Roman"/>
                <w:color w:val="auto"/>
                <w:sz w:val="21"/>
                <w:szCs w:val="21"/>
                <w:lang w:val="en-US"/>
              </w:rPr>
            </w:pPr>
          </w:p>
        </w:tc>
      </w:tr>
    </w:tbl>
    <w:p w14:paraId="6B35B63A" w14:textId="77777777" w:rsidR="00C5363C" w:rsidRPr="00160986" w:rsidRDefault="00C5363C" w:rsidP="00C5363C">
      <w:pPr>
        <w:spacing w:after="0" w:line="259" w:lineRule="auto"/>
        <w:ind w:left="0" w:firstLine="0"/>
        <w:jc w:val="left"/>
        <w:rPr>
          <w:lang w:val="en-US"/>
        </w:rPr>
      </w:pPr>
    </w:p>
    <w:sectPr w:rsidR="00C5363C" w:rsidRPr="00160986">
      <w:footerReference w:type="even" r:id="rId9"/>
      <w:footerReference w:type="default" r:id="rId10"/>
      <w:footerReference w:type="first" r:id="rId11"/>
      <w:pgSz w:w="12240" w:h="15840"/>
      <w:pgMar w:top="1478" w:right="1440" w:bottom="1403" w:left="1440" w:header="72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0848E" w14:textId="77777777" w:rsidR="00160986" w:rsidRDefault="00160986">
      <w:pPr>
        <w:spacing w:after="0" w:line="240" w:lineRule="auto"/>
      </w:pPr>
      <w:r>
        <w:separator/>
      </w:r>
    </w:p>
  </w:endnote>
  <w:endnote w:type="continuationSeparator" w:id="0">
    <w:p w14:paraId="04430CAC" w14:textId="77777777" w:rsidR="00160986" w:rsidRDefault="0016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16F33" w14:textId="77777777" w:rsidR="00160986" w:rsidRDefault="00160986">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60CCE" w14:textId="77777777" w:rsidR="00160986" w:rsidRDefault="00160986">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72F03" w14:textId="77777777" w:rsidR="00160986" w:rsidRDefault="00160986">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E145D" w14:textId="77777777" w:rsidR="00160986" w:rsidRDefault="00160986">
      <w:pPr>
        <w:spacing w:after="0" w:line="292" w:lineRule="auto"/>
        <w:ind w:left="0" w:firstLine="249"/>
      </w:pPr>
      <w:r>
        <w:separator/>
      </w:r>
    </w:p>
  </w:footnote>
  <w:footnote w:type="continuationSeparator" w:id="0">
    <w:p w14:paraId="49365620" w14:textId="77777777" w:rsidR="00160986" w:rsidRDefault="00160986">
      <w:pPr>
        <w:spacing w:after="0" w:line="292" w:lineRule="auto"/>
        <w:ind w:left="0" w:firstLine="249"/>
      </w:pPr>
      <w:r>
        <w:continuationSeparator/>
      </w:r>
    </w:p>
  </w:footnote>
  <w:footnote w:id="1">
    <w:p w14:paraId="2C272570" w14:textId="208F3DAC" w:rsidR="00160986" w:rsidRDefault="00160986" w:rsidP="00E47E9F">
      <w:pPr>
        <w:pStyle w:val="footnotedescription"/>
        <w:spacing w:line="223" w:lineRule="auto"/>
        <w:ind w:firstLine="249"/>
      </w:pPr>
      <w:r>
        <w:rPr>
          <w:rStyle w:val="footnotemark"/>
        </w:rPr>
        <w:footnoteRef/>
      </w:r>
      <w:r>
        <w:t xml:space="preserve"> </w:t>
      </w:r>
      <w:r w:rsidRPr="004B0E29">
        <w:rPr>
          <w:lang w:val="en-US"/>
        </w:rPr>
        <w:t xml:space="preserve">Unlike </w:t>
      </w:r>
      <w:r>
        <w:rPr>
          <w:lang w:val="en-US"/>
        </w:rPr>
        <w:t xml:space="preserve">studies investigating short-interval training and innovation, a </w:t>
      </w:r>
      <w:r>
        <w:t xml:space="preserve">substantial literature investigates effects e.g. on </w:t>
      </w:r>
      <w:r w:rsidRPr="000428CA">
        <w:rPr>
          <w:lang w:val="en-US"/>
        </w:rPr>
        <w:t xml:space="preserve">individual </w:t>
      </w:r>
      <w:r>
        <w:t>employment and wage. LaLonde (2003) and Card et al. (2018) survey th</w:t>
      </w:r>
      <w:r w:rsidRPr="00B72B6C">
        <w:rPr>
          <w:lang w:val="en-US"/>
        </w:rPr>
        <w:t>e</w:t>
      </w:r>
      <w:r>
        <w:t xml:space="preserve"> extensive international literature, and Gregersen and Holek (1996) and Danmarks Evalueringsinstitut (2008, 2012, 2019) survey Danish studies focusing also on participants</w:t>
      </w:r>
      <w:r w:rsidRPr="00B72B6C">
        <w:rPr>
          <w:lang w:val="en-US"/>
        </w:rPr>
        <w:t>’</w:t>
      </w:r>
      <w:r>
        <w:t xml:space="preserve"> and firms</w:t>
      </w:r>
      <w:r w:rsidRPr="00B72B6C">
        <w:rPr>
          <w:lang w:val="en-US"/>
        </w:rPr>
        <w:t>’</w:t>
      </w:r>
      <w:r>
        <w:t xml:space="preserve"> experience of the short-interval AMU programs.</w:t>
      </w:r>
    </w:p>
  </w:footnote>
  <w:footnote w:id="2">
    <w:p w14:paraId="61F6EA31" w14:textId="77777777" w:rsidR="00160986" w:rsidRDefault="00160986" w:rsidP="004836FF">
      <w:pPr>
        <w:pStyle w:val="footnotedescription"/>
        <w:ind w:left="249" w:firstLine="0"/>
        <w:jc w:val="left"/>
      </w:pPr>
      <w:r>
        <w:rPr>
          <w:rStyle w:val="footnotemark"/>
        </w:rPr>
        <w:footnoteRef/>
      </w:r>
      <w:r>
        <w:t xml:space="preserve"> </w:t>
      </w:r>
      <w:r>
        <w:t>The upgrade to skills not already available within firms was, in fact, the main purpose for the development of the Danish short-interval CE in 1960 (Pedersen et al., 2012; Undervisningsministeriet, 2010).</w:t>
      </w:r>
    </w:p>
  </w:footnote>
  <w:footnote w:id="3">
    <w:p w14:paraId="0D783D5A" w14:textId="392A44F1" w:rsidR="00160986" w:rsidRDefault="00160986" w:rsidP="00B357C3">
      <w:pPr>
        <w:pStyle w:val="footnotedescription"/>
        <w:ind w:right="49" w:firstLine="249"/>
      </w:pPr>
      <w:r>
        <w:rPr>
          <w:rStyle w:val="footnotemark"/>
        </w:rPr>
        <w:footnoteRef/>
      </w:r>
      <w:r>
        <w:t xml:space="preserve"> </w:t>
      </w:r>
      <w:r>
        <w:t>Nielsen et al. 2020 ( = other chapter) provide a more in-depth introduction to the short interval CE programs.</w:t>
      </w:r>
    </w:p>
  </w:footnote>
  <w:footnote w:id="4">
    <w:p w14:paraId="61825471" w14:textId="77777777" w:rsidR="00160986" w:rsidRDefault="00160986">
      <w:pPr>
        <w:pStyle w:val="footnotedescription"/>
        <w:spacing w:line="216" w:lineRule="auto"/>
        <w:ind w:firstLine="176"/>
      </w:pPr>
      <w:r>
        <w:rPr>
          <w:rStyle w:val="footnotemark"/>
        </w:rPr>
        <w:footnoteRef/>
      </w:r>
      <w:r>
        <w:t xml:space="preserve"> </w:t>
      </w:r>
      <w:r>
        <w:t xml:space="preserve">This survey is the Danish version of the Community Innovation Survey run by Statistics Denmark. A full description of the survey is available at </w:t>
      </w:r>
      <w:hyperlink r:id="rId1">
        <w:r>
          <w:rPr>
            <w:rFonts w:ascii="Calibri" w:eastAsia="Calibri" w:hAnsi="Calibri" w:cs="Calibri"/>
          </w:rPr>
          <w:t xml:space="preserve">https://www.dst.dk/da/Statistik/dokumentation/statistikdokumentation/ </w:t>
        </w:r>
      </w:hyperlink>
      <w:hyperlink r:id="rId2">
        <w:r>
          <w:rPr>
            <w:rFonts w:ascii="Calibri" w:eastAsia="Calibri" w:hAnsi="Calibri" w:cs="Calibri"/>
          </w:rPr>
          <w:t>forskning-og-udvikling-i-erhvervslivet</w:t>
        </w:r>
      </w:hyperlink>
      <w:hyperlink r:id="rId3">
        <w:r>
          <w:t>.</w:t>
        </w:r>
      </w:hyperlink>
    </w:p>
  </w:footnote>
  <w:footnote w:id="5">
    <w:p w14:paraId="5FEE5EA5" w14:textId="785961B4" w:rsidR="00160986" w:rsidRDefault="00160986">
      <w:pPr>
        <w:pStyle w:val="footnotedescription"/>
        <w:spacing w:line="225" w:lineRule="auto"/>
        <w:ind w:firstLine="176"/>
      </w:pPr>
      <w:r>
        <w:rPr>
          <w:rStyle w:val="footnotemark"/>
        </w:rPr>
        <w:footnoteRef/>
      </w:r>
      <w:r>
        <w:t xml:space="preserve"> </w:t>
      </w:r>
      <w:r>
        <w:t xml:space="preserve">The binary indicator for CE participation is a simple threshold indicator. An alternative to the binary indicator is a continuous measure of tertiary CE participation, such as the share of employees who have received tertiary CE, which could capture the intensity of tertiary CE </w:t>
      </w:r>
      <w:r w:rsidRPr="00B72B6C">
        <w:rPr>
          <w:lang w:val="en-US"/>
        </w:rPr>
        <w:t xml:space="preserve">effects </w:t>
      </w:r>
      <w:r>
        <w:t>on innovation. However, our data on innovation outcomes do not allow us to distinguish between low and high levels of innovation output as we only observe whether a firm has innovated or not. As a result, to avoid unnecessarily complicated functional specifications</w:t>
      </w:r>
      <w:r w:rsidRPr="00B72B6C">
        <w:rPr>
          <w:lang w:val="en-US"/>
        </w:rPr>
        <w:t>,</w:t>
      </w:r>
      <w:r>
        <w:t xml:space="preserve"> we simplify the analysis by focusing on binary indicators on both the left and right-hand side of regression models we specify in section 5.</w:t>
      </w:r>
    </w:p>
  </w:footnote>
  <w:footnote w:id="6">
    <w:p w14:paraId="56B1D9D9" w14:textId="77777777" w:rsidR="00160986" w:rsidRDefault="00160986">
      <w:pPr>
        <w:pStyle w:val="footnotedescription"/>
        <w:ind w:left="176" w:firstLine="0"/>
        <w:jc w:val="left"/>
      </w:pPr>
      <w:r>
        <w:rPr>
          <w:rStyle w:val="footnotemark"/>
        </w:rPr>
        <w:footnoteRef/>
      </w:r>
      <w:r>
        <w:t xml:space="preserve"> The data covers all educations that are officially recognized by the Danish government as CE. Examples of program spells not contained in the register are degrees pursued in foreign countries and online certificates.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02A0E"/>
    <w:multiLevelType w:val="hybridMultilevel"/>
    <w:tmpl w:val="38E87B1C"/>
    <w:lvl w:ilvl="0" w:tplc="5CFA4398">
      <w:start w:val="1"/>
      <w:numFmt w:val="decimal"/>
      <w:lvlText w:val="%1."/>
      <w:lvlJc w:val="left"/>
      <w:pPr>
        <w:ind w:left="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040A2BE">
      <w:start w:val="1"/>
      <w:numFmt w:val="lowerLetter"/>
      <w:lvlText w:val="%2"/>
      <w:lvlJc w:val="left"/>
      <w:pPr>
        <w:ind w:left="1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612C5D8">
      <w:start w:val="1"/>
      <w:numFmt w:val="lowerRoman"/>
      <w:lvlText w:val="%3"/>
      <w:lvlJc w:val="left"/>
      <w:pPr>
        <w:ind w:left="2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8625730">
      <w:start w:val="1"/>
      <w:numFmt w:val="decimal"/>
      <w:lvlText w:val="%4"/>
      <w:lvlJc w:val="left"/>
      <w:pPr>
        <w:ind w:left="2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FFE99F2">
      <w:start w:val="1"/>
      <w:numFmt w:val="lowerLetter"/>
      <w:lvlText w:val="%5"/>
      <w:lvlJc w:val="left"/>
      <w:pPr>
        <w:ind w:left="3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76A912A">
      <w:start w:val="1"/>
      <w:numFmt w:val="lowerRoman"/>
      <w:lvlText w:val="%6"/>
      <w:lvlJc w:val="left"/>
      <w:pPr>
        <w:ind w:left="4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E60E860">
      <w:start w:val="1"/>
      <w:numFmt w:val="decimal"/>
      <w:lvlText w:val="%7"/>
      <w:lvlJc w:val="left"/>
      <w:pPr>
        <w:ind w:left="4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7968588">
      <w:start w:val="1"/>
      <w:numFmt w:val="lowerLetter"/>
      <w:lvlText w:val="%8"/>
      <w:lvlJc w:val="left"/>
      <w:pPr>
        <w:ind w:left="5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1F62A7C">
      <w:start w:val="1"/>
      <w:numFmt w:val="lowerRoman"/>
      <w:lvlText w:val="%9"/>
      <w:lvlJc w:val="left"/>
      <w:pPr>
        <w:ind w:left="6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C67EBF"/>
    <w:multiLevelType w:val="multilevel"/>
    <w:tmpl w:val="80D4DD3A"/>
    <w:lvl w:ilvl="0">
      <w:start w:val="1"/>
      <w:numFmt w:val="decimal"/>
      <w:pStyle w:val="Heading1"/>
      <w:lvlText w:val="%1"/>
      <w:lvlJc w:val="left"/>
      <w:pPr>
        <w:ind w:left="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1">
      <w:start w:val="1"/>
      <w:numFmt w:val="decimal"/>
      <w:pStyle w:val="Heading2"/>
      <w:lvlText w:val="%1.%2"/>
      <w:lvlJc w:val="left"/>
      <w:pPr>
        <w:ind w:left="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110468B"/>
    <w:multiLevelType w:val="hybridMultilevel"/>
    <w:tmpl w:val="34645186"/>
    <w:lvl w:ilvl="0" w:tplc="2AEE6556">
      <w:numFmt w:val="bullet"/>
      <w:lvlText w:val="-"/>
      <w:lvlJc w:val="left"/>
      <w:pPr>
        <w:ind w:left="345" w:hanging="360"/>
      </w:pPr>
      <w:rPr>
        <w:rFonts w:ascii="Cambria" w:eastAsia="Cambria" w:hAnsi="Cambria" w:cs="Cambria" w:hint="default"/>
      </w:rPr>
    </w:lvl>
    <w:lvl w:ilvl="1" w:tplc="08090003" w:tentative="1">
      <w:start w:val="1"/>
      <w:numFmt w:val="bullet"/>
      <w:lvlText w:val="o"/>
      <w:lvlJc w:val="left"/>
      <w:pPr>
        <w:ind w:left="1065" w:hanging="360"/>
      </w:pPr>
      <w:rPr>
        <w:rFonts w:ascii="Courier New" w:hAnsi="Courier New" w:cs="Courier New" w:hint="default"/>
      </w:rPr>
    </w:lvl>
    <w:lvl w:ilvl="2" w:tplc="08090005" w:tentative="1">
      <w:start w:val="1"/>
      <w:numFmt w:val="bullet"/>
      <w:lvlText w:val=""/>
      <w:lvlJc w:val="left"/>
      <w:pPr>
        <w:ind w:left="1785" w:hanging="360"/>
      </w:pPr>
      <w:rPr>
        <w:rFonts w:ascii="Wingdings" w:hAnsi="Wingdings" w:hint="default"/>
      </w:rPr>
    </w:lvl>
    <w:lvl w:ilvl="3" w:tplc="08090001" w:tentative="1">
      <w:start w:val="1"/>
      <w:numFmt w:val="bullet"/>
      <w:lvlText w:val=""/>
      <w:lvlJc w:val="left"/>
      <w:pPr>
        <w:ind w:left="2505" w:hanging="360"/>
      </w:pPr>
      <w:rPr>
        <w:rFonts w:ascii="Symbol" w:hAnsi="Symbol" w:hint="default"/>
      </w:rPr>
    </w:lvl>
    <w:lvl w:ilvl="4" w:tplc="08090003" w:tentative="1">
      <w:start w:val="1"/>
      <w:numFmt w:val="bullet"/>
      <w:lvlText w:val="o"/>
      <w:lvlJc w:val="left"/>
      <w:pPr>
        <w:ind w:left="3225" w:hanging="360"/>
      </w:pPr>
      <w:rPr>
        <w:rFonts w:ascii="Courier New" w:hAnsi="Courier New" w:cs="Courier New" w:hint="default"/>
      </w:rPr>
    </w:lvl>
    <w:lvl w:ilvl="5" w:tplc="08090005" w:tentative="1">
      <w:start w:val="1"/>
      <w:numFmt w:val="bullet"/>
      <w:lvlText w:val=""/>
      <w:lvlJc w:val="left"/>
      <w:pPr>
        <w:ind w:left="3945" w:hanging="360"/>
      </w:pPr>
      <w:rPr>
        <w:rFonts w:ascii="Wingdings" w:hAnsi="Wingdings" w:hint="default"/>
      </w:rPr>
    </w:lvl>
    <w:lvl w:ilvl="6" w:tplc="08090001" w:tentative="1">
      <w:start w:val="1"/>
      <w:numFmt w:val="bullet"/>
      <w:lvlText w:val=""/>
      <w:lvlJc w:val="left"/>
      <w:pPr>
        <w:ind w:left="4665" w:hanging="360"/>
      </w:pPr>
      <w:rPr>
        <w:rFonts w:ascii="Symbol" w:hAnsi="Symbol" w:hint="default"/>
      </w:rPr>
    </w:lvl>
    <w:lvl w:ilvl="7" w:tplc="08090003" w:tentative="1">
      <w:start w:val="1"/>
      <w:numFmt w:val="bullet"/>
      <w:lvlText w:val="o"/>
      <w:lvlJc w:val="left"/>
      <w:pPr>
        <w:ind w:left="5385" w:hanging="360"/>
      </w:pPr>
      <w:rPr>
        <w:rFonts w:ascii="Courier New" w:hAnsi="Courier New" w:cs="Courier New" w:hint="default"/>
      </w:rPr>
    </w:lvl>
    <w:lvl w:ilvl="8" w:tplc="08090005" w:tentative="1">
      <w:start w:val="1"/>
      <w:numFmt w:val="bullet"/>
      <w:lvlText w:val=""/>
      <w:lvlJc w:val="left"/>
      <w:pPr>
        <w:ind w:left="610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CF7"/>
    <w:rsid w:val="00006576"/>
    <w:rsid w:val="00022ADA"/>
    <w:rsid w:val="000277C8"/>
    <w:rsid w:val="0003025B"/>
    <w:rsid w:val="000367F1"/>
    <w:rsid w:val="000428CA"/>
    <w:rsid w:val="00045F43"/>
    <w:rsid w:val="00050213"/>
    <w:rsid w:val="00053646"/>
    <w:rsid w:val="00053D6A"/>
    <w:rsid w:val="00071322"/>
    <w:rsid w:val="00073C14"/>
    <w:rsid w:val="00074B8A"/>
    <w:rsid w:val="0008239D"/>
    <w:rsid w:val="00093D9A"/>
    <w:rsid w:val="00096299"/>
    <w:rsid w:val="000A5FCE"/>
    <w:rsid w:val="000C10F9"/>
    <w:rsid w:val="000C2FC8"/>
    <w:rsid w:val="000D7B1F"/>
    <w:rsid w:val="000E05E1"/>
    <w:rsid w:val="000F0DD3"/>
    <w:rsid w:val="000F13C6"/>
    <w:rsid w:val="000F63F9"/>
    <w:rsid w:val="00117059"/>
    <w:rsid w:val="00117DF2"/>
    <w:rsid w:val="001247B2"/>
    <w:rsid w:val="001259F0"/>
    <w:rsid w:val="00151EB6"/>
    <w:rsid w:val="00156BD6"/>
    <w:rsid w:val="00160986"/>
    <w:rsid w:val="00165755"/>
    <w:rsid w:val="00177FBC"/>
    <w:rsid w:val="00182377"/>
    <w:rsid w:val="001835D0"/>
    <w:rsid w:val="00191BB6"/>
    <w:rsid w:val="00193CEF"/>
    <w:rsid w:val="001C44C6"/>
    <w:rsid w:val="001D5C78"/>
    <w:rsid w:val="001E29B8"/>
    <w:rsid w:val="00200813"/>
    <w:rsid w:val="002061F0"/>
    <w:rsid w:val="00212496"/>
    <w:rsid w:val="002152FF"/>
    <w:rsid w:val="00215952"/>
    <w:rsid w:val="00217E16"/>
    <w:rsid w:val="002331E6"/>
    <w:rsid w:val="00245C96"/>
    <w:rsid w:val="00245FCF"/>
    <w:rsid w:val="00253791"/>
    <w:rsid w:val="002576A1"/>
    <w:rsid w:val="002606B9"/>
    <w:rsid w:val="00262876"/>
    <w:rsid w:val="00265A77"/>
    <w:rsid w:val="00271859"/>
    <w:rsid w:val="002874C1"/>
    <w:rsid w:val="002A1197"/>
    <w:rsid w:val="002A4053"/>
    <w:rsid w:val="002A7E7E"/>
    <w:rsid w:val="002D51B8"/>
    <w:rsid w:val="002D7D09"/>
    <w:rsid w:val="00313F83"/>
    <w:rsid w:val="00340B87"/>
    <w:rsid w:val="0034223C"/>
    <w:rsid w:val="003460CF"/>
    <w:rsid w:val="0034614D"/>
    <w:rsid w:val="00347574"/>
    <w:rsid w:val="00362ADE"/>
    <w:rsid w:val="00374093"/>
    <w:rsid w:val="00376645"/>
    <w:rsid w:val="003B37DE"/>
    <w:rsid w:val="003B581B"/>
    <w:rsid w:val="003C04CE"/>
    <w:rsid w:val="003C3C28"/>
    <w:rsid w:val="003C439C"/>
    <w:rsid w:val="003D3754"/>
    <w:rsid w:val="003D4CE7"/>
    <w:rsid w:val="003F1192"/>
    <w:rsid w:val="0040241A"/>
    <w:rsid w:val="00421534"/>
    <w:rsid w:val="00422BA9"/>
    <w:rsid w:val="0043378F"/>
    <w:rsid w:val="004351FA"/>
    <w:rsid w:val="0044102F"/>
    <w:rsid w:val="00451D74"/>
    <w:rsid w:val="004552E9"/>
    <w:rsid w:val="004565B5"/>
    <w:rsid w:val="00475CD7"/>
    <w:rsid w:val="00481A20"/>
    <w:rsid w:val="00483610"/>
    <w:rsid w:val="004836FF"/>
    <w:rsid w:val="004A3136"/>
    <w:rsid w:val="004B0E29"/>
    <w:rsid w:val="004B4D23"/>
    <w:rsid w:val="004B5DEE"/>
    <w:rsid w:val="004C3C15"/>
    <w:rsid w:val="004C42FA"/>
    <w:rsid w:val="004D085B"/>
    <w:rsid w:val="0050329E"/>
    <w:rsid w:val="0051193C"/>
    <w:rsid w:val="00511CA8"/>
    <w:rsid w:val="005139C9"/>
    <w:rsid w:val="00520C91"/>
    <w:rsid w:val="005235D8"/>
    <w:rsid w:val="0053144E"/>
    <w:rsid w:val="00537F69"/>
    <w:rsid w:val="00554BFE"/>
    <w:rsid w:val="0057185F"/>
    <w:rsid w:val="00574A34"/>
    <w:rsid w:val="00582413"/>
    <w:rsid w:val="00593CF7"/>
    <w:rsid w:val="005A459D"/>
    <w:rsid w:val="005B1642"/>
    <w:rsid w:val="005C1A02"/>
    <w:rsid w:val="005C2009"/>
    <w:rsid w:val="005E3538"/>
    <w:rsid w:val="005E5D2A"/>
    <w:rsid w:val="005F3DA2"/>
    <w:rsid w:val="005F47DA"/>
    <w:rsid w:val="00605B7C"/>
    <w:rsid w:val="006115C8"/>
    <w:rsid w:val="00637AFB"/>
    <w:rsid w:val="00644AF3"/>
    <w:rsid w:val="006470AD"/>
    <w:rsid w:val="006524C9"/>
    <w:rsid w:val="00665387"/>
    <w:rsid w:val="00686966"/>
    <w:rsid w:val="00692BCA"/>
    <w:rsid w:val="006A756A"/>
    <w:rsid w:val="006C5865"/>
    <w:rsid w:val="006E26B0"/>
    <w:rsid w:val="006E2B7A"/>
    <w:rsid w:val="006E7BD6"/>
    <w:rsid w:val="006F6DA8"/>
    <w:rsid w:val="00704417"/>
    <w:rsid w:val="007145C1"/>
    <w:rsid w:val="00717BB8"/>
    <w:rsid w:val="0073496E"/>
    <w:rsid w:val="0076220B"/>
    <w:rsid w:val="00784EF8"/>
    <w:rsid w:val="00794ECF"/>
    <w:rsid w:val="007A4F1E"/>
    <w:rsid w:val="007A6FB0"/>
    <w:rsid w:val="007B07D4"/>
    <w:rsid w:val="007D570C"/>
    <w:rsid w:val="007D685E"/>
    <w:rsid w:val="007D6ADE"/>
    <w:rsid w:val="007D7130"/>
    <w:rsid w:val="007E1942"/>
    <w:rsid w:val="007E3328"/>
    <w:rsid w:val="007E356F"/>
    <w:rsid w:val="007F3B64"/>
    <w:rsid w:val="007F6449"/>
    <w:rsid w:val="007F66DE"/>
    <w:rsid w:val="007F6C87"/>
    <w:rsid w:val="00811CC3"/>
    <w:rsid w:val="00822D6C"/>
    <w:rsid w:val="00824AB4"/>
    <w:rsid w:val="00826CE2"/>
    <w:rsid w:val="0084327A"/>
    <w:rsid w:val="0084504C"/>
    <w:rsid w:val="008527E4"/>
    <w:rsid w:val="00854012"/>
    <w:rsid w:val="0086080B"/>
    <w:rsid w:val="00877A54"/>
    <w:rsid w:val="00897ED1"/>
    <w:rsid w:val="008A6341"/>
    <w:rsid w:val="008B547E"/>
    <w:rsid w:val="008C4583"/>
    <w:rsid w:val="008D428B"/>
    <w:rsid w:val="008E3742"/>
    <w:rsid w:val="008E44E6"/>
    <w:rsid w:val="008E5C0E"/>
    <w:rsid w:val="008F3E1E"/>
    <w:rsid w:val="009078CE"/>
    <w:rsid w:val="00914BFE"/>
    <w:rsid w:val="009260D2"/>
    <w:rsid w:val="00926FAA"/>
    <w:rsid w:val="00932644"/>
    <w:rsid w:val="009564A1"/>
    <w:rsid w:val="00974C64"/>
    <w:rsid w:val="00981B0C"/>
    <w:rsid w:val="00992A17"/>
    <w:rsid w:val="009951E8"/>
    <w:rsid w:val="009A3981"/>
    <w:rsid w:val="009A7BA6"/>
    <w:rsid w:val="009C2699"/>
    <w:rsid w:val="009E0BBC"/>
    <w:rsid w:val="009E3F06"/>
    <w:rsid w:val="009E46DE"/>
    <w:rsid w:val="009F61F0"/>
    <w:rsid w:val="00A03BDF"/>
    <w:rsid w:val="00A04F20"/>
    <w:rsid w:val="00A04FA8"/>
    <w:rsid w:val="00A07835"/>
    <w:rsid w:val="00A1747E"/>
    <w:rsid w:val="00A3040D"/>
    <w:rsid w:val="00A40FD3"/>
    <w:rsid w:val="00A66D79"/>
    <w:rsid w:val="00A86AA1"/>
    <w:rsid w:val="00A875F1"/>
    <w:rsid w:val="00A927E9"/>
    <w:rsid w:val="00AD15E1"/>
    <w:rsid w:val="00AE646F"/>
    <w:rsid w:val="00AE79CA"/>
    <w:rsid w:val="00AF19F1"/>
    <w:rsid w:val="00AF2EBB"/>
    <w:rsid w:val="00AF7782"/>
    <w:rsid w:val="00B04196"/>
    <w:rsid w:val="00B07C2F"/>
    <w:rsid w:val="00B11101"/>
    <w:rsid w:val="00B21C1A"/>
    <w:rsid w:val="00B357C3"/>
    <w:rsid w:val="00B51531"/>
    <w:rsid w:val="00B54CAB"/>
    <w:rsid w:val="00B56D4E"/>
    <w:rsid w:val="00B72B6C"/>
    <w:rsid w:val="00B75A39"/>
    <w:rsid w:val="00B75B65"/>
    <w:rsid w:val="00B85E49"/>
    <w:rsid w:val="00B97819"/>
    <w:rsid w:val="00BA0DC9"/>
    <w:rsid w:val="00BA4FDF"/>
    <w:rsid w:val="00BD070C"/>
    <w:rsid w:val="00BE0CCB"/>
    <w:rsid w:val="00BF64E4"/>
    <w:rsid w:val="00C14B1B"/>
    <w:rsid w:val="00C1530B"/>
    <w:rsid w:val="00C34406"/>
    <w:rsid w:val="00C40B87"/>
    <w:rsid w:val="00C5104B"/>
    <w:rsid w:val="00C52806"/>
    <w:rsid w:val="00C5363C"/>
    <w:rsid w:val="00C54784"/>
    <w:rsid w:val="00C55C59"/>
    <w:rsid w:val="00C74513"/>
    <w:rsid w:val="00C75748"/>
    <w:rsid w:val="00C81590"/>
    <w:rsid w:val="00C81E84"/>
    <w:rsid w:val="00C828ED"/>
    <w:rsid w:val="00C83D4A"/>
    <w:rsid w:val="00C931EB"/>
    <w:rsid w:val="00CC4232"/>
    <w:rsid w:val="00CD19C2"/>
    <w:rsid w:val="00CD206E"/>
    <w:rsid w:val="00CD2CA5"/>
    <w:rsid w:val="00CD37B9"/>
    <w:rsid w:val="00CE1A10"/>
    <w:rsid w:val="00CF44A5"/>
    <w:rsid w:val="00CF6F06"/>
    <w:rsid w:val="00D07691"/>
    <w:rsid w:val="00D1396C"/>
    <w:rsid w:val="00D14329"/>
    <w:rsid w:val="00D215C1"/>
    <w:rsid w:val="00D24C4D"/>
    <w:rsid w:val="00D2766C"/>
    <w:rsid w:val="00D42AD5"/>
    <w:rsid w:val="00D53683"/>
    <w:rsid w:val="00D655AF"/>
    <w:rsid w:val="00D657D3"/>
    <w:rsid w:val="00D70446"/>
    <w:rsid w:val="00D758B7"/>
    <w:rsid w:val="00DA0EFC"/>
    <w:rsid w:val="00DA2CF5"/>
    <w:rsid w:val="00DA69F6"/>
    <w:rsid w:val="00DB30C2"/>
    <w:rsid w:val="00DB5231"/>
    <w:rsid w:val="00DD70A4"/>
    <w:rsid w:val="00DE42D8"/>
    <w:rsid w:val="00DF4D03"/>
    <w:rsid w:val="00E029DA"/>
    <w:rsid w:val="00E04853"/>
    <w:rsid w:val="00E46092"/>
    <w:rsid w:val="00E47E9F"/>
    <w:rsid w:val="00E50C5C"/>
    <w:rsid w:val="00E56004"/>
    <w:rsid w:val="00E610BD"/>
    <w:rsid w:val="00E7097D"/>
    <w:rsid w:val="00E71E4C"/>
    <w:rsid w:val="00E74062"/>
    <w:rsid w:val="00E85894"/>
    <w:rsid w:val="00EC3468"/>
    <w:rsid w:val="00EC710C"/>
    <w:rsid w:val="00ED09A3"/>
    <w:rsid w:val="00ED7EBB"/>
    <w:rsid w:val="00EE6878"/>
    <w:rsid w:val="00EE7C4F"/>
    <w:rsid w:val="00EF35C9"/>
    <w:rsid w:val="00EF3EB9"/>
    <w:rsid w:val="00F0627B"/>
    <w:rsid w:val="00F10B45"/>
    <w:rsid w:val="00F22B6E"/>
    <w:rsid w:val="00F25311"/>
    <w:rsid w:val="00F55CBB"/>
    <w:rsid w:val="00F620AF"/>
    <w:rsid w:val="00F65681"/>
    <w:rsid w:val="00F82510"/>
    <w:rsid w:val="00F96836"/>
    <w:rsid w:val="00FA1358"/>
    <w:rsid w:val="00FA5699"/>
    <w:rsid w:val="00FA627C"/>
    <w:rsid w:val="00FA6BA0"/>
    <w:rsid w:val="00FA6CCE"/>
    <w:rsid w:val="00FB052D"/>
    <w:rsid w:val="00FB7A96"/>
    <w:rsid w:val="00FC119C"/>
    <w:rsid w:val="00FD094E"/>
    <w:rsid w:val="00FE2E00"/>
    <w:rsid w:val="00FE2FEB"/>
    <w:rsid w:val="00FF24AB"/>
    <w:rsid w:val="00FF711A"/>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8335D"/>
  <w15:docId w15:val="{F7B3DD47-5D9E-EA46-819A-69FB9C74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DK"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420" w:lineRule="auto"/>
      <w:ind w:left="228" w:hanging="228"/>
      <w:jc w:val="both"/>
    </w:pPr>
    <w:rPr>
      <w:rFonts w:ascii="Cambria" w:eastAsia="Cambria" w:hAnsi="Cambria" w:cs="Cambria"/>
      <w:color w:val="000000"/>
      <w:sz w:val="22"/>
    </w:rPr>
  </w:style>
  <w:style w:type="paragraph" w:styleId="Heading1">
    <w:name w:val="heading 1"/>
    <w:next w:val="Normal"/>
    <w:link w:val="Heading1Char"/>
    <w:uiPriority w:val="9"/>
    <w:qFormat/>
    <w:pPr>
      <w:keepNext/>
      <w:keepLines/>
      <w:numPr>
        <w:numId w:val="2"/>
      </w:numPr>
      <w:spacing w:after="303" w:line="259" w:lineRule="auto"/>
      <w:ind w:left="10" w:hanging="10"/>
      <w:outlineLvl w:val="0"/>
    </w:pPr>
    <w:rPr>
      <w:rFonts w:ascii="Cambria" w:eastAsia="Cambria" w:hAnsi="Cambria" w:cs="Cambria"/>
      <w:b/>
      <w:color w:val="000000"/>
      <w:sz w:val="29"/>
    </w:rPr>
  </w:style>
  <w:style w:type="paragraph" w:styleId="Heading2">
    <w:name w:val="heading 2"/>
    <w:next w:val="Normal"/>
    <w:link w:val="Heading2Char"/>
    <w:uiPriority w:val="9"/>
    <w:unhideWhenUsed/>
    <w:qFormat/>
    <w:pPr>
      <w:keepNext/>
      <w:keepLines/>
      <w:numPr>
        <w:ilvl w:val="1"/>
        <w:numId w:val="2"/>
      </w:numPr>
      <w:spacing w:after="286" w:line="259" w:lineRule="auto"/>
      <w:ind w:left="10" w:hanging="10"/>
      <w:outlineLvl w:val="1"/>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4"/>
    </w:rPr>
  </w:style>
  <w:style w:type="paragraph" w:customStyle="1" w:styleId="footnotedescription">
    <w:name w:val="footnote description"/>
    <w:next w:val="Normal"/>
    <w:link w:val="footnotedescriptionChar"/>
    <w:hidden/>
    <w:pPr>
      <w:spacing w:line="259" w:lineRule="auto"/>
      <w:ind w:firstLine="212"/>
      <w:jc w:val="both"/>
    </w:pPr>
    <w:rPr>
      <w:rFonts w:ascii="Cambria" w:eastAsia="Cambria" w:hAnsi="Cambria" w:cs="Cambria"/>
      <w:color w:val="000000"/>
      <w:sz w:val="18"/>
    </w:rPr>
  </w:style>
  <w:style w:type="character" w:customStyle="1" w:styleId="footnotedescriptionChar">
    <w:name w:val="footnote description Char"/>
    <w:link w:val="footnotedescription"/>
    <w:rPr>
      <w:rFonts w:ascii="Cambria" w:eastAsia="Cambria" w:hAnsi="Cambria" w:cs="Cambria"/>
      <w:color w:val="000000"/>
      <w:sz w:val="18"/>
    </w:rPr>
  </w:style>
  <w:style w:type="character" w:customStyle="1" w:styleId="Heading1Char">
    <w:name w:val="Heading 1 Char"/>
    <w:link w:val="Heading1"/>
    <w:rPr>
      <w:rFonts w:ascii="Cambria" w:eastAsia="Cambria" w:hAnsi="Cambria" w:cs="Cambria"/>
      <w:b/>
      <w:color w:val="000000"/>
      <w:sz w:val="29"/>
    </w:rPr>
  </w:style>
  <w:style w:type="character" w:customStyle="1" w:styleId="footnotemark">
    <w:name w:val="footnote mark"/>
    <w:hidden/>
    <w:rPr>
      <w:rFonts w:ascii="Cambria" w:eastAsia="Cambria" w:hAnsi="Cambria" w:cs="Cambria"/>
      <w:color w:val="000000"/>
      <w:sz w:val="18"/>
      <w:vertAlign w:val="superscript"/>
    </w:rPr>
  </w:style>
  <w:style w:type="paragraph" w:styleId="ListParagraph">
    <w:name w:val="List Paragraph"/>
    <w:basedOn w:val="Normal"/>
    <w:uiPriority w:val="34"/>
    <w:qFormat/>
    <w:rsid w:val="003460CF"/>
    <w:pPr>
      <w:ind w:left="720"/>
      <w:contextualSpacing/>
    </w:pPr>
  </w:style>
  <w:style w:type="character" w:styleId="Hyperlink">
    <w:name w:val="Hyperlink"/>
    <w:basedOn w:val="DefaultParagraphFont"/>
    <w:uiPriority w:val="99"/>
    <w:unhideWhenUsed/>
    <w:rsid w:val="003460CF"/>
    <w:rPr>
      <w:color w:val="0563C1" w:themeColor="hyperlink"/>
      <w:u w:val="single"/>
    </w:rPr>
  </w:style>
  <w:style w:type="character" w:styleId="UnresolvedMention">
    <w:name w:val="Unresolved Mention"/>
    <w:basedOn w:val="DefaultParagraphFont"/>
    <w:uiPriority w:val="99"/>
    <w:semiHidden/>
    <w:unhideWhenUsed/>
    <w:rsid w:val="003460CF"/>
    <w:rPr>
      <w:color w:val="605E5C"/>
      <w:shd w:val="clear" w:color="auto" w:fill="E1DFDD"/>
    </w:rPr>
  </w:style>
  <w:style w:type="paragraph" w:styleId="Caption">
    <w:name w:val="caption"/>
    <w:basedOn w:val="Normal"/>
    <w:next w:val="Normal"/>
    <w:uiPriority w:val="35"/>
    <w:unhideWhenUsed/>
    <w:qFormat/>
    <w:rsid w:val="00C83D4A"/>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554B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4BFE"/>
    <w:rPr>
      <w:rFonts w:ascii="Cambria" w:eastAsia="Cambria" w:hAnsi="Cambria" w:cs="Cambria"/>
      <w:color w:val="000000"/>
      <w:sz w:val="20"/>
      <w:szCs w:val="20"/>
    </w:rPr>
  </w:style>
  <w:style w:type="character" w:styleId="FootnoteReference">
    <w:name w:val="footnote reference"/>
    <w:basedOn w:val="DefaultParagraphFont"/>
    <w:uiPriority w:val="99"/>
    <w:semiHidden/>
    <w:unhideWhenUsed/>
    <w:rsid w:val="00554BFE"/>
    <w:rPr>
      <w:vertAlign w:val="superscript"/>
    </w:rPr>
  </w:style>
  <w:style w:type="paragraph" w:styleId="BalloonText">
    <w:name w:val="Balloon Text"/>
    <w:basedOn w:val="Normal"/>
    <w:link w:val="BalloonTextChar"/>
    <w:uiPriority w:val="99"/>
    <w:semiHidden/>
    <w:unhideWhenUsed/>
    <w:rsid w:val="00433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78F"/>
    <w:rPr>
      <w:rFonts w:ascii="Segoe UI" w:eastAsia="Cambria" w:hAnsi="Segoe UI" w:cs="Segoe UI"/>
      <w:color w:val="000000"/>
      <w:sz w:val="18"/>
      <w:szCs w:val="18"/>
    </w:rPr>
  </w:style>
  <w:style w:type="paragraph" w:styleId="Revision">
    <w:name w:val="Revision"/>
    <w:hidden/>
    <w:uiPriority w:val="99"/>
    <w:semiHidden/>
    <w:rsid w:val="00B72B6C"/>
    <w:rPr>
      <w:rFonts w:ascii="Cambria" w:eastAsia="Cambria" w:hAnsi="Cambria" w:cs="Cambr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047963">
      <w:bodyDiv w:val="1"/>
      <w:marLeft w:val="0"/>
      <w:marRight w:val="0"/>
      <w:marTop w:val="0"/>
      <w:marBottom w:val="0"/>
      <w:divBdr>
        <w:top w:val="none" w:sz="0" w:space="0" w:color="auto"/>
        <w:left w:val="none" w:sz="0" w:space="0" w:color="auto"/>
        <w:bottom w:val="none" w:sz="0" w:space="0" w:color="auto"/>
        <w:right w:val="none" w:sz="0" w:space="0" w:color="auto"/>
      </w:divBdr>
      <w:divsChild>
        <w:div w:id="1635870521">
          <w:marLeft w:val="480"/>
          <w:marRight w:val="0"/>
          <w:marTop w:val="0"/>
          <w:marBottom w:val="0"/>
          <w:divBdr>
            <w:top w:val="none" w:sz="0" w:space="0" w:color="auto"/>
            <w:left w:val="none" w:sz="0" w:space="0" w:color="auto"/>
            <w:bottom w:val="none" w:sz="0" w:space="0" w:color="auto"/>
            <w:right w:val="none" w:sz="0" w:space="0" w:color="auto"/>
          </w:divBdr>
          <w:divsChild>
            <w:div w:id="8079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3218">
      <w:bodyDiv w:val="1"/>
      <w:marLeft w:val="0"/>
      <w:marRight w:val="0"/>
      <w:marTop w:val="0"/>
      <w:marBottom w:val="0"/>
      <w:divBdr>
        <w:top w:val="none" w:sz="0" w:space="0" w:color="auto"/>
        <w:left w:val="none" w:sz="0" w:space="0" w:color="auto"/>
        <w:bottom w:val="none" w:sz="0" w:space="0" w:color="auto"/>
        <w:right w:val="none" w:sz="0" w:space="0" w:color="auto"/>
      </w:divBdr>
    </w:div>
    <w:div w:id="1620333371">
      <w:bodyDiv w:val="1"/>
      <w:marLeft w:val="0"/>
      <w:marRight w:val="0"/>
      <w:marTop w:val="0"/>
      <w:marBottom w:val="0"/>
      <w:divBdr>
        <w:top w:val="none" w:sz="0" w:space="0" w:color="auto"/>
        <w:left w:val="none" w:sz="0" w:space="0" w:color="auto"/>
        <w:bottom w:val="none" w:sz="0" w:space="0" w:color="auto"/>
        <w:right w:val="none" w:sz="0" w:space="0" w:color="auto"/>
      </w:divBdr>
    </w:div>
    <w:div w:id="1707872527">
      <w:bodyDiv w:val="1"/>
      <w:marLeft w:val="0"/>
      <w:marRight w:val="0"/>
      <w:marTop w:val="0"/>
      <w:marBottom w:val="0"/>
      <w:divBdr>
        <w:top w:val="none" w:sz="0" w:space="0" w:color="auto"/>
        <w:left w:val="none" w:sz="0" w:space="0" w:color="auto"/>
        <w:bottom w:val="none" w:sz="0" w:space="0" w:color="auto"/>
        <w:right w:val="none" w:sz="0" w:space="0" w:color="auto"/>
      </w:divBdr>
    </w:div>
    <w:div w:id="1779645453">
      <w:bodyDiv w:val="1"/>
      <w:marLeft w:val="0"/>
      <w:marRight w:val="0"/>
      <w:marTop w:val="0"/>
      <w:marBottom w:val="0"/>
      <w:divBdr>
        <w:top w:val="none" w:sz="0" w:space="0" w:color="auto"/>
        <w:left w:val="none" w:sz="0" w:space="0" w:color="auto"/>
        <w:bottom w:val="none" w:sz="0" w:space="0" w:color="auto"/>
        <w:right w:val="none" w:sz="0" w:space="0" w:color="auto"/>
      </w:divBdr>
    </w:div>
    <w:div w:id="1946302772">
      <w:bodyDiv w:val="1"/>
      <w:marLeft w:val="0"/>
      <w:marRight w:val="0"/>
      <w:marTop w:val="0"/>
      <w:marBottom w:val="0"/>
      <w:divBdr>
        <w:top w:val="none" w:sz="0" w:space="0" w:color="auto"/>
        <w:left w:val="none" w:sz="0" w:space="0" w:color="auto"/>
        <w:bottom w:val="none" w:sz="0" w:space="0" w:color="auto"/>
        <w:right w:val="none" w:sz="0" w:space="0" w:color="auto"/>
      </w:divBdr>
      <w:divsChild>
        <w:div w:id="805123679">
          <w:marLeft w:val="480"/>
          <w:marRight w:val="0"/>
          <w:marTop w:val="0"/>
          <w:marBottom w:val="0"/>
          <w:divBdr>
            <w:top w:val="none" w:sz="0" w:space="0" w:color="auto"/>
            <w:left w:val="none" w:sz="0" w:space="0" w:color="auto"/>
            <w:bottom w:val="none" w:sz="0" w:space="0" w:color="auto"/>
            <w:right w:val="none" w:sz="0" w:space="0" w:color="auto"/>
          </w:divBdr>
          <w:divsChild>
            <w:div w:id="20627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st.dk/da/Statistik/dokumentation/statistikdokumentation/forskning-og-udvikling-i-erhvervslivet" TargetMode="External"/><Relationship Id="rId2" Type="http://schemas.openxmlformats.org/officeDocument/2006/relationships/hyperlink" Target="https://www.dst.dk/da/Statistik/dokumentation/statistikdokumentation/forskning-og-udvikling-i-erhvervslivet" TargetMode="External"/><Relationship Id="rId1" Type="http://schemas.openxmlformats.org/officeDocument/2006/relationships/hyperlink" Target="https://www.dst.dk/da/Statistik/dokumentation/statistikdokumentation/forskning-og-udvikling-i-erhvervsli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DAE70B-A828-CE46-8C1D-9F534901D86C}">
  <we:reference id="wa200001011" version="1.1.0.0" store="en-GB"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75DEA-B6A9-4C30-A80C-A8A30C5B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7854</Words>
  <Characters>44774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Eriksen</dc:creator>
  <cp:keywords/>
  <cp:lastModifiedBy>Jesper Eriksen</cp:lastModifiedBy>
  <cp:revision>2</cp:revision>
  <cp:lastPrinted>2020-06-29T11:44:00Z</cp:lastPrinted>
  <dcterms:created xsi:type="dcterms:W3CDTF">2020-08-07T08:51:00Z</dcterms:created>
  <dcterms:modified xsi:type="dcterms:W3CDTF">2020-08-07T08:51:00Z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documentId_2999</vt:lpwstr>
  </property>
</Properties>
</file>