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F969" w14:textId="77777777" w:rsidR="00D61229" w:rsidRPr="00E772AD" w:rsidRDefault="00D61229" w:rsidP="00D61229">
      <w:pPr>
        <w:pStyle w:val="Overskrift1"/>
        <w:rPr>
          <w:color w:val="auto"/>
          <w:lang w:val="en-US"/>
        </w:rPr>
      </w:pPr>
      <w:r w:rsidRPr="00E772AD">
        <w:rPr>
          <w:color w:val="auto"/>
          <w:lang w:val="en-US"/>
        </w:rPr>
        <w:t>Titlepage: submission for European Journal of Social Work,</w:t>
      </w:r>
    </w:p>
    <w:p w14:paraId="6E4AEA3D" w14:textId="77777777" w:rsidR="00D61229" w:rsidRPr="00E772AD" w:rsidRDefault="00D61229" w:rsidP="00D61229">
      <w:pPr>
        <w:rPr>
          <w:b/>
          <w:bCs/>
          <w:lang w:val="en-US"/>
        </w:rPr>
      </w:pPr>
    </w:p>
    <w:p w14:paraId="4B090FBC" w14:textId="77777777" w:rsidR="00D61229" w:rsidRPr="00E772AD" w:rsidRDefault="00D61229" w:rsidP="00D61229">
      <w:pPr>
        <w:rPr>
          <w:lang w:val="en-US"/>
        </w:rPr>
      </w:pPr>
      <w:r w:rsidRPr="00E772AD">
        <w:rPr>
          <w:b/>
          <w:bCs/>
          <w:lang w:val="en-US"/>
        </w:rPr>
        <w:t>Title</w:t>
      </w:r>
      <w:r w:rsidRPr="00E772AD">
        <w:rPr>
          <w:lang w:val="en-US"/>
        </w:rPr>
        <w:t xml:space="preserve">: </w:t>
      </w:r>
      <w:r w:rsidRPr="00E772AD">
        <w:rPr>
          <w:b/>
          <w:bCs/>
          <w:lang w:val="en-US"/>
        </w:rPr>
        <w:t>A hybrid job center. Composite client experiences with employment services between enforcement and care</w:t>
      </w:r>
    </w:p>
    <w:p w14:paraId="35AD7697" w14:textId="77777777" w:rsidR="00D61229" w:rsidRPr="00E772AD" w:rsidRDefault="00D61229" w:rsidP="00D61229">
      <w:pPr>
        <w:rPr>
          <w:b/>
          <w:bCs/>
          <w:lang w:val="en-US"/>
        </w:rPr>
      </w:pPr>
    </w:p>
    <w:p w14:paraId="5AAB49C8" w14:textId="77777777" w:rsidR="00D61229" w:rsidRPr="00E772AD" w:rsidRDefault="00D61229" w:rsidP="00D61229">
      <w:pPr>
        <w:rPr>
          <w:lang w:val="en-US"/>
        </w:rPr>
      </w:pPr>
      <w:r w:rsidRPr="00E772AD">
        <w:rPr>
          <w:b/>
          <w:bCs/>
          <w:lang w:val="en-US"/>
        </w:rPr>
        <w:t>Authors</w:t>
      </w:r>
      <w:r w:rsidRPr="00E772AD">
        <w:rPr>
          <w:lang w:val="en-US"/>
        </w:rPr>
        <w:t xml:space="preserve">: </w:t>
      </w:r>
    </w:p>
    <w:p w14:paraId="783A7012" w14:textId="77777777" w:rsidR="00D61229" w:rsidRPr="00E772AD" w:rsidRDefault="00D61229" w:rsidP="00D61229">
      <w:pPr>
        <w:rPr>
          <w:lang w:val="en-US"/>
        </w:rPr>
      </w:pPr>
      <w:r w:rsidRPr="00E772AD">
        <w:rPr>
          <w:lang w:val="en-US"/>
        </w:rPr>
        <w:t>Mathias Herup Nielsen (corresponding author)</w:t>
      </w:r>
    </w:p>
    <w:p w14:paraId="74EA4A63" w14:textId="77777777" w:rsidR="00D61229" w:rsidRPr="00E772AD" w:rsidRDefault="00D61229" w:rsidP="00D61229">
      <w:pPr>
        <w:rPr>
          <w:lang w:val="en-US"/>
        </w:rPr>
      </w:pPr>
      <w:r w:rsidRPr="00E772AD">
        <w:rPr>
          <w:lang w:val="en-US"/>
        </w:rPr>
        <w:t>Aalborg University,</w:t>
      </w:r>
    </w:p>
    <w:p w14:paraId="5B34AEE0" w14:textId="77777777" w:rsidR="00D61229" w:rsidRPr="00E772AD" w:rsidRDefault="00D61229" w:rsidP="00D61229">
      <w:pPr>
        <w:rPr>
          <w:lang w:val="en-US"/>
        </w:rPr>
      </w:pPr>
      <w:r w:rsidRPr="00E772AD">
        <w:rPr>
          <w:lang w:val="en-US"/>
        </w:rPr>
        <w:t>Department of Politics and Society</w:t>
      </w:r>
    </w:p>
    <w:p w14:paraId="0F25AB68" w14:textId="77777777" w:rsidR="00D61229" w:rsidRPr="00E772AD" w:rsidRDefault="00D61229" w:rsidP="00D61229">
      <w:pPr>
        <w:rPr>
          <w:lang w:val="da-DK"/>
        </w:rPr>
      </w:pPr>
      <w:r w:rsidRPr="00E772AD">
        <w:rPr>
          <w:lang w:val="da-DK"/>
        </w:rPr>
        <w:t xml:space="preserve">Frederikskaj 10b, </w:t>
      </w:r>
    </w:p>
    <w:p w14:paraId="332D7B11" w14:textId="77777777" w:rsidR="00D61229" w:rsidRPr="00E772AD" w:rsidRDefault="00D61229" w:rsidP="00D61229">
      <w:pPr>
        <w:rPr>
          <w:lang w:val="da-DK"/>
        </w:rPr>
      </w:pPr>
      <w:r w:rsidRPr="00E772AD">
        <w:rPr>
          <w:lang w:val="da-DK"/>
        </w:rPr>
        <w:t>2450 Copenhagen SV.</w:t>
      </w:r>
    </w:p>
    <w:p w14:paraId="72D6FD2F" w14:textId="77777777" w:rsidR="00D61229" w:rsidRPr="00E772AD" w:rsidRDefault="00D61229" w:rsidP="00D61229">
      <w:pPr>
        <w:rPr>
          <w:lang w:val="da-DK"/>
        </w:rPr>
      </w:pPr>
      <w:r w:rsidRPr="00E772AD">
        <w:rPr>
          <w:lang w:val="da-DK"/>
        </w:rPr>
        <w:t xml:space="preserve">e-mail: </w:t>
      </w:r>
      <w:hyperlink r:id="rId10" w:history="1">
        <w:r w:rsidRPr="00E772AD">
          <w:rPr>
            <w:rStyle w:val="Hyperlink"/>
            <w:color w:val="auto"/>
            <w:lang w:val="da-DK"/>
          </w:rPr>
          <w:t>mhn@id.aau.dk</w:t>
        </w:r>
      </w:hyperlink>
      <w:r w:rsidRPr="00E772AD">
        <w:rPr>
          <w:lang w:val="da-DK"/>
        </w:rPr>
        <w:t xml:space="preserve"> </w:t>
      </w:r>
    </w:p>
    <w:p w14:paraId="3CBBF540" w14:textId="77777777" w:rsidR="00D61229" w:rsidRPr="00E772AD" w:rsidRDefault="00D61229" w:rsidP="00D61229">
      <w:pPr>
        <w:rPr>
          <w:lang w:val="da-DK"/>
        </w:rPr>
      </w:pPr>
    </w:p>
    <w:p w14:paraId="11BC77C9" w14:textId="77777777" w:rsidR="00D61229" w:rsidRPr="00E772AD" w:rsidRDefault="00D61229" w:rsidP="00D61229">
      <w:pPr>
        <w:rPr>
          <w:lang w:val="en-US"/>
        </w:rPr>
      </w:pPr>
      <w:r w:rsidRPr="00E772AD">
        <w:rPr>
          <w:lang w:val="en-US"/>
        </w:rPr>
        <w:t>Tanja Dall,</w:t>
      </w:r>
    </w:p>
    <w:p w14:paraId="064C2434" w14:textId="77777777" w:rsidR="00D61229" w:rsidRPr="00E772AD" w:rsidRDefault="00D61229" w:rsidP="00D61229">
      <w:pPr>
        <w:rPr>
          <w:lang w:val="en-US"/>
        </w:rPr>
      </w:pPr>
      <w:r w:rsidRPr="00E772AD">
        <w:rPr>
          <w:lang w:val="en-US"/>
        </w:rPr>
        <w:t>Aalborg University,</w:t>
      </w:r>
    </w:p>
    <w:p w14:paraId="32158BA0" w14:textId="77777777" w:rsidR="00D61229" w:rsidRPr="00E772AD" w:rsidRDefault="00D61229" w:rsidP="00D61229">
      <w:pPr>
        <w:rPr>
          <w:lang w:val="en-US"/>
        </w:rPr>
      </w:pPr>
      <w:r w:rsidRPr="00E772AD">
        <w:rPr>
          <w:lang w:val="en-US"/>
        </w:rPr>
        <w:t>Department of Sociology and Social Work</w:t>
      </w:r>
    </w:p>
    <w:p w14:paraId="7F9A3D75" w14:textId="77777777" w:rsidR="00D61229" w:rsidRPr="00E772AD" w:rsidRDefault="00D61229" w:rsidP="00D61229">
      <w:pPr>
        <w:rPr>
          <w:lang w:val="da-DK"/>
        </w:rPr>
      </w:pPr>
      <w:r w:rsidRPr="00E772AD">
        <w:rPr>
          <w:lang w:val="da-DK"/>
        </w:rPr>
        <w:t xml:space="preserve">Frederikskaj 10b, </w:t>
      </w:r>
    </w:p>
    <w:p w14:paraId="5B34A484" w14:textId="77777777" w:rsidR="00D61229" w:rsidRPr="00E772AD" w:rsidRDefault="00D61229" w:rsidP="00D61229">
      <w:pPr>
        <w:rPr>
          <w:lang w:val="da-DK"/>
        </w:rPr>
      </w:pPr>
      <w:r w:rsidRPr="00E772AD">
        <w:rPr>
          <w:lang w:val="da-DK"/>
        </w:rPr>
        <w:t>2450 Copenhagen SV.</w:t>
      </w:r>
    </w:p>
    <w:p w14:paraId="0D985544" w14:textId="77777777" w:rsidR="00D61229" w:rsidRPr="00E772AD" w:rsidRDefault="00D61229" w:rsidP="00D61229">
      <w:pPr>
        <w:rPr>
          <w:lang w:val="da-DK"/>
        </w:rPr>
      </w:pPr>
    </w:p>
    <w:p w14:paraId="280BC81A" w14:textId="77777777" w:rsidR="00D61229" w:rsidRPr="00E772AD" w:rsidRDefault="00D61229" w:rsidP="00D61229">
      <w:pPr>
        <w:rPr>
          <w:lang w:val="da-DK"/>
        </w:rPr>
      </w:pPr>
      <w:r w:rsidRPr="00E772AD">
        <w:rPr>
          <w:lang w:val="da-DK"/>
        </w:rPr>
        <w:t>Mikkel Bo Madsen,</w:t>
      </w:r>
    </w:p>
    <w:p w14:paraId="67086256" w14:textId="77777777" w:rsidR="00D61229" w:rsidRPr="00E772AD" w:rsidRDefault="00D61229" w:rsidP="00D61229">
      <w:pPr>
        <w:rPr>
          <w:lang w:val="en-US"/>
        </w:rPr>
      </w:pPr>
      <w:r w:rsidRPr="00E772AD">
        <w:rPr>
          <w:lang w:val="en-US"/>
        </w:rPr>
        <w:t>Aalborg University,</w:t>
      </w:r>
    </w:p>
    <w:p w14:paraId="47B175BA" w14:textId="77777777" w:rsidR="00D61229" w:rsidRPr="00E772AD" w:rsidRDefault="00D61229" w:rsidP="00D61229">
      <w:pPr>
        <w:rPr>
          <w:lang w:val="en-US"/>
        </w:rPr>
      </w:pPr>
      <w:r w:rsidRPr="00E772AD">
        <w:rPr>
          <w:lang w:val="en-US"/>
        </w:rPr>
        <w:t>Department of Sociology and Social Work</w:t>
      </w:r>
    </w:p>
    <w:p w14:paraId="7DFE3D67" w14:textId="77777777" w:rsidR="00D61229" w:rsidRPr="00E772AD" w:rsidRDefault="00D61229" w:rsidP="00D61229">
      <w:pPr>
        <w:rPr>
          <w:lang w:val="en-US"/>
        </w:rPr>
      </w:pPr>
      <w:proofErr w:type="spellStart"/>
      <w:r w:rsidRPr="00E772AD">
        <w:t>Frederikskaj</w:t>
      </w:r>
      <w:proofErr w:type="spellEnd"/>
      <w:r w:rsidRPr="00E772AD">
        <w:t xml:space="preserve"> 10b, </w:t>
      </w:r>
    </w:p>
    <w:p w14:paraId="1D869AA5" w14:textId="77777777" w:rsidR="00D61229" w:rsidRPr="00E772AD" w:rsidRDefault="00D61229" w:rsidP="00D61229">
      <w:r w:rsidRPr="00E772AD">
        <w:t>2450 Copenhagen SV.</w:t>
      </w:r>
    </w:p>
    <w:p w14:paraId="75D3ABB7" w14:textId="1D1C3F64" w:rsidR="00070CF2" w:rsidRPr="00E772AD" w:rsidRDefault="002673D2" w:rsidP="00070CF2">
      <w:pPr>
        <w:jc w:val="center"/>
        <w:rPr>
          <w:b/>
          <w:bCs/>
        </w:rPr>
      </w:pPr>
      <w:r w:rsidRPr="00E772AD">
        <w:rPr>
          <w:b/>
          <w:bCs/>
        </w:rPr>
        <w:br w:type="column"/>
      </w:r>
      <w:r w:rsidR="00070CF2" w:rsidRPr="00E772AD">
        <w:rPr>
          <w:b/>
          <w:bCs/>
        </w:rPr>
        <w:lastRenderedPageBreak/>
        <w:t>A Hybrid Job Centre:</w:t>
      </w:r>
      <w:r w:rsidR="00070CF2" w:rsidRPr="00E772AD">
        <w:rPr>
          <w:b/>
          <w:bCs/>
        </w:rPr>
        <w:br/>
        <w:t>Composite Client Experiences with Employment Services Between Enforcement and Care</w:t>
      </w:r>
      <w:r w:rsidR="00070CF2" w:rsidRPr="00E772AD">
        <w:rPr>
          <w:b/>
          <w:bCs/>
        </w:rPr>
        <w:br/>
      </w:r>
    </w:p>
    <w:p w14:paraId="546F89A9" w14:textId="77777777" w:rsidR="00070CF2" w:rsidRPr="00E772AD" w:rsidRDefault="00070CF2" w:rsidP="00070CF2">
      <w:pPr>
        <w:jc w:val="center"/>
        <w:rPr>
          <w:b/>
          <w:bCs/>
        </w:rPr>
      </w:pPr>
    </w:p>
    <w:p w14:paraId="5600EDBD" w14:textId="77777777" w:rsidR="00070CF2" w:rsidRPr="00E772AD" w:rsidRDefault="00070CF2" w:rsidP="00070CF2">
      <w:pPr>
        <w:jc w:val="center"/>
        <w:rPr>
          <w:b/>
        </w:rPr>
      </w:pPr>
      <w:r w:rsidRPr="00E772AD">
        <w:rPr>
          <w:b/>
          <w:bCs/>
        </w:rPr>
        <w:t>Abstract</w:t>
      </w:r>
    </w:p>
    <w:p w14:paraId="7CAD413A" w14:textId="77777777" w:rsidR="00070CF2" w:rsidRPr="00E772AD" w:rsidRDefault="00070CF2" w:rsidP="00070CF2">
      <w:pPr>
        <w:jc w:val="center"/>
        <w:rPr>
          <w:b/>
        </w:rPr>
      </w:pPr>
    </w:p>
    <w:p w14:paraId="1DAC388C" w14:textId="4076F9C9" w:rsidR="00070CF2" w:rsidRPr="00E772AD" w:rsidRDefault="00070CF2" w:rsidP="00070CF2">
      <w:pPr>
        <w:spacing w:line="480" w:lineRule="auto"/>
        <w:contextualSpacing/>
        <w:rPr>
          <w:b/>
        </w:rPr>
      </w:pPr>
      <w:r w:rsidRPr="00E772AD">
        <w:t xml:space="preserve">The present study introduces the concept of </w:t>
      </w:r>
      <w:r w:rsidRPr="00E772AD">
        <w:rPr>
          <w:i/>
          <w:iCs/>
        </w:rPr>
        <w:t>forms of hybridity</w:t>
      </w:r>
      <w:r w:rsidRPr="00E772AD">
        <w:t xml:space="preserve"> as a tool to analyse welfare claimants’ composite experiences with public employment services. </w:t>
      </w:r>
      <w:r w:rsidR="00A73F4C" w:rsidRPr="00E772AD">
        <w:t>In such experiences</w:t>
      </w:r>
      <w:r w:rsidRPr="00E772AD">
        <w:t xml:space="preserve">, the job centre is depicted both as an enforcing </w:t>
      </w:r>
      <w:r w:rsidRPr="00E772AD">
        <w:rPr>
          <w:i/>
          <w:iCs/>
        </w:rPr>
        <w:t>and</w:t>
      </w:r>
      <w:r w:rsidRPr="00E772AD">
        <w:t xml:space="preserve"> a caring institution. The present study demonstrates the usefulness of this conceptual tool by analysing qualitative interviews with Danish social assistance recipients. It shows how the employment system assumes several hybrid forms from the perspective of welfare claimants. The first, the </w:t>
      </w:r>
      <w:proofErr w:type="spellStart"/>
      <w:r w:rsidRPr="00E772AD">
        <w:t>actor</w:t>
      </w:r>
      <w:r w:rsidRPr="00E772AD">
        <w:rPr>
          <w:rFonts w:ascii="Symbol" w:hAnsi="Symbol"/>
        </w:rPr>
        <w:t></w:t>
      </w:r>
      <w:r w:rsidRPr="00E772AD">
        <w:t>based</w:t>
      </w:r>
      <w:proofErr w:type="spellEnd"/>
      <w:r w:rsidRPr="00E772AD">
        <w:t xml:space="preserve"> hybrid form consists of numerous actors where care and enforcement stem from those who participate in the processing of cases. Second, the system/actor-based hybrid form, makes a distinction between an enforcing system and its more caring employees. In the third, a phase-based hybrid form, the participants differentiate between temporal phases of enforcement and phases of care. Our explication of hybrid forms complements the literature by providing a novel means to understand the lived experience of welfare recipients and adds nuance to discussions of social work in activation settings as either enforcing </w:t>
      </w:r>
      <w:r w:rsidRPr="00E772AD">
        <w:rPr>
          <w:i/>
          <w:iCs/>
        </w:rPr>
        <w:t>or</w:t>
      </w:r>
      <w:r w:rsidRPr="00E772AD">
        <w:t xml:space="preserve"> caring.</w:t>
      </w:r>
    </w:p>
    <w:p w14:paraId="73020AAE" w14:textId="77777777" w:rsidR="00070CF2" w:rsidRPr="00E772AD" w:rsidRDefault="00070CF2" w:rsidP="00070CF2">
      <w:pPr>
        <w:spacing w:line="480" w:lineRule="auto"/>
        <w:contextualSpacing/>
        <w:rPr>
          <w:b/>
        </w:rPr>
      </w:pPr>
      <w:r w:rsidRPr="00E772AD">
        <w:rPr>
          <w:b/>
        </w:rPr>
        <w:br w:type="page"/>
      </w:r>
    </w:p>
    <w:p w14:paraId="30609B6A" w14:textId="77777777" w:rsidR="00070CF2" w:rsidRPr="00E772AD" w:rsidRDefault="00070CF2" w:rsidP="00070CF2">
      <w:pPr>
        <w:spacing w:line="480" w:lineRule="auto"/>
        <w:jc w:val="center"/>
        <w:rPr>
          <w:b/>
        </w:rPr>
      </w:pPr>
      <w:r w:rsidRPr="00E772AD">
        <w:rPr>
          <w:b/>
        </w:rPr>
        <w:lastRenderedPageBreak/>
        <w:t>Introduction</w:t>
      </w:r>
    </w:p>
    <w:p w14:paraId="0537020F" w14:textId="77777777" w:rsidR="00070CF2" w:rsidRPr="00E772AD" w:rsidRDefault="00070CF2" w:rsidP="00070CF2">
      <w:pPr>
        <w:tabs>
          <w:tab w:val="left" w:pos="1300"/>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i/>
          <w:iCs/>
        </w:rPr>
      </w:pPr>
      <w:r w:rsidRPr="00E772AD">
        <w:rPr>
          <w:i/>
          <w:iCs/>
        </w:rPr>
        <w:t>Social assistance claimant, talking about a rule stating that he will be sanctioned if he does not work for 225 hours per year:</w:t>
      </w:r>
    </w:p>
    <w:p w14:paraId="2A56B70B" w14:textId="77777777" w:rsidR="00070CF2" w:rsidRPr="00E772AD" w:rsidRDefault="00070CF2" w:rsidP="00070CF2">
      <w:pPr>
        <w:tabs>
          <w:tab w:val="left" w:pos="1300"/>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left="709"/>
      </w:pPr>
      <w:r w:rsidRPr="00E772AD">
        <w:t xml:space="preserve">Both </w:t>
      </w:r>
      <w:proofErr w:type="gramStart"/>
      <w:r w:rsidRPr="00E772AD">
        <w:t>myself and my caseworker</w:t>
      </w:r>
      <w:proofErr w:type="gramEnd"/>
      <w:r w:rsidRPr="00E772AD">
        <w:t xml:space="preserve"> think that it’s a shitty rule. We thought of finding something for me, for instance, a job at McDonalds—just something—so I would have worked enough hours not to be sanctioned. But we just </w:t>
      </w:r>
      <w:proofErr w:type="gramStart"/>
      <w:r w:rsidRPr="00E772AD">
        <w:t>have to</w:t>
      </w:r>
      <w:proofErr w:type="gramEnd"/>
      <w:r w:rsidRPr="00E772AD">
        <w:t xml:space="preserve"> realise that we cannot reach the 225 hours.</w:t>
      </w:r>
    </w:p>
    <w:p w14:paraId="5BB8E04F" w14:textId="0BDEFB03" w:rsidR="00070CF2" w:rsidRPr="00E772AD" w:rsidRDefault="00070CF2" w:rsidP="00070CF2">
      <w:pPr>
        <w:spacing w:line="480" w:lineRule="auto"/>
      </w:pPr>
      <w:r w:rsidRPr="00E772AD">
        <w:tab/>
        <w:t xml:space="preserve">The present study investigates a particular kind of experience, namely, situations where social assistance claimants speak about public employment services as—paradoxically at first glance—being characterised by both enforcement </w:t>
      </w:r>
      <w:r w:rsidRPr="00E772AD">
        <w:rPr>
          <w:i/>
        </w:rPr>
        <w:t xml:space="preserve">and </w:t>
      </w:r>
      <w:r w:rsidRPr="00E772AD">
        <w:t xml:space="preserve">by care. Welfare-to-work policies have over recent decades introduced measures such as activation, sanctioning, and reduced benefits </w:t>
      </w:r>
      <w:proofErr w:type="gramStart"/>
      <w:r w:rsidRPr="00E772AD">
        <w:t>as a way to</w:t>
      </w:r>
      <w:proofErr w:type="gramEnd"/>
      <w:r w:rsidRPr="00E772AD">
        <w:t xml:space="preserve"> move unemployed individuals into work. Several studies have illustrated how these tendencies create considerable tension between institutional norms and the professional values of social workers on the frontline of policy delivery (Dall, 2018; </w:t>
      </w:r>
      <w:proofErr w:type="spellStart"/>
      <w:r w:rsidRPr="00E772AD">
        <w:t>Nothdurfter</w:t>
      </w:r>
      <w:proofErr w:type="spellEnd"/>
      <w:r w:rsidRPr="00E772AD">
        <w:t xml:space="preserve">, 2016; </w:t>
      </w:r>
      <w:proofErr w:type="spellStart"/>
      <w:r w:rsidRPr="00E772AD">
        <w:t>Raeymaeckers</w:t>
      </w:r>
      <w:proofErr w:type="spellEnd"/>
      <w:r w:rsidRPr="00E772AD">
        <w:t xml:space="preserve"> &amp; Dierckx, 2013; van Berkel &amp; van der Aa, 2012). </w:t>
      </w:r>
      <w:r w:rsidR="00416BD9" w:rsidRPr="009F4008">
        <w:t>Thou</w:t>
      </w:r>
      <w:r w:rsidR="00416BD9" w:rsidRPr="00E772AD">
        <w:t xml:space="preserve">gh some studies of less minimal welfare states indicate more mixed experiences (Danneris, 2018; Kampen &amp; </w:t>
      </w:r>
      <w:proofErr w:type="spellStart"/>
      <w:r w:rsidR="00416BD9" w:rsidRPr="00E772AD">
        <w:t>Tonkens</w:t>
      </w:r>
      <w:proofErr w:type="spellEnd"/>
      <w:r w:rsidR="00416BD9" w:rsidRPr="00E772AD">
        <w:t>, 2019; Leseth et al., 2020) several s</w:t>
      </w:r>
      <w:r w:rsidRPr="00E772AD">
        <w:t xml:space="preserve">tudies on the lived experience of </w:t>
      </w:r>
      <w:r w:rsidR="00416BD9" w:rsidRPr="00E772AD">
        <w:t>activation</w:t>
      </w:r>
      <w:r w:rsidRPr="00E772AD">
        <w:t xml:space="preserve"> policies</w:t>
      </w:r>
      <w:r w:rsidR="00416BD9" w:rsidRPr="00E772AD">
        <w:t xml:space="preserve"> </w:t>
      </w:r>
      <w:r w:rsidRPr="00E772AD">
        <w:t>have</w:t>
      </w:r>
      <w:r w:rsidR="00416BD9" w:rsidRPr="00E772AD">
        <w:t xml:space="preserve"> </w:t>
      </w:r>
      <w:r w:rsidRPr="00E772AD">
        <w:t xml:space="preserve">found that support from employment services from the perspective of the claimants tends to disappoint at best and cause devastation at worst (e.g., Dean &amp; Taylor-Gooby, 1993; Dwyer &amp; Wright, 2014; Fletcher &amp; Wright, 2018; Patrick, 2014). </w:t>
      </w:r>
      <w:r w:rsidR="00DF5BD2" w:rsidRPr="00E772AD">
        <w:t>P</w:t>
      </w:r>
      <w:r w:rsidR="00DF5BD2" w:rsidRPr="00E772AD">
        <w:t xml:space="preserve">ublic officials in employment services tend to be portrayed as distant and uninterested (Finn, 2021) and some studies have emphasised how services are characterised by superficiality and limited contact with public officials (consisting mostly of brief encounters with work coaches; Wright &amp; Patrick, 2019). </w:t>
      </w:r>
      <w:r w:rsidRPr="00E772AD">
        <w:t xml:space="preserve">The role of the welfare system in </w:t>
      </w:r>
      <w:r w:rsidR="00A73F4C" w:rsidRPr="00E772AD">
        <w:t>such analyses</w:t>
      </w:r>
      <w:r w:rsidRPr="00E772AD">
        <w:t xml:space="preserve"> is one of enforcement from a distance: it poses </w:t>
      </w:r>
      <w:proofErr w:type="gramStart"/>
      <w:r w:rsidRPr="00E772AD">
        <w:t>ever-existing</w:t>
      </w:r>
      <w:proofErr w:type="gramEnd"/>
      <w:r w:rsidRPr="00E772AD">
        <w:t xml:space="preserve"> </w:t>
      </w:r>
      <w:proofErr w:type="spellStart"/>
      <w:r w:rsidRPr="00E772AD">
        <w:rPr>
          <w:i/>
          <w:iCs/>
        </w:rPr>
        <w:t>throffers</w:t>
      </w:r>
      <w:proofErr w:type="spellEnd"/>
      <w:r w:rsidRPr="00E772AD">
        <w:t xml:space="preserve"> (Lødemel &amp; Trickey, 2001) and provides low rates of benefits that make getting by difficult (Patrick, 2017). It causes anxiety, stigmatises and </w:t>
      </w:r>
      <w:proofErr w:type="gramStart"/>
      <w:r w:rsidRPr="00E772AD">
        <w:rPr>
          <w:i/>
          <w:iCs/>
        </w:rPr>
        <w:t>others</w:t>
      </w:r>
      <w:proofErr w:type="gramEnd"/>
      <w:r w:rsidRPr="00E772AD">
        <w:t xml:space="preserve"> claimants, and uses sophisticated techniques of surveillance (Lister, 2004, 2015; </w:t>
      </w:r>
      <w:proofErr w:type="spellStart"/>
      <w:r w:rsidRPr="00E772AD">
        <w:t>Shildrick</w:t>
      </w:r>
      <w:proofErr w:type="spellEnd"/>
      <w:r w:rsidRPr="00E772AD">
        <w:t xml:space="preserve"> &amp; MacDonald, 2013). Depictions of the forms of agency adhered to by claimants, likewise, typically pinpoint forms of endurance and resistance, thereby suggesting widespread conflicts of interest between the claimant and the system. Lister’s (2015) oft-applied typology distinguishes between getting by, getting out of</w:t>
      </w:r>
      <w:r w:rsidR="00B2430C" w:rsidRPr="00E772AD">
        <w:t>,</w:t>
      </w:r>
      <w:r w:rsidRPr="00E772AD">
        <w:t xml:space="preserve"> getting back at (the system) and getting organised. Wright et al. (2020), similarly, identified different claimant responses to punitive conditionality and found acquiescence, adaption, resistance, and disengagement to be prominent responses.  </w:t>
      </w:r>
    </w:p>
    <w:p w14:paraId="5E822332" w14:textId="347FBAE6" w:rsidR="00070CF2" w:rsidRPr="00E772AD" w:rsidRDefault="00070CF2" w:rsidP="00070CF2">
      <w:pPr>
        <w:spacing w:line="480" w:lineRule="auto"/>
      </w:pPr>
      <w:r w:rsidRPr="00E772AD">
        <w:tab/>
      </w:r>
      <w:proofErr w:type="gramStart"/>
      <w:r w:rsidRPr="00E772AD">
        <w:t>Needless to say, such</w:t>
      </w:r>
      <w:proofErr w:type="gramEnd"/>
      <w:r w:rsidRPr="00E772AD">
        <w:t xml:space="preserve"> findings must be understood in light of broader macro-level transformations of the employment service systems in most OECD countries during the past decades. Numerous welfare-to-work policy reforms have gradually introduced new forms of conditionality and activation (Lødemel &amp; Moreira, 2014), though different countries have turned towards different activation strategies (</w:t>
      </w:r>
      <w:bookmarkStart w:id="0" w:name="_Hlk93915242"/>
      <w:r w:rsidRPr="00E772AD">
        <w:t>van Berkel et al., 2017</w:t>
      </w:r>
      <w:bookmarkEnd w:id="0"/>
      <w:r w:rsidRPr="00E772AD">
        <w:t xml:space="preserve">). Much of the literature (see Hansen, 2017 for an overview) has distinguished between two policy approaches to activation: on the one hand, such policies can be </w:t>
      </w:r>
      <w:r w:rsidRPr="00E772AD">
        <w:rPr>
          <w:i/>
          <w:iCs/>
        </w:rPr>
        <w:t>hard</w:t>
      </w:r>
      <w:r w:rsidRPr="00E772AD">
        <w:t xml:space="preserve">, that is, based on disciplinary quid-pro-quo programmes, financial sanctions, and the widespread use of benefit reductions to incentivise claimants to leave the system. On the other hand, </w:t>
      </w:r>
      <w:r w:rsidRPr="00E772AD">
        <w:rPr>
          <w:i/>
          <w:iCs/>
        </w:rPr>
        <w:t>soft</w:t>
      </w:r>
      <w:r w:rsidRPr="00E772AD">
        <w:t xml:space="preserve"> policies strive to enhance the human capital of the unemployed by investing in their competencies, attempting to empower them, and encouraging them to attend courses. Dichotomies are useful tools for grasping policy developments across countries. However, they can also contribute to the construction or enhancement of a conceptual opposition between hard and soft logics as mutually exclusive and hence downplay important questions of how such logics co-exist and intertwine in practical terms (Nielsen, 2021). Several recent empirical cross-country studies of activation policies have questioned the meaningfulness of working with homogenous dichotomies and boxes and describe social and employment systems more in terms of fuzziness, composite arrangements, or hybrids (Aurich, 2011; Hansen, 2017; van Berkel et al., 2011). The present study conceptualises such heterogeneity as it is experienced by vulnerable welfare claimants. To them, the public unemployment system sometimes appears as a hybrid of mixed elements. The introductory quote shows how a claimant describes how he and</w:t>
      </w:r>
      <w:r w:rsidRPr="00E772AD">
        <w:rPr>
          <w:i/>
          <w:iCs/>
        </w:rPr>
        <w:t xml:space="preserve"> </w:t>
      </w:r>
      <w:r w:rsidRPr="00E772AD">
        <w:t xml:space="preserve">his caseworker stand united </w:t>
      </w:r>
      <w:r w:rsidR="007D4FB1" w:rsidRPr="00E772AD">
        <w:t xml:space="preserve">against the system as they </w:t>
      </w:r>
      <w:r w:rsidRPr="00E772AD">
        <w:t xml:space="preserve">strive to avoid ‘a shitty rule.’ We introduce the notion of hybridity to the literature of lived experience of welfare to understand </w:t>
      </w:r>
      <w:r w:rsidR="00A73F4C" w:rsidRPr="00E772AD">
        <w:t>such experiences</w:t>
      </w:r>
      <w:r w:rsidRPr="00E772AD">
        <w:t>. We also suggest that hybrid experiences of the job centres point to more diverse forms of agency amongst claimants than appear in the literature.</w:t>
      </w:r>
    </w:p>
    <w:p w14:paraId="418D0F9A" w14:textId="0EA6B7D0" w:rsidR="00070CF2" w:rsidRPr="00E772AD" w:rsidRDefault="00070CF2" w:rsidP="00070CF2">
      <w:pPr>
        <w:spacing w:line="480" w:lineRule="auto"/>
      </w:pPr>
      <w:r w:rsidRPr="00E772AD">
        <w:tab/>
        <w:t>The empirical material for our investigation consist</w:t>
      </w:r>
      <w:r w:rsidR="00A73F4C" w:rsidRPr="00E772AD">
        <w:t>s</w:t>
      </w:r>
      <w:r w:rsidRPr="00E772AD">
        <w:t xml:space="preserve"> of qualitative interviews with 42 vulnerable Danish social assistance recipients. Twenty-eight were interviewed individually and 14 during four group interviews. Our transcripts contain numerous paragraphs where informants present certain parts of the employment service system as caring and others as enforcing. The analysis concentrat</w:t>
      </w:r>
      <w:r w:rsidR="00B2430C" w:rsidRPr="00E772AD">
        <w:t>es</w:t>
      </w:r>
      <w:r w:rsidRPr="00E772AD">
        <w:t xml:space="preserve"> solely on those paragraphs to identify hybrid forms.</w:t>
      </w:r>
    </w:p>
    <w:p w14:paraId="5B9C6A00" w14:textId="4AD0D82B" w:rsidR="00070CF2" w:rsidRPr="00E772AD" w:rsidRDefault="00070CF2" w:rsidP="00070CF2">
      <w:pPr>
        <w:spacing w:line="480" w:lineRule="auto"/>
      </w:pPr>
      <w:r w:rsidRPr="00E772AD">
        <w:tab/>
      </w:r>
      <w:r w:rsidR="00416BD9" w:rsidRPr="00E772AD">
        <w:t>In general, h</w:t>
      </w:r>
      <w:r w:rsidRPr="00E772AD">
        <w:t xml:space="preserve">ybridity refers to a phenomenon that comprises different elements. It is widely used in the literature on public sector governance to </w:t>
      </w:r>
      <w:r w:rsidR="00A73F4C" w:rsidRPr="00E772AD">
        <w:t>analyse</w:t>
      </w:r>
      <w:r w:rsidRPr="00E772AD">
        <w:t xml:space="preserve"> </w:t>
      </w:r>
      <w:r w:rsidR="00A73F4C" w:rsidRPr="00E772AD">
        <w:t xml:space="preserve">how </w:t>
      </w:r>
      <w:r w:rsidRPr="00E772AD">
        <w:t xml:space="preserve">public sectors are permeated by several prominent governance logics (Denis et al., 2015; </w:t>
      </w:r>
      <w:proofErr w:type="spellStart"/>
      <w:r w:rsidRPr="00E772AD">
        <w:t>Fossestøl</w:t>
      </w:r>
      <w:proofErr w:type="spellEnd"/>
      <w:r w:rsidRPr="00E772AD">
        <w:t xml:space="preserve"> et al., 2015,). </w:t>
      </w:r>
      <w:r w:rsidR="00751C07" w:rsidRPr="00E772AD">
        <w:t>For instance, n</w:t>
      </w:r>
      <w:r w:rsidRPr="00E772AD">
        <w:t xml:space="preserve">umerous studies have pointed out how public sectors are characterised by a mix of classical public administration principles, logics of new public management, and logics of new public governance (Christensen </w:t>
      </w:r>
      <w:r w:rsidR="00A73F4C" w:rsidRPr="00E772AD">
        <w:t>&amp; Lægreid</w:t>
      </w:r>
      <w:r w:rsidRPr="00E772AD">
        <w:t>, 2011; Sønderskov &amp; Rønning, 202</w:t>
      </w:r>
      <w:r w:rsidR="00A73F4C" w:rsidRPr="00E772AD">
        <w:t>1</w:t>
      </w:r>
      <w:r w:rsidRPr="00E772AD">
        <w:t xml:space="preserve">). </w:t>
      </w:r>
    </w:p>
    <w:p w14:paraId="1A9B60C9" w14:textId="3259C2A1" w:rsidR="00070CF2" w:rsidRPr="00E772AD" w:rsidRDefault="00070CF2" w:rsidP="00070CF2">
      <w:pPr>
        <w:spacing w:line="480" w:lineRule="auto"/>
      </w:pPr>
      <w:r w:rsidRPr="00E772AD">
        <w:tab/>
      </w:r>
      <w:r w:rsidR="00751C07" w:rsidRPr="00E772AD">
        <w:t xml:space="preserve">However, the concept of hybridity </w:t>
      </w:r>
      <w:r w:rsidR="000E0751" w:rsidRPr="00E772AD">
        <w:t xml:space="preserve">is also useful for understanding </w:t>
      </w:r>
      <w:proofErr w:type="gramStart"/>
      <w:r w:rsidR="000E0751" w:rsidRPr="00E772AD">
        <w:t>claimants</w:t>
      </w:r>
      <w:proofErr w:type="gramEnd"/>
      <w:r w:rsidR="000E0751" w:rsidRPr="00E772AD">
        <w:t xml:space="preserve"> composite experiences with employment services. </w:t>
      </w:r>
      <w:r w:rsidRPr="00E772AD">
        <w:t xml:space="preserve">The notion of different hybrid </w:t>
      </w:r>
      <w:r w:rsidRPr="00E772AD">
        <w:rPr>
          <w:i/>
          <w:iCs/>
        </w:rPr>
        <w:t>forms</w:t>
      </w:r>
      <w:r w:rsidRPr="00E772AD">
        <w:t xml:space="preserve"> </w:t>
      </w:r>
      <w:r w:rsidR="00B2430C" w:rsidRPr="00E772AD">
        <w:t>is</w:t>
      </w:r>
      <w:r w:rsidRPr="00E772AD">
        <w:t xml:space="preserve"> especially useful for our endeavour. </w:t>
      </w:r>
      <w:r w:rsidR="000E0751" w:rsidRPr="00E772AD">
        <w:t>Forms</w:t>
      </w:r>
      <w:r w:rsidRPr="00E772AD">
        <w:t xml:space="preserve"> refers to the </w:t>
      </w:r>
      <w:r w:rsidR="00A73F4C" w:rsidRPr="00E772AD">
        <w:t xml:space="preserve">variety of </w:t>
      </w:r>
      <w:r w:rsidRPr="00E772AD">
        <w:t>way</w:t>
      </w:r>
      <w:r w:rsidR="00A73F4C" w:rsidRPr="00E772AD">
        <w:t>s in which</w:t>
      </w:r>
      <w:r w:rsidRPr="00E772AD">
        <w:t xml:space="preserve"> different logics </w:t>
      </w:r>
      <w:r w:rsidR="00A73F4C" w:rsidRPr="00E772AD">
        <w:t xml:space="preserve">can </w:t>
      </w:r>
      <w:r w:rsidRPr="00E772AD">
        <w:t>co-exist (Skelcher &amp; Smith, 2015)</w:t>
      </w:r>
      <w:r w:rsidR="000E0751" w:rsidRPr="00E772AD">
        <w:t>:</w:t>
      </w:r>
      <w:r w:rsidRPr="00E772AD">
        <w:t xml:space="preserve"> Logics may be equally important, or one logic may predominate. An existing hybrid might be stable and robust or—contrarily—unstable and transitional (Polzer et al., 2016</w:t>
      </w:r>
      <w:r w:rsidR="007D4FB1" w:rsidRPr="00E772AD">
        <w:t xml:space="preserve">; </w:t>
      </w:r>
      <w:r w:rsidRPr="00E772AD">
        <w:t xml:space="preserve">Kraatz &amp; Block, 2008; Skelcher &amp; Smith, 2015). Thus, </w:t>
      </w:r>
      <w:r w:rsidR="00751C07" w:rsidRPr="00E772AD">
        <w:t>the mere concept of forms of hybridity invites researchers</w:t>
      </w:r>
      <w:r w:rsidRPr="00E772AD">
        <w:t xml:space="preserve"> </w:t>
      </w:r>
      <w:r w:rsidR="00751C07" w:rsidRPr="00E772AD">
        <w:t>to investigate how logics</w:t>
      </w:r>
      <w:r w:rsidRPr="00E772AD">
        <w:t xml:space="preserve"> co-exist, how boundaries are drawn between them, and how co-existence has several variants. </w:t>
      </w:r>
    </w:p>
    <w:p w14:paraId="55DCD03E" w14:textId="69485CB4" w:rsidR="00070CF2" w:rsidRPr="00E772AD" w:rsidRDefault="00070CF2" w:rsidP="00070CF2">
      <w:pPr>
        <w:spacing w:line="480" w:lineRule="auto"/>
      </w:pPr>
      <w:r w:rsidRPr="00E772AD">
        <w:tab/>
        <w:t>The key question we s</w:t>
      </w:r>
      <w:r w:rsidR="000E0751" w:rsidRPr="00E772AD">
        <w:t>eek</w:t>
      </w:r>
      <w:r w:rsidRPr="00E772AD">
        <w:t xml:space="preserve"> to answer </w:t>
      </w:r>
      <w:r w:rsidR="000E0751" w:rsidRPr="00E772AD">
        <w:t xml:space="preserve">is </w:t>
      </w:r>
      <w:r w:rsidRPr="00E772AD">
        <w:t>what forms of hybridity the employment system assume</w:t>
      </w:r>
      <w:r w:rsidR="000E0751" w:rsidRPr="00E772AD">
        <w:t>s</w:t>
      </w:r>
      <w:r w:rsidRPr="00E772AD">
        <w:t xml:space="preserve"> from the perspective of claimants. Developing analytical tools to grasp their composite experiences can pave the way for more nuanced descriptions of what the employment system </w:t>
      </w:r>
      <w:r w:rsidRPr="00E772AD">
        <w:rPr>
          <w:i/>
          <w:iCs/>
        </w:rPr>
        <w:t>is</w:t>
      </w:r>
      <w:r w:rsidRPr="00E772AD">
        <w:t xml:space="preserve"> from the position of the claimant, thus providing important insights for social workers (and social work researchers) seeking to balance enforcement and care in their everyday practice (Dall, 2018). In particular, we refer to hybrids when informants depict job centres as having </w:t>
      </w:r>
      <w:proofErr w:type="gramStart"/>
      <w:r w:rsidRPr="00E772AD">
        <w:t>caring</w:t>
      </w:r>
      <w:proofErr w:type="gramEnd"/>
      <w:r w:rsidRPr="00E772AD">
        <w:t xml:space="preserve"> </w:t>
      </w:r>
      <w:r w:rsidRPr="00E772AD">
        <w:rPr>
          <w:i/>
          <w:iCs/>
        </w:rPr>
        <w:t>and</w:t>
      </w:r>
      <w:r w:rsidRPr="00E772AD">
        <w:t xml:space="preserve"> enforcing elements (see Zacka, 2018). Two different logics</w:t>
      </w:r>
      <w:r w:rsidR="000E0751" w:rsidRPr="00E772AD">
        <w:t>, thereby,</w:t>
      </w:r>
      <w:r w:rsidRPr="00E772AD">
        <w:t xml:space="preserve"> blend within the institution. In such instances, the </w:t>
      </w:r>
      <w:r w:rsidR="000E0751" w:rsidRPr="00E772AD">
        <w:t>informants</w:t>
      </w:r>
      <w:r w:rsidRPr="00E772AD">
        <w:t xml:space="preserve"> tend to describe specific forms of hybridity, that is, </w:t>
      </w:r>
      <w:proofErr w:type="gramStart"/>
      <w:r w:rsidRPr="00E772AD">
        <w:t>particular ways</w:t>
      </w:r>
      <w:proofErr w:type="gramEnd"/>
      <w:r w:rsidRPr="00E772AD">
        <w:t xml:space="preserve"> of drawing boundaries to separate aspects of care from those of enforcement. </w:t>
      </w:r>
      <w:r w:rsidR="00C47002" w:rsidRPr="00E772AD">
        <w:t>First and foremost, an analytical focus on forms of hybrid experiences enable</w:t>
      </w:r>
      <w:r w:rsidR="000E5F99" w:rsidRPr="00E772AD">
        <w:t>s</w:t>
      </w:r>
      <w:r w:rsidR="00C47002" w:rsidRPr="00E772AD">
        <w:t xml:space="preserve"> us to look for and to conceptualize experiences which are </w:t>
      </w:r>
      <w:r w:rsidR="000E5F99" w:rsidRPr="00E772AD">
        <w:t xml:space="preserve">heterogenous and composite. </w:t>
      </w:r>
      <w:r w:rsidR="005C1D42" w:rsidRPr="00E772AD">
        <w:t>Thus, i</w:t>
      </w:r>
      <w:r w:rsidR="000E5F99" w:rsidRPr="00E772AD">
        <w:t xml:space="preserve">t </w:t>
      </w:r>
      <w:r w:rsidR="005C1D42" w:rsidRPr="00E772AD">
        <w:t>permits</w:t>
      </w:r>
      <w:r w:rsidR="000E5F99" w:rsidRPr="00E772AD">
        <w:t xml:space="preserve"> us to draw experiences to the front of analysis, </w:t>
      </w:r>
      <w:r w:rsidR="00BC3780" w:rsidRPr="00E772AD">
        <w:t>that</w:t>
      </w:r>
      <w:r w:rsidR="000E5F99" w:rsidRPr="00E772AD">
        <w:t xml:space="preserve"> might otherwise </w:t>
      </w:r>
      <w:r w:rsidR="00BC3780" w:rsidRPr="00E772AD">
        <w:t>go by unnoticed</w:t>
      </w:r>
      <w:r w:rsidR="000E5F99" w:rsidRPr="00E772AD">
        <w:t xml:space="preserve">. </w:t>
      </w:r>
      <w:r w:rsidR="000E0751" w:rsidRPr="00E772AD">
        <w:t xml:space="preserve">Those forms of hybrid experiences </w:t>
      </w:r>
      <w:r w:rsidR="00C47002" w:rsidRPr="00E772AD">
        <w:t xml:space="preserve">constitute the object of analysis for this article. </w:t>
      </w:r>
    </w:p>
    <w:p w14:paraId="132DB078" w14:textId="7A0FF903" w:rsidR="00070CF2" w:rsidRPr="00E772AD" w:rsidRDefault="00070CF2" w:rsidP="00070CF2">
      <w:pPr>
        <w:spacing w:line="480" w:lineRule="auto"/>
      </w:pPr>
      <w:r w:rsidRPr="00E772AD">
        <w:tab/>
      </w:r>
      <w:r w:rsidR="00A73F4C" w:rsidRPr="00E772AD">
        <w:t xml:space="preserve">At this stage, two things are particularly important to </w:t>
      </w:r>
      <w:r w:rsidR="00C47002" w:rsidRPr="00E772AD">
        <w:t>clarify</w:t>
      </w:r>
      <w:r w:rsidR="00A73F4C" w:rsidRPr="00E772AD">
        <w:t xml:space="preserve">. First, the concern of the article is not with analysing what the job centre </w:t>
      </w:r>
      <w:proofErr w:type="gramStart"/>
      <w:r w:rsidR="00A73F4C" w:rsidRPr="00E772AD">
        <w:rPr>
          <w:i/>
          <w:iCs/>
        </w:rPr>
        <w:t xml:space="preserve">actually </w:t>
      </w:r>
      <w:r w:rsidR="00A73F4C" w:rsidRPr="00E772AD">
        <w:t>is</w:t>
      </w:r>
      <w:proofErr w:type="gramEnd"/>
      <w:r w:rsidR="00A73F4C" w:rsidRPr="00E772AD">
        <w:t xml:space="preserve"> or how it perceives itself. Our interest is solely with analysing how claimants perceive the job centre when they account for their situation. Second, the concern of the article is not with deciding whether claimants find job centres to be mostly disciplinary enforcers </w:t>
      </w:r>
      <w:r w:rsidR="00A73F4C" w:rsidRPr="00E772AD">
        <w:rPr>
          <w:i/>
          <w:iCs/>
        </w:rPr>
        <w:t>or</w:t>
      </w:r>
      <w:r w:rsidR="00A73F4C" w:rsidRPr="00E772AD">
        <w:t xml:space="preserve"> helpful caregivers. </w:t>
      </w:r>
      <w:r w:rsidRPr="00E772AD">
        <w:t xml:space="preserve">Instead, full analytical attention </w:t>
      </w:r>
      <w:r w:rsidR="005C1D42" w:rsidRPr="00E772AD">
        <w:t>is</w:t>
      </w:r>
      <w:r w:rsidRPr="00E772AD">
        <w:t xml:space="preserve"> given to situations where the two interact.  </w:t>
      </w:r>
    </w:p>
    <w:p w14:paraId="5AD7AC2E" w14:textId="77777777" w:rsidR="00070CF2" w:rsidRPr="00E772AD" w:rsidRDefault="00070CF2" w:rsidP="00070CF2">
      <w:pPr>
        <w:spacing w:line="480" w:lineRule="auto"/>
      </w:pPr>
      <w:r w:rsidRPr="00E772AD">
        <w:tab/>
        <w:t>In the following part of the study, we introduce the Danish context. Thereafter, we describe the empirical data and the analytical strategy. In the final sections, we present the three different hybrids and discuss avenues for further research.</w:t>
      </w:r>
    </w:p>
    <w:p w14:paraId="1EF55095" w14:textId="77777777" w:rsidR="00070CF2" w:rsidRPr="00E772AD" w:rsidRDefault="00070CF2" w:rsidP="00070CF2">
      <w:pPr>
        <w:spacing w:line="480" w:lineRule="auto"/>
        <w:jc w:val="center"/>
        <w:rPr>
          <w:b/>
          <w:bCs/>
        </w:rPr>
      </w:pPr>
    </w:p>
    <w:p w14:paraId="44211EDF" w14:textId="77777777" w:rsidR="00070CF2" w:rsidRPr="00E772AD" w:rsidRDefault="00070CF2" w:rsidP="00070CF2">
      <w:pPr>
        <w:spacing w:line="480" w:lineRule="auto"/>
        <w:jc w:val="center"/>
        <w:rPr>
          <w:b/>
          <w:bCs/>
        </w:rPr>
      </w:pPr>
      <w:r w:rsidRPr="00E772AD">
        <w:rPr>
          <w:b/>
          <w:bCs/>
        </w:rPr>
        <w:t>The Danish Context of Welfare-to-Work</w:t>
      </w:r>
    </w:p>
    <w:p w14:paraId="45AA3A70" w14:textId="2396BDDB" w:rsidR="00070CF2" w:rsidRPr="00E772AD" w:rsidRDefault="00070CF2" w:rsidP="00070CF2">
      <w:pPr>
        <w:spacing w:line="480" w:lineRule="auto"/>
      </w:pPr>
      <w:r w:rsidRPr="00E772AD">
        <w:tab/>
        <w:t xml:space="preserve">Having </w:t>
      </w:r>
      <w:r w:rsidRPr="00E772AD">
        <w:rPr>
          <w:iCs/>
        </w:rPr>
        <w:t xml:space="preserve">relatively </w:t>
      </w:r>
      <w:r w:rsidRPr="00E772AD">
        <w:t>generous benefit rates,</w:t>
      </w:r>
      <w:r w:rsidRPr="00E772AD">
        <w:rPr>
          <w:rStyle w:val="Fodnotehenvisning"/>
        </w:rPr>
        <w:footnoteReference w:id="1"/>
      </w:r>
      <w:r w:rsidRPr="00E772AD">
        <w:t xml:space="preserve"> being amongst the OECD countries with the very highest expenditure on public employment services,</w:t>
      </w:r>
      <w:r w:rsidRPr="00E772AD">
        <w:rPr>
          <w:rStyle w:val="Fodnotehenvisning"/>
        </w:rPr>
        <w:footnoteReference w:id="2"/>
      </w:r>
      <w:r w:rsidRPr="00E772AD">
        <w:t xml:space="preserve"> and stressing </w:t>
      </w:r>
      <w:r w:rsidRPr="00E772AD">
        <w:rPr>
          <w:i/>
          <w:iCs/>
        </w:rPr>
        <w:t>soft</w:t>
      </w:r>
      <w:r w:rsidRPr="00E772AD">
        <w:t xml:space="preserve"> human capital enhancing policy elements more than most countries, Denmark differs from the states analysed by the studies referred to in the introduction. Yet, while unemployed persons’ experiences of disappointment, stigmatisation, threats, and financial hardship are less evident than they are in, for example, the United Kingdom (Larsen &amp; Dejgaard, 2013) they nevertheless are apparent (Danneris, 2018; Pultz, 2018). </w:t>
      </w:r>
      <w:r w:rsidRPr="00E772AD">
        <w:rPr>
          <w:i/>
          <w:iCs/>
        </w:rPr>
        <w:t>Hard</w:t>
      </w:r>
      <w:r w:rsidRPr="00E772AD">
        <w:t xml:space="preserve"> elements such as quid-pro-quo programmes, benefit reductions, and sanctions were introduced in the early 2000s as parts of the active turn in Denmark, and the scope of active labour market policies has been considerably broadened to include new groups of claimants (Larsen &amp; Andersen, 2018</w:t>
      </w:r>
      <w:r w:rsidR="00B2430C" w:rsidRPr="00E772AD">
        <w:t>; Hansen &amp; Nielsen, 2021</w:t>
      </w:r>
      <w:r w:rsidRPr="00E772AD">
        <w:t xml:space="preserve">). </w:t>
      </w:r>
    </w:p>
    <w:p w14:paraId="6B417CF8" w14:textId="461D5F05" w:rsidR="00A73F4C" w:rsidRPr="00E772AD" w:rsidRDefault="00070CF2" w:rsidP="00A73F4C">
      <w:pPr>
        <w:spacing w:line="480" w:lineRule="auto"/>
      </w:pPr>
      <w:r w:rsidRPr="00E772AD">
        <w:tab/>
      </w:r>
      <w:r w:rsidR="00A73F4C" w:rsidRPr="00E772AD">
        <w:t xml:space="preserve">Evidence from recent qualitative studies taking the perspective of Danish claimants’ points to experiences that are somewhat muddy. The trajectories of unemployed claimants contain experiences of being helped and of moving forward </w:t>
      </w:r>
      <w:r w:rsidR="00A73F4C" w:rsidRPr="00E772AD">
        <w:rPr>
          <w:i/>
        </w:rPr>
        <w:t>combined with</w:t>
      </w:r>
      <w:r w:rsidR="00A73F4C" w:rsidRPr="00E772AD">
        <w:t xml:space="preserve"> experiences of meaninglessness and absurdities (Pultz et al., 2021). Though being heavily regulated by laws characterised by conditionality, several municipalities actively strive to position claimants as co-creators, whose visions are formative for the processing of their case (Larsen &amp; Caswell, 2020).  </w:t>
      </w:r>
    </w:p>
    <w:p w14:paraId="7DEF2D4B" w14:textId="48DAA116" w:rsidR="00070CF2" w:rsidRPr="00E772AD" w:rsidRDefault="00070CF2" w:rsidP="00070CF2">
      <w:pPr>
        <w:spacing w:line="480" w:lineRule="auto"/>
      </w:pPr>
      <w:r w:rsidRPr="00E772AD">
        <w:tab/>
        <w:t xml:space="preserve">Many claimant trajectories contain phases of progress as well as stagnation and deterioration (Danneris, 2018). Waiting times are experienced by some as uncertain whereas others experience </w:t>
      </w:r>
      <w:r w:rsidRPr="00E772AD">
        <w:rPr>
          <w:i/>
          <w:iCs/>
        </w:rPr>
        <w:t>temporal agency</w:t>
      </w:r>
      <w:r w:rsidRPr="00E772AD">
        <w:t xml:space="preserve"> and see them as meaningful and useful (Nielsen et al., 2021). Experiences of meaningfulness and progress seem more likely to occur when a claimant’s wish to remove themselves from the system aligns with the institutional framework of the caseworker </w:t>
      </w:r>
      <w:r w:rsidR="00A73F4C" w:rsidRPr="00E772AD">
        <w:t xml:space="preserve">and focuses on </w:t>
      </w:r>
      <w:r w:rsidRPr="00E772AD">
        <w:t xml:space="preserve">labour market participation (Danneris &amp; Caswell, 2019; Nielsen, 2019).  </w:t>
      </w:r>
    </w:p>
    <w:p w14:paraId="5BA98C08" w14:textId="17BAAFF3" w:rsidR="00070CF2" w:rsidRPr="00E772AD" w:rsidRDefault="00070CF2" w:rsidP="00070CF2">
      <w:pPr>
        <w:spacing w:line="480" w:lineRule="auto"/>
      </w:pPr>
      <w:r w:rsidRPr="00E772AD">
        <w:rPr>
          <w:b/>
          <w:bCs/>
        </w:rPr>
        <w:t>Data and Methods</w:t>
      </w:r>
      <w:r w:rsidRPr="00E772AD">
        <w:rPr>
          <w:b/>
          <w:bCs/>
        </w:rPr>
        <w:br/>
      </w:r>
      <w:r w:rsidRPr="00E772AD">
        <w:tab/>
      </w:r>
      <w:commentRangeStart w:id="1"/>
      <w:r w:rsidRPr="00E772AD">
        <w:t>We combine data from focus group sessions (</w:t>
      </w:r>
      <w:r w:rsidRPr="00E772AD">
        <w:rPr>
          <w:i/>
          <w:iCs/>
        </w:rPr>
        <w:t>n</w:t>
      </w:r>
      <w:r w:rsidRPr="00E772AD">
        <w:t xml:space="preserve"> = 14) and individual interviews (</w:t>
      </w:r>
      <w:r w:rsidRPr="00E772AD">
        <w:rPr>
          <w:i/>
          <w:iCs/>
        </w:rPr>
        <w:t>n</w:t>
      </w:r>
      <w:r w:rsidRPr="00E772AD">
        <w:t xml:space="preserve"> = 28) with 42 claimants (24 of whom </w:t>
      </w:r>
      <w:r w:rsidR="00A11C4A" w:rsidRPr="00E772AD">
        <w:t>are</w:t>
      </w:r>
      <w:r w:rsidRPr="00E772AD">
        <w:t xml:space="preserve"> men). </w:t>
      </w:r>
      <w:proofErr w:type="gramStart"/>
      <w:r w:rsidR="001C6B3A" w:rsidRPr="00E772AD">
        <w:t>All of</w:t>
      </w:r>
      <w:proofErr w:type="gramEnd"/>
      <w:r w:rsidR="001C6B3A" w:rsidRPr="00E772AD">
        <w:t xml:space="preserve"> the</w:t>
      </w:r>
      <w:r w:rsidR="002141A1" w:rsidRPr="00E772AD">
        <w:t xml:space="preserve"> recruited participants</w:t>
      </w:r>
      <w:r w:rsidR="001C6B3A" w:rsidRPr="00E772AD">
        <w:t xml:space="preserve"> </w:t>
      </w:r>
      <w:r w:rsidR="00292BE8" w:rsidRPr="00E772AD">
        <w:t>are</w:t>
      </w:r>
      <w:r w:rsidR="001C6B3A" w:rsidRPr="00E772AD">
        <w:t xml:space="preserve"> vulnerable </w:t>
      </w:r>
      <w:r w:rsidR="002141A1" w:rsidRPr="00E772AD">
        <w:t xml:space="preserve">social assistance </w:t>
      </w:r>
      <w:r w:rsidR="001C6B3A" w:rsidRPr="00E772AD">
        <w:t xml:space="preserve">claimants, who </w:t>
      </w:r>
      <w:r w:rsidR="00A11C4A" w:rsidRPr="00E772AD">
        <w:t>are</w:t>
      </w:r>
      <w:r w:rsidR="001C6B3A" w:rsidRPr="00E772AD">
        <w:t xml:space="preserve"> </w:t>
      </w:r>
      <w:r w:rsidR="001C6B3A" w:rsidRPr="00E772AD">
        <w:rPr>
          <w:i/>
          <w:iCs/>
        </w:rPr>
        <w:t>not</w:t>
      </w:r>
      <w:r w:rsidR="001C6B3A" w:rsidRPr="00E772AD">
        <w:t xml:space="preserve"> officially categorised as ready for labour market participation.</w:t>
      </w:r>
      <w:r w:rsidR="002141A1" w:rsidRPr="00E772AD">
        <w:t xml:space="preserve"> In Denmark, claimants who are not categorized as ready to work, constitute by far the largest group of social assistance recipients. </w:t>
      </w:r>
      <w:r w:rsidR="0043036A" w:rsidRPr="00E772AD">
        <w:t xml:space="preserve">We recruited vulnerable claimants </w:t>
      </w:r>
      <w:r w:rsidR="00E22980" w:rsidRPr="00E772AD">
        <w:t>exactly because we wanted to map complex and hybrid experiences:</w:t>
      </w:r>
      <w:r w:rsidR="002141A1" w:rsidRPr="00E772AD">
        <w:t xml:space="preserve"> First, </w:t>
      </w:r>
      <w:r w:rsidR="001F32B2" w:rsidRPr="00E772AD">
        <w:t xml:space="preserve">the cases </w:t>
      </w:r>
      <w:r w:rsidR="00E22980" w:rsidRPr="00E772AD">
        <w:t xml:space="preserve">of vulnerable </w:t>
      </w:r>
      <w:r w:rsidR="001F32B2" w:rsidRPr="00E772AD">
        <w:t xml:space="preserve">are often quite complicated and they often encounter numerous different system representatives, </w:t>
      </w:r>
      <w:r w:rsidR="00E22980" w:rsidRPr="00E772AD">
        <w:t xml:space="preserve">who all seek to </w:t>
      </w:r>
      <w:r w:rsidR="001F32B2" w:rsidRPr="00E772AD">
        <w:t>contribut</w:t>
      </w:r>
      <w:r w:rsidR="00E22980" w:rsidRPr="00E772AD">
        <w:t>e</w:t>
      </w:r>
      <w:r w:rsidR="001F32B2" w:rsidRPr="00E772AD">
        <w:t xml:space="preserve"> to the processing of their case. Second, on average they receive social assistance</w:t>
      </w:r>
      <w:r w:rsidR="00E22980" w:rsidRPr="00E772AD">
        <w:t xml:space="preserve"> for a</w:t>
      </w:r>
      <w:r w:rsidR="001F32B2" w:rsidRPr="00E772AD">
        <w:t xml:space="preserve"> much longer </w:t>
      </w:r>
      <w:proofErr w:type="gramStart"/>
      <w:r w:rsidR="00E22980" w:rsidRPr="00E772AD">
        <w:t>period of time</w:t>
      </w:r>
      <w:proofErr w:type="gramEnd"/>
      <w:r w:rsidR="00E22980" w:rsidRPr="00E772AD">
        <w:t xml:space="preserve"> </w:t>
      </w:r>
      <w:r w:rsidR="001F32B2" w:rsidRPr="00E772AD">
        <w:t>than claimants who are ready to work</w:t>
      </w:r>
      <w:commentRangeEnd w:id="1"/>
      <w:r w:rsidR="00B54A02" w:rsidRPr="00E772AD">
        <w:rPr>
          <w:rStyle w:val="Kommentarhenvisning"/>
          <w:rFonts w:eastAsiaTheme="minorHAnsi" w:cstheme="minorBidi"/>
        </w:rPr>
        <w:commentReference w:id="1"/>
      </w:r>
      <w:commentRangeStart w:id="2"/>
      <w:commentRangeStart w:id="3"/>
      <w:r w:rsidR="001F32B2" w:rsidRPr="00E772AD">
        <w:t>.</w:t>
      </w:r>
      <w:r w:rsidR="00E22980" w:rsidRPr="00E772AD">
        <w:t xml:space="preserve"> </w:t>
      </w:r>
      <w:r w:rsidRPr="00E772AD">
        <w:t xml:space="preserve">The youngest </w:t>
      </w:r>
      <w:r w:rsidR="00A11C4A" w:rsidRPr="00E772AD">
        <w:t>was</w:t>
      </w:r>
      <w:r w:rsidRPr="00E772AD">
        <w:t xml:space="preserve"> in his early ’20s and the oldest </w:t>
      </w:r>
      <w:r w:rsidR="00A11C4A" w:rsidRPr="00E772AD">
        <w:t>was</w:t>
      </w:r>
      <w:r w:rsidRPr="00E772AD">
        <w:t xml:space="preserve"> in her ’60s. Eight </w:t>
      </w:r>
      <w:r w:rsidR="00A11C4A" w:rsidRPr="00E772AD">
        <w:t>were</w:t>
      </w:r>
      <w:r w:rsidRPr="00E772AD">
        <w:t xml:space="preserve"> below 30 years of age and were therefore formally categorised as young unemployed (see Danneris &amp; Nielsen, 2018).</w:t>
      </w:r>
      <w:r w:rsidR="001C6B3A" w:rsidRPr="00E772AD">
        <w:t xml:space="preserve"> </w:t>
      </w:r>
      <w:r w:rsidRPr="00E772AD">
        <w:t xml:space="preserve">Most of the participants announced that they struggle with problems other than just unemployment (e.g., such as mental or physical illnesses, addiction, or homelessness). </w:t>
      </w:r>
      <w:r w:rsidR="001C6B3A" w:rsidRPr="00E772AD">
        <w:t xml:space="preserve">The participants </w:t>
      </w:r>
      <w:r w:rsidR="00A11C4A" w:rsidRPr="00E772AD">
        <w:t>were</w:t>
      </w:r>
      <w:r w:rsidR="001C6B3A" w:rsidRPr="00E772AD">
        <w:t xml:space="preserve"> each living in one of five municipalities. Our choice of municipalities was determined by ongoing research collaborations between them and our institution.</w:t>
      </w:r>
      <w:commentRangeEnd w:id="2"/>
      <w:r w:rsidR="00B54A02" w:rsidRPr="00E772AD">
        <w:rPr>
          <w:rStyle w:val="Kommentarhenvisning"/>
          <w:rFonts w:eastAsiaTheme="minorHAnsi" w:cstheme="minorBidi"/>
        </w:rPr>
        <w:commentReference w:id="2"/>
      </w:r>
      <w:commentRangeEnd w:id="3"/>
      <w:r w:rsidR="00271438" w:rsidRPr="00E772AD">
        <w:rPr>
          <w:rStyle w:val="Kommentarhenvisning"/>
          <w:rFonts w:eastAsiaTheme="minorHAnsi" w:cstheme="minorBidi"/>
        </w:rPr>
        <w:commentReference w:id="3"/>
      </w:r>
    </w:p>
    <w:p w14:paraId="126DFD6E" w14:textId="4B3577DF" w:rsidR="00070CF2" w:rsidRPr="00E772AD" w:rsidRDefault="00070CF2" w:rsidP="00070CF2">
      <w:pPr>
        <w:spacing w:line="480" w:lineRule="auto"/>
      </w:pPr>
      <w:r w:rsidRPr="00E772AD">
        <w:tab/>
      </w:r>
      <w:commentRangeStart w:id="4"/>
      <w:r w:rsidRPr="00E772AD">
        <w:t>We dr</w:t>
      </w:r>
      <w:r w:rsidR="00A11C4A" w:rsidRPr="00E772AD">
        <w:t>a</w:t>
      </w:r>
      <w:r w:rsidRPr="00E772AD">
        <w:t xml:space="preserve">w on data stemming from two methodologically and topically related </w:t>
      </w:r>
      <w:r w:rsidR="001C6B3A" w:rsidRPr="00E772AD">
        <w:t xml:space="preserve">research </w:t>
      </w:r>
      <w:r w:rsidRPr="00E772AD">
        <w:t>projects</w:t>
      </w:r>
      <w:r w:rsidR="001C6B3A" w:rsidRPr="00E772AD">
        <w:t>.</w:t>
      </w:r>
      <w:r w:rsidRPr="00E772AD">
        <w:t xml:space="preserve"> </w:t>
      </w:r>
      <w:r w:rsidR="001C6B3A" w:rsidRPr="00E772AD">
        <w:t>W</w:t>
      </w:r>
      <w:r w:rsidRPr="00E772AD">
        <w:t xml:space="preserve">e refer to Dataset I and Dataset II to distinguish between the two blocks. Dataset I </w:t>
      </w:r>
      <w:proofErr w:type="gramStart"/>
      <w:r w:rsidRPr="00E772AD">
        <w:t>contains</w:t>
      </w:r>
      <w:proofErr w:type="gramEnd"/>
      <w:r w:rsidRPr="00E772AD">
        <w:t xml:space="preserve"> all four focus groups and 16 individual interviews</w:t>
      </w:r>
      <w:commentRangeEnd w:id="4"/>
      <w:r w:rsidR="00B54A02" w:rsidRPr="00E772AD">
        <w:rPr>
          <w:rStyle w:val="Kommentarhenvisning"/>
          <w:rFonts w:eastAsiaTheme="minorHAnsi" w:cstheme="minorBidi"/>
        </w:rPr>
        <w:commentReference w:id="4"/>
      </w:r>
      <w:r w:rsidRPr="00E772AD">
        <w:t xml:space="preserve">. </w:t>
      </w:r>
      <w:commentRangeStart w:id="5"/>
      <w:commentRangeStart w:id="6"/>
      <w:r w:rsidRPr="00E772AD">
        <w:t>The</w:t>
      </w:r>
      <w:commentRangeEnd w:id="5"/>
      <w:r w:rsidR="00B54A02" w:rsidRPr="00E772AD">
        <w:rPr>
          <w:rStyle w:val="Kommentarhenvisning"/>
          <w:rFonts w:eastAsiaTheme="minorHAnsi" w:cstheme="minorBidi"/>
        </w:rPr>
        <w:commentReference w:id="5"/>
      </w:r>
      <w:commentRangeEnd w:id="6"/>
      <w:r w:rsidR="00271438" w:rsidRPr="00E772AD">
        <w:rPr>
          <w:rStyle w:val="Kommentarhenvisning"/>
          <w:rFonts w:eastAsiaTheme="minorHAnsi" w:cstheme="minorBidi"/>
        </w:rPr>
        <w:commentReference w:id="6"/>
      </w:r>
      <w:r w:rsidRPr="00E772AD">
        <w:t xml:space="preserve"> contributors to Dataset I were recruited via job centre personnel in four different municipalities. This process may have caused a selection bias, leading to the recruitment of participants with more positive views on employment services. The number of interviewees who were satisfied with the job centre was</w:t>
      </w:r>
      <w:r w:rsidR="00A73F4C" w:rsidRPr="00E772AD">
        <w:t>, however,</w:t>
      </w:r>
      <w:r w:rsidRPr="00E772AD">
        <w:t xml:space="preserve"> </w:t>
      </w:r>
      <w:r w:rsidR="00A73F4C" w:rsidRPr="00E772AD">
        <w:t xml:space="preserve">quite </w:t>
      </w:r>
      <w:proofErr w:type="gramStart"/>
      <w:r w:rsidRPr="00E772AD">
        <w:t>similar to</w:t>
      </w:r>
      <w:proofErr w:type="gramEnd"/>
      <w:r w:rsidRPr="00E772AD">
        <w:t xml:space="preserve"> the approval rating amongst vulnerable social assistance recipients in </w:t>
      </w:r>
      <w:r w:rsidR="00A73F4C" w:rsidRPr="00E772AD">
        <w:t>established</w:t>
      </w:r>
      <w:r w:rsidRPr="00E772AD">
        <w:t xml:space="preserve"> Danish quantitative satisfaction surveys</w:t>
      </w:r>
      <w:r w:rsidR="00A73F4C" w:rsidRPr="00E772AD">
        <w:rPr>
          <w:rStyle w:val="Fodnotehenvisning"/>
        </w:rPr>
        <w:footnoteReference w:id="3"/>
      </w:r>
      <w:r w:rsidR="00A73F4C" w:rsidRPr="00E772AD">
        <w:t xml:space="preserve"> (VIVE, 2022)</w:t>
      </w:r>
      <w:r w:rsidRPr="00E772AD">
        <w:t xml:space="preserve">. </w:t>
      </w:r>
      <w:r w:rsidR="00A73F4C" w:rsidRPr="00E772AD">
        <w:t>Furthermore</w:t>
      </w:r>
      <w:r w:rsidRPr="00E772AD">
        <w:t>, we did not find the Dataset I participants to be any more appreciative of the job centre system than those in dataset II.</w:t>
      </w:r>
      <w:r w:rsidR="00A73F4C" w:rsidRPr="00E772AD">
        <w:rPr>
          <w:rStyle w:val="Kommentarhenvisning"/>
          <w:rFonts w:eastAsiaTheme="minorHAnsi" w:cstheme="minorBidi"/>
        </w:rPr>
        <w:t xml:space="preserve"> </w:t>
      </w:r>
      <w:r w:rsidRPr="00E772AD">
        <w:t>Dataset II contain</w:t>
      </w:r>
      <w:r w:rsidR="00A11C4A" w:rsidRPr="00E772AD">
        <w:t>s</w:t>
      </w:r>
      <w:r w:rsidRPr="00E772AD">
        <w:t xml:space="preserve"> individual interviews conducted by a colleague in a different municipality. The 12 interviewees were all taking part in a municipal project focusing on claimants who were vulnerable on more than one parameter of measurement, for instance, both unemployment and mental disorder challenges. All the participants in the project (a total of 45) were given the invitation to participate in a research interview; 12 agreed to do so. </w:t>
      </w:r>
    </w:p>
    <w:p w14:paraId="20A0155E" w14:textId="5D448DF0" w:rsidR="00070CF2" w:rsidRPr="00E772AD" w:rsidRDefault="00070CF2" w:rsidP="00070CF2">
      <w:pPr>
        <w:spacing w:line="480" w:lineRule="auto"/>
      </w:pPr>
      <w:r w:rsidRPr="00E772AD">
        <w:tab/>
        <w:t>The individual interviews in both blocks lasted between 25 and 83 min and the focus groups lasted approximately 2 hr. Due to COVID-19, some interviews were held online. All the individual interviews were semi-structured and organised around a</w:t>
      </w:r>
      <w:r w:rsidR="001C6B3A" w:rsidRPr="00E772AD">
        <w:t>n</w:t>
      </w:r>
      <w:r w:rsidRPr="00E772AD">
        <w:t xml:space="preserve"> interview guide that allowed the participants to talk relatively openly about their experiences of social assistance. They were asked a series of questions about their background, their history of receiving benefits, and their experiences of being a claimant. The focus group sessions comprised two to five claimants from the same municipality and either one or two researchers. While the </w:t>
      </w:r>
      <w:r w:rsidR="00A73F4C" w:rsidRPr="00E772AD">
        <w:t xml:space="preserve">group </w:t>
      </w:r>
      <w:r w:rsidRPr="00E772AD">
        <w:t>sessions most likely excluded experiences deemed by the claimants to be intimate, we were able to gather information from their shared reflections and experiences. A commitment to good ethical practice was embedded in the whole research endeavour; all interviewees signed a consent form and were provided with information about the purpose of the study, how the data would be stored securely, and their right to withdraw consent at any point.</w:t>
      </w:r>
    </w:p>
    <w:p w14:paraId="386077AA" w14:textId="1C0A79A8" w:rsidR="00070CF2" w:rsidRPr="00E772AD" w:rsidRDefault="00070CF2" w:rsidP="00070CF2">
      <w:pPr>
        <w:spacing w:line="480" w:lineRule="auto"/>
      </w:pPr>
      <w:r w:rsidRPr="00E772AD">
        <w:tab/>
        <w:t>Neither during focus group conversations nor individual interviews were participants asked questions about hybridity. The research interest in hybridity emerged after reading the transcripts, which were imported to NVivo and coded in two rounds. For the first, we coded all paragraphs in which the participants described the job centre as caregiving and</w:t>
      </w:r>
      <w:r w:rsidRPr="00E772AD">
        <w:rPr>
          <w:i/>
          <w:iCs/>
        </w:rPr>
        <w:t xml:space="preserve"> </w:t>
      </w:r>
      <w:r w:rsidRPr="00E772AD">
        <w:t>enforcing. When operationalising the two, we leaned particularly towards Zacka’s (2018) theoretical distinction</w:t>
      </w:r>
      <w:r w:rsidR="00635DDB" w:rsidRPr="00E772AD">
        <w:t xml:space="preserve"> between caregiving and enforcement</w:t>
      </w:r>
      <w:r w:rsidRPr="00E772AD">
        <w:t xml:space="preserve">. </w:t>
      </w:r>
    </w:p>
    <w:p w14:paraId="67DB774B" w14:textId="39DB848D" w:rsidR="00070CF2" w:rsidRPr="00E772AD" w:rsidRDefault="00070CF2" w:rsidP="00070CF2">
      <w:pPr>
        <w:spacing w:line="480" w:lineRule="auto"/>
      </w:pPr>
      <w:r w:rsidRPr="00E772AD">
        <w:tab/>
        <w:t xml:space="preserve">Elements of the job centre system are often characterised by claimants as either caregiving or enforcing. They are experienced as </w:t>
      </w:r>
      <w:proofErr w:type="gramStart"/>
      <w:r w:rsidRPr="00E772AD">
        <w:t>being more or less</w:t>
      </w:r>
      <w:proofErr w:type="gramEnd"/>
      <w:r w:rsidRPr="00E772AD">
        <w:t xml:space="preserve"> sympathetic, more or less responsive towards their needs, and more or less helpful. In keeping with this distinction, we operationalise</w:t>
      </w:r>
      <w:r w:rsidR="00B54A02" w:rsidRPr="00E772AD">
        <w:t>d</w:t>
      </w:r>
      <w:r w:rsidRPr="00E772AD">
        <w:t xml:space="preserve"> </w:t>
      </w:r>
      <w:r w:rsidR="00B54A02" w:rsidRPr="00E772AD">
        <w:t>‘</w:t>
      </w:r>
      <w:r w:rsidRPr="00E772AD">
        <w:t>enforcement</w:t>
      </w:r>
      <w:r w:rsidR="00B54A02" w:rsidRPr="00E772AD">
        <w:t>’</w:t>
      </w:r>
      <w:r w:rsidRPr="00E772AD">
        <w:t xml:space="preserve"> in all cases where the participants describe the job centre as strict, disciplinary, punishing, or sanctioning, but also those where job centre personnel </w:t>
      </w:r>
      <w:r w:rsidR="00B54A02" w:rsidRPr="00E772AD">
        <w:t>are</w:t>
      </w:r>
      <w:r w:rsidRPr="00E772AD">
        <w:t xml:space="preserve"> described as patronising, distrustful, controlling, or the like. Conversely, </w:t>
      </w:r>
      <w:r w:rsidR="00B54A02" w:rsidRPr="00E772AD">
        <w:t>‘</w:t>
      </w:r>
      <w:r w:rsidRPr="00E772AD">
        <w:t>care</w:t>
      </w:r>
      <w:r w:rsidR="00B54A02" w:rsidRPr="00E772AD">
        <w:t>’</w:t>
      </w:r>
      <w:r w:rsidRPr="00E772AD">
        <w:t xml:space="preserve"> </w:t>
      </w:r>
      <w:r w:rsidR="00B54A02" w:rsidRPr="00E772AD">
        <w:t>was</w:t>
      </w:r>
      <w:r w:rsidRPr="00E772AD">
        <w:t xml:space="preserve"> used as a code for all those cases where the participants explain how the job centre ha</w:t>
      </w:r>
      <w:r w:rsidR="00B54A02" w:rsidRPr="00E772AD">
        <w:t>s</w:t>
      </w:r>
      <w:r w:rsidRPr="00E772AD">
        <w:t xml:space="preserve"> helped them—or tried to help them—with solving a problem or reaching a goal, be it practical and tangible or longer-term. The two codes overlap in numerous paragraphs of the transcripts.</w:t>
      </w:r>
    </w:p>
    <w:p w14:paraId="631AD401" w14:textId="2E5493EE" w:rsidR="00070CF2" w:rsidRPr="00E772AD" w:rsidRDefault="00070CF2" w:rsidP="00E772AD">
      <w:pPr>
        <w:spacing w:line="480" w:lineRule="auto"/>
        <w:rPr>
          <w:b/>
          <w:bCs/>
        </w:rPr>
      </w:pPr>
      <w:r w:rsidRPr="00E772AD">
        <w:tab/>
        <w:t>In the second round of coding, we distinguish</w:t>
      </w:r>
      <w:r w:rsidR="00B54A02" w:rsidRPr="00E772AD">
        <w:t>ed</w:t>
      </w:r>
      <w:r w:rsidRPr="00E772AD">
        <w:t xml:space="preserve"> between the hybrid forms, that is, the different ways care and enforcement co-existed in the participants’ depictions of the job centre. The central question at this point was how claimants describe the caring and enforcing elements of the job centre and how they dr</w:t>
      </w:r>
      <w:r w:rsidR="00B54A02" w:rsidRPr="00E772AD">
        <w:t>a</w:t>
      </w:r>
      <w:r w:rsidRPr="00E772AD">
        <w:t xml:space="preserve">w boundaries </w:t>
      </w:r>
      <w:r w:rsidR="006242AB" w:rsidRPr="00E772AD">
        <w:t xml:space="preserve">between </w:t>
      </w:r>
      <w:r w:rsidRPr="00E772AD">
        <w:t>them. In 28 of the 32 interviews (four focus groups and 28 individual interviews) we coded at least one of the three identified forms of hybrids.</w:t>
      </w:r>
      <w:r w:rsidR="006242AB" w:rsidRPr="00E772AD">
        <w:t xml:space="preserve"> </w:t>
      </w:r>
      <w:commentRangeStart w:id="7"/>
      <w:r w:rsidR="006242AB" w:rsidRPr="00E772AD">
        <w:t>The</w:t>
      </w:r>
      <w:commentRangeEnd w:id="7"/>
      <w:r w:rsidR="00B54A02" w:rsidRPr="00E772AD">
        <w:rPr>
          <w:rStyle w:val="Kommentarhenvisning"/>
          <w:rFonts w:eastAsiaTheme="minorHAnsi" w:cstheme="minorBidi"/>
        </w:rPr>
        <w:commentReference w:id="7"/>
      </w:r>
      <w:r w:rsidR="006242AB" w:rsidRPr="00E772AD">
        <w:t xml:space="preserve"> three hybrid forms </w:t>
      </w:r>
      <w:r w:rsidR="00B54A02" w:rsidRPr="00E772AD">
        <w:t>are</w:t>
      </w:r>
      <w:r w:rsidR="006242AB" w:rsidRPr="00E772AD">
        <w:t xml:space="preserve"> not mutually exclusive.</w:t>
      </w:r>
      <w:r w:rsidR="006242AB" w:rsidRPr="00E772AD">
        <w:t xml:space="preserve"> </w:t>
      </w:r>
      <w:bookmarkStart w:id="8" w:name="_Hlk111468364"/>
      <w:r w:rsidR="00D27E48" w:rsidRPr="00E772AD">
        <w:t xml:space="preserve">We </w:t>
      </w:r>
      <w:r w:rsidR="00960DFF" w:rsidRPr="00E772AD">
        <w:t xml:space="preserve">concentrate </w:t>
      </w:r>
      <w:r w:rsidR="00D27E48" w:rsidRPr="00E772AD">
        <w:t>our</w:t>
      </w:r>
      <w:r w:rsidR="00960DFF" w:rsidRPr="00E772AD">
        <w:t xml:space="preserve"> analysis</w:t>
      </w:r>
      <w:r w:rsidR="00DC6B23" w:rsidRPr="00E772AD">
        <w:t xml:space="preserve"> </w:t>
      </w:r>
      <w:r w:rsidR="004B600D" w:rsidRPr="00E772AD">
        <w:t>exclusively</w:t>
      </w:r>
      <w:r w:rsidR="00960DFF" w:rsidRPr="00E772AD">
        <w:t xml:space="preserve"> </w:t>
      </w:r>
      <w:r w:rsidR="00DC6B23" w:rsidRPr="00E772AD">
        <w:t>on</w:t>
      </w:r>
      <w:r w:rsidR="001C6B3A" w:rsidRPr="00E772AD">
        <w:t xml:space="preserve"> </w:t>
      </w:r>
      <w:r w:rsidR="00DC6B23" w:rsidRPr="00E772AD">
        <w:t xml:space="preserve">investigating the elements of the hybrid forms and their possible relation to claimant’s agency. </w:t>
      </w:r>
      <w:r w:rsidR="00D27E48" w:rsidRPr="00E772AD">
        <w:t xml:space="preserve">Therefore, numerous important questions – for instance if some forms of hybridity are more </w:t>
      </w:r>
      <w:r w:rsidR="001C6B3A" w:rsidRPr="00E772AD">
        <w:t xml:space="preserve">likely to </w:t>
      </w:r>
      <w:r w:rsidR="00D27E48" w:rsidRPr="00E772AD">
        <w:t>domina</w:t>
      </w:r>
      <w:r w:rsidR="001C6B3A" w:rsidRPr="00E772AD">
        <w:t>te</w:t>
      </w:r>
      <w:r w:rsidR="00D27E48" w:rsidRPr="00E772AD">
        <w:t xml:space="preserve"> </w:t>
      </w:r>
      <w:r w:rsidR="001C6B3A" w:rsidRPr="00E772AD">
        <w:t>amongst</w:t>
      </w:r>
      <w:r w:rsidR="00D27E48" w:rsidRPr="00E772AD">
        <w:t xml:space="preserve"> some groups of unemployed than </w:t>
      </w:r>
      <w:r w:rsidR="001C6B3A" w:rsidRPr="00E772AD">
        <w:t>amongst</w:t>
      </w:r>
      <w:r w:rsidR="00D27E48" w:rsidRPr="00E772AD">
        <w:t xml:space="preserve"> others – are left </w:t>
      </w:r>
      <w:r w:rsidR="004B600D" w:rsidRPr="00E772AD">
        <w:t xml:space="preserve">in the shadows for future research to explore. </w:t>
      </w:r>
      <w:bookmarkEnd w:id="8"/>
    </w:p>
    <w:p w14:paraId="17441D88" w14:textId="77777777" w:rsidR="00070CF2" w:rsidRPr="00E772AD" w:rsidRDefault="00070CF2" w:rsidP="00070CF2">
      <w:pPr>
        <w:spacing w:line="480" w:lineRule="auto"/>
        <w:jc w:val="center"/>
        <w:rPr>
          <w:b/>
          <w:bCs/>
        </w:rPr>
        <w:sectPr w:rsidR="00070CF2" w:rsidRPr="00E772AD">
          <w:pgSz w:w="11906" w:h="16838"/>
          <w:pgMar w:top="1701" w:right="1134" w:bottom="1701" w:left="1134" w:header="708" w:footer="708" w:gutter="0"/>
          <w:cols w:space="708"/>
          <w:docGrid w:linePitch="360"/>
        </w:sectPr>
      </w:pPr>
      <w:r w:rsidRPr="00E772AD">
        <w:rPr>
          <w:b/>
          <w:bCs/>
        </w:rPr>
        <w:t xml:space="preserve">Enforcement </w:t>
      </w:r>
      <w:r w:rsidRPr="00E772AD">
        <w:rPr>
          <w:b/>
          <w:bCs/>
          <w:i/>
          <w:iCs/>
        </w:rPr>
        <w:t xml:space="preserve">and </w:t>
      </w:r>
      <w:r w:rsidRPr="00E772AD">
        <w:rPr>
          <w:b/>
          <w:bCs/>
        </w:rPr>
        <w:t>Care: Three Forms of Hybridity</w:t>
      </w:r>
    </w:p>
    <w:p w14:paraId="2B2DA4DA" w14:textId="33836A58" w:rsidR="00070CF2" w:rsidRPr="00E772AD" w:rsidRDefault="00070CF2" w:rsidP="00070CF2">
      <w:pPr>
        <w:spacing w:line="480" w:lineRule="auto"/>
      </w:pPr>
      <w:r w:rsidRPr="00E772AD">
        <w:tab/>
        <w:t xml:space="preserve">The three hybrid forms represent three </w:t>
      </w:r>
      <w:r w:rsidR="002E65A0" w:rsidRPr="00E772AD">
        <w:t xml:space="preserve">main </w:t>
      </w:r>
      <w:r w:rsidRPr="00E772AD">
        <w:t xml:space="preserve">ways in which participants portray </w:t>
      </w:r>
      <w:r w:rsidR="00A73F4C" w:rsidRPr="00E772AD">
        <w:t xml:space="preserve">the co-existence of </w:t>
      </w:r>
      <w:r w:rsidRPr="00E772AD">
        <w:t xml:space="preserve">enforcement and care. First, distinctions </w:t>
      </w:r>
      <w:r w:rsidR="002E65A0" w:rsidRPr="00E772AD">
        <w:t xml:space="preserve">are </w:t>
      </w:r>
      <w:r w:rsidRPr="00E772AD">
        <w:t xml:space="preserve">drawn between actors; second, between the system vis-à-vis actors; and third, </w:t>
      </w:r>
      <w:r w:rsidR="00A73F4C" w:rsidRPr="00E772AD">
        <w:t xml:space="preserve">distinctions </w:t>
      </w:r>
      <w:r w:rsidR="002E65A0" w:rsidRPr="00E772AD">
        <w:t xml:space="preserve">are </w:t>
      </w:r>
      <w:r w:rsidR="00A73F4C" w:rsidRPr="00E772AD">
        <w:t xml:space="preserve">made between </w:t>
      </w:r>
      <w:r w:rsidRPr="00E772AD">
        <w:t xml:space="preserve">phases of either care or enforcement. </w:t>
      </w:r>
    </w:p>
    <w:p w14:paraId="111A0CC0" w14:textId="77777777" w:rsidR="00070CF2" w:rsidRPr="00E772AD" w:rsidRDefault="00070CF2" w:rsidP="00070CF2">
      <w:pPr>
        <w:spacing w:line="480" w:lineRule="auto"/>
        <w:contextualSpacing/>
        <w:rPr>
          <w:b/>
          <w:bCs/>
        </w:rPr>
      </w:pPr>
      <w:r w:rsidRPr="00E772AD">
        <w:rPr>
          <w:b/>
          <w:bCs/>
        </w:rPr>
        <w:t xml:space="preserve">The Actor-Based Hybrid Form </w:t>
      </w:r>
    </w:p>
    <w:p w14:paraId="2F67D527" w14:textId="549017F8" w:rsidR="00070CF2" w:rsidRPr="00E772AD" w:rsidRDefault="00070CF2" w:rsidP="00070CF2">
      <w:pPr>
        <w:spacing w:line="480" w:lineRule="auto"/>
        <w:contextualSpacing/>
      </w:pPr>
      <w:r w:rsidRPr="00E772AD">
        <w:rPr>
          <w:b/>
          <w:bCs/>
        </w:rPr>
        <w:tab/>
      </w:r>
      <w:r w:rsidRPr="00E772AD">
        <w:t xml:space="preserve">The first hybrid form </w:t>
      </w:r>
      <w:proofErr w:type="gramStart"/>
      <w:r w:rsidRPr="00E772AD">
        <w:t>appear</w:t>
      </w:r>
      <w:proofErr w:type="gramEnd"/>
      <w:r w:rsidRPr="00E772AD">
        <w:t xml:space="preserve"> as the participants describe the job centre as a conglomerate consisting of a myriad of more or less caregiving and more or less enforcing actors. Thus, some employees </w:t>
      </w:r>
      <w:r w:rsidR="00547827" w:rsidRPr="00E772AD">
        <w:t xml:space="preserve">are </w:t>
      </w:r>
      <w:r w:rsidRPr="00E772AD">
        <w:t xml:space="preserve">depicted as distrustful and controlling and others as empathetic and helpful. Importantly, this hybrid </w:t>
      </w:r>
      <w:r w:rsidR="00547827" w:rsidRPr="00E772AD">
        <w:t xml:space="preserve">is </w:t>
      </w:r>
      <w:r w:rsidRPr="00E772AD">
        <w:t>based on a principle of contemporality: the caregiving and the enforcing actors co-exist</w:t>
      </w:r>
      <w:r w:rsidR="00A73F4C" w:rsidRPr="00E772AD">
        <w:t xml:space="preserve"> at the same time</w:t>
      </w:r>
      <w:r w:rsidRPr="00E772AD">
        <w:t xml:space="preserve">. Experience of care and enforcement </w:t>
      </w:r>
      <w:r w:rsidR="00547827" w:rsidRPr="00E772AD">
        <w:t xml:space="preserve">are </w:t>
      </w:r>
      <w:r w:rsidRPr="00E772AD">
        <w:t xml:space="preserve">the results of forms of agency that </w:t>
      </w:r>
      <w:r w:rsidR="00547827" w:rsidRPr="00E772AD">
        <w:t xml:space="preserve">are </w:t>
      </w:r>
      <w:r w:rsidRPr="00E772AD">
        <w:t xml:space="preserve">taken on by the actors in </w:t>
      </w:r>
      <w:r w:rsidRPr="00E772AD">
        <w:rPr>
          <w:i/>
          <w:iCs/>
        </w:rPr>
        <w:t>the system</w:t>
      </w:r>
      <w:r w:rsidRPr="00E772AD">
        <w:t xml:space="preserve">. The composition of the specific actors who </w:t>
      </w:r>
      <w:r w:rsidR="00547827" w:rsidRPr="00E772AD">
        <w:t xml:space="preserve">partake </w:t>
      </w:r>
      <w:r w:rsidRPr="00E772AD">
        <w:t>in the processing of cases pla</w:t>
      </w:r>
      <w:r w:rsidR="00547827" w:rsidRPr="00E772AD">
        <w:t>ys</w:t>
      </w:r>
      <w:r w:rsidRPr="00E772AD">
        <w:t xml:space="preserve"> a crucial role in how the claimant experience the system, as is illustrated by the following quote, in which one of the participants describe</w:t>
      </w:r>
      <w:r w:rsidR="00547827" w:rsidRPr="00E772AD">
        <w:t>s</w:t>
      </w:r>
      <w:r w:rsidRPr="00E772AD">
        <w:t xml:space="preserve"> an encounter with an enforcing job consultant who—from the perspective of the </w:t>
      </w:r>
      <w:r w:rsidR="00A73F4C" w:rsidRPr="00E772AD">
        <w:t>informant</w:t>
      </w:r>
      <w:r w:rsidRPr="00E772AD">
        <w:t>—</w:t>
      </w:r>
      <w:r w:rsidR="00547827" w:rsidRPr="00E772AD">
        <w:t xml:space="preserve">is </w:t>
      </w:r>
      <w:r w:rsidRPr="00E772AD">
        <w:t xml:space="preserve">counter-balanced by the more caring caseworker:  </w:t>
      </w:r>
    </w:p>
    <w:p w14:paraId="3D6903DF" w14:textId="6B4E8F1F" w:rsidR="00070CF2" w:rsidRPr="00E772AD" w:rsidRDefault="00070CF2" w:rsidP="00070CF2">
      <w:pPr>
        <w:spacing w:line="480" w:lineRule="auto"/>
        <w:ind w:left="709"/>
        <w:rPr>
          <w:b/>
        </w:rPr>
      </w:pPr>
      <w:r w:rsidRPr="00E772AD">
        <w:rPr>
          <w:bCs/>
        </w:rPr>
        <w:t xml:space="preserve">Two days before the corona lockdown, I was at the job centre for a meeting with my new job consultant. He was totally on his toes and now I just had to start a new job placement. It was a completely absurd situation. We were all just waiting for the prime minister to </w:t>
      </w:r>
      <w:proofErr w:type="gramStart"/>
      <w:r w:rsidRPr="00E772AD">
        <w:rPr>
          <w:bCs/>
        </w:rPr>
        <w:t>close down</w:t>
      </w:r>
      <w:proofErr w:type="gramEnd"/>
      <w:r w:rsidRPr="00E772AD">
        <w:rPr>
          <w:bCs/>
        </w:rPr>
        <w:t xml:space="preserve"> the country. And every time they announced a press conference, people went out and panic-bought groceries. And then he wanted me to start a new job placement (…) I was treated with medicine before </w:t>
      </w:r>
      <w:r w:rsidR="00A73F4C" w:rsidRPr="00E772AD">
        <w:rPr>
          <w:bCs/>
        </w:rPr>
        <w:t xml:space="preserve">I had a transplant, </w:t>
      </w:r>
      <w:r w:rsidRPr="00E772AD">
        <w:rPr>
          <w:bCs/>
        </w:rPr>
        <w:t xml:space="preserve">and he didn’t think I was in any corona virus risk group. No, no [laughs]. Completely absurd. Luckily, my caseworker attended the meeting as well, and she could see that we were on completely different wavelengths; there was no chemistry between us. It was </w:t>
      </w:r>
      <w:proofErr w:type="gramStart"/>
      <w:r w:rsidRPr="00E772AD">
        <w:rPr>
          <w:bCs/>
        </w:rPr>
        <w:t>absolutely absurd</w:t>
      </w:r>
      <w:proofErr w:type="gramEnd"/>
      <w:r w:rsidRPr="00E772AD">
        <w:rPr>
          <w:bCs/>
        </w:rPr>
        <w:t>.</w:t>
      </w:r>
    </w:p>
    <w:p w14:paraId="00C65F87" w14:textId="67B29B17" w:rsidR="00070CF2" w:rsidRPr="00E772AD" w:rsidRDefault="00070CF2" w:rsidP="00070CF2">
      <w:pPr>
        <w:spacing w:line="480" w:lineRule="auto"/>
        <w:rPr>
          <w:bCs/>
        </w:rPr>
      </w:pPr>
      <w:r w:rsidRPr="00E772AD">
        <w:rPr>
          <w:bCs/>
        </w:rPr>
        <w:tab/>
        <w:t xml:space="preserve">Here </w:t>
      </w:r>
      <w:r w:rsidR="00547827" w:rsidRPr="00E772AD">
        <w:rPr>
          <w:bCs/>
        </w:rPr>
        <w:t xml:space="preserve">we </w:t>
      </w:r>
      <w:r w:rsidRPr="00E772AD">
        <w:rPr>
          <w:bCs/>
        </w:rPr>
        <w:t>can see the enforcing and caring elements of the job centre co-existing and deriving from the different actors involved. The participant seems to form an alliance with one actor against the other. Another participant explain</w:t>
      </w:r>
      <w:r w:rsidR="00547827" w:rsidRPr="00E772AD">
        <w:rPr>
          <w:bCs/>
        </w:rPr>
        <w:t>s</w:t>
      </w:r>
      <w:r w:rsidRPr="00E772AD">
        <w:rPr>
          <w:bCs/>
        </w:rPr>
        <w:t xml:space="preserve"> how he like</w:t>
      </w:r>
      <w:r w:rsidR="00547827" w:rsidRPr="00E772AD">
        <w:rPr>
          <w:bCs/>
        </w:rPr>
        <w:t>s</w:t>
      </w:r>
      <w:r w:rsidRPr="00E772AD">
        <w:rPr>
          <w:bCs/>
        </w:rPr>
        <w:t xml:space="preserve"> his caring caseworker, in contrast with other newly qualified caseworkers who ha</w:t>
      </w:r>
      <w:r w:rsidR="00547827" w:rsidRPr="00E772AD">
        <w:rPr>
          <w:bCs/>
        </w:rPr>
        <w:t>ve</w:t>
      </w:r>
      <w:r w:rsidRPr="00E772AD">
        <w:rPr>
          <w:bCs/>
        </w:rPr>
        <w:t xml:space="preserve"> ‘all those ideas about how to get me back on my feet, taken directly from their </w:t>
      </w:r>
      <w:proofErr w:type="gramStart"/>
      <w:r w:rsidRPr="00E772AD">
        <w:rPr>
          <w:bCs/>
        </w:rPr>
        <w:t>school books</w:t>
      </w:r>
      <w:proofErr w:type="gramEnd"/>
      <w:r w:rsidRPr="00E772AD">
        <w:rPr>
          <w:bCs/>
        </w:rPr>
        <w:t xml:space="preserve">.’ Likewise, some participants refer to social media forums where particular job centre employees </w:t>
      </w:r>
      <w:r w:rsidR="00547827" w:rsidRPr="00E772AD">
        <w:rPr>
          <w:bCs/>
        </w:rPr>
        <w:t xml:space="preserve">are </w:t>
      </w:r>
      <w:r w:rsidRPr="00E772AD">
        <w:rPr>
          <w:bCs/>
        </w:rPr>
        <w:t xml:space="preserve">highlighted as being particularly enforcing or caring. Others </w:t>
      </w:r>
      <w:r w:rsidR="00547827" w:rsidRPr="00E772AD">
        <w:rPr>
          <w:bCs/>
        </w:rPr>
        <w:t xml:space="preserve">are </w:t>
      </w:r>
      <w:r w:rsidRPr="00E772AD">
        <w:rPr>
          <w:bCs/>
        </w:rPr>
        <w:t>more focused on differences between municipalities than on differences between persons and dr</w:t>
      </w:r>
      <w:r w:rsidR="00547827" w:rsidRPr="00E772AD">
        <w:rPr>
          <w:bCs/>
        </w:rPr>
        <w:t>a</w:t>
      </w:r>
      <w:r w:rsidRPr="00E772AD">
        <w:rPr>
          <w:bCs/>
        </w:rPr>
        <w:t xml:space="preserve">w distinctions between the former according to their perceived level of care or enforcement. </w:t>
      </w:r>
    </w:p>
    <w:p w14:paraId="554B6587" w14:textId="4CB847DF" w:rsidR="00070CF2" w:rsidRPr="00E772AD" w:rsidRDefault="00070CF2" w:rsidP="00070CF2">
      <w:pPr>
        <w:spacing w:line="480" w:lineRule="auto"/>
        <w:rPr>
          <w:bCs/>
        </w:rPr>
      </w:pPr>
      <w:r w:rsidRPr="00E772AD">
        <w:rPr>
          <w:bCs/>
        </w:rPr>
        <w:tab/>
        <w:t>The participants thus portray an employment system that consist</w:t>
      </w:r>
      <w:r w:rsidR="00A73F4C" w:rsidRPr="00E772AD">
        <w:rPr>
          <w:bCs/>
        </w:rPr>
        <w:t>s</w:t>
      </w:r>
      <w:r w:rsidRPr="00E772AD">
        <w:rPr>
          <w:bCs/>
        </w:rPr>
        <w:t xml:space="preserve"> of a constellation of </w:t>
      </w:r>
      <w:proofErr w:type="gramStart"/>
      <w:r w:rsidRPr="00E772AD">
        <w:rPr>
          <w:bCs/>
        </w:rPr>
        <w:t>more or less caring</w:t>
      </w:r>
      <w:proofErr w:type="gramEnd"/>
      <w:r w:rsidRPr="00E772AD">
        <w:rPr>
          <w:bCs/>
        </w:rPr>
        <w:t xml:space="preserve"> actors. In the following quotation, the participant describe</w:t>
      </w:r>
      <w:r w:rsidR="00547827" w:rsidRPr="00E772AD">
        <w:rPr>
          <w:bCs/>
        </w:rPr>
        <w:t>s</w:t>
      </w:r>
      <w:r w:rsidRPr="00E772AD">
        <w:rPr>
          <w:bCs/>
        </w:rPr>
        <w:t xml:space="preserve"> how job centre personnel </w:t>
      </w:r>
      <w:r w:rsidR="00547827" w:rsidRPr="00E772AD">
        <w:rPr>
          <w:bCs/>
        </w:rPr>
        <w:t xml:space="preserve">can </w:t>
      </w:r>
      <w:r w:rsidRPr="00E772AD">
        <w:rPr>
          <w:bCs/>
        </w:rPr>
        <w:t>be either engaging or indifferent (see Zacka, 2018 and Finn, 2021 for analyses of indifference):</w:t>
      </w:r>
    </w:p>
    <w:p w14:paraId="4882E1AE" w14:textId="77777777" w:rsidR="00070CF2" w:rsidRPr="00E772AD" w:rsidRDefault="00070CF2" w:rsidP="00070CF2">
      <w:pPr>
        <w:spacing w:line="480" w:lineRule="auto"/>
        <w:ind w:left="709"/>
        <w:rPr>
          <w:iCs/>
        </w:rPr>
      </w:pPr>
      <w:r w:rsidRPr="00E772AD">
        <w:rPr>
          <w:iCs/>
        </w:rPr>
        <w:t xml:space="preserve">Some of them are just sticklers for the law. And then you are </w:t>
      </w:r>
      <w:proofErr w:type="gramStart"/>
      <w:r w:rsidRPr="00E772AD">
        <w:rPr>
          <w:iCs/>
        </w:rPr>
        <w:t>really just</w:t>
      </w:r>
      <w:proofErr w:type="gramEnd"/>
      <w:r w:rsidRPr="00E772AD">
        <w:rPr>
          <w:iCs/>
        </w:rPr>
        <w:t xml:space="preserve"> a case on their desk. And it’s weird, you know, as soon as you come in, sometimes then </w:t>
      </w:r>
      <w:r w:rsidRPr="00E772AD">
        <w:rPr>
          <w:rFonts w:ascii="Symbol" w:hAnsi="Symbol"/>
          <w:iCs/>
        </w:rPr>
        <w:t></w:t>
      </w:r>
      <w:r w:rsidRPr="00E772AD">
        <w:rPr>
          <w:iCs/>
        </w:rPr>
        <w:t xml:space="preserve"> well they haven’t even gone through the trouble to just browse through your file, </w:t>
      </w:r>
      <w:proofErr w:type="gramStart"/>
      <w:r w:rsidRPr="00E772AD">
        <w:rPr>
          <w:iCs/>
        </w:rPr>
        <w:t>in order to</w:t>
      </w:r>
      <w:proofErr w:type="gramEnd"/>
      <w:r w:rsidRPr="00E772AD">
        <w:rPr>
          <w:iCs/>
        </w:rPr>
        <w:t xml:space="preserve"> have just the slightest idea of what they’re talking about.</w:t>
      </w:r>
    </w:p>
    <w:p w14:paraId="6018BC42" w14:textId="1EEB6AD4" w:rsidR="00070CF2" w:rsidRPr="00E772AD" w:rsidRDefault="00070CF2" w:rsidP="00070CF2">
      <w:pPr>
        <w:spacing w:line="480" w:lineRule="auto"/>
        <w:rPr>
          <w:bCs/>
        </w:rPr>
      </w:pPr>
      <w:r w:rsidRPr="00E772AD">
        <w:rPr>
          <w:bCs/>
        </w:rPr>
        <w:tab/>
        <w:t xml:space="preserve">This </w:t>
      </w:r>
      <w:proofErr w:type="gramStart"/>
      <w:r w:rsidRPr="00E772AD">
        <w:rPr>
          <w:bCs/>
        </w:rPr>
        <w:t>particular participant</w:t>
      </w:r>
      <w:proofErr w:type="gramEnd"/>
      <w:r w:rsidRPr="00E772AD">
        <w:rPr>
          <w:bCs/>
        </w:rPr>
        <w:t xml:space="preserve"> explain</w:t>
      </w:r>
      <w:r w:rsidR="00547827" w:rsidRPr="00E772AD">
        <w:rPr>
          <w:bCs/>
        </w:rPr>
        <w:t>s</w:t>
      </w:r>
      <w:r w:rsidRPr="00E772AD">
        <w:rPr>
          <w:bCs/>
        </w:rPr>
        <w:t xml:space="preserve"> how it fe</w:t>
      </w:r>
      <w:r w:rsidR="00547827" w:rsidRPr="00E772AD">
        <w:rPr>
          <w:bCs/>
        </w:rPr>
        <w:t>els</w:t>
      </w:r>
      <w:r w:rsidRPr="00E772AD">
        <w:rPr>
          <w:bCs/>
        </w:rPr>
        <w:t xml:space="preserve"> to be met by indifferent public officials who d</w:t>
      </w:r>
      <w:r w:rsidR="00547827" w:rsidRPr="00E772AD">
        <w:rPr>
          <w:bCs/>
        </w:rPr>
        <w:t>oes</w:t>
      </w:r>
      <w:r w:rsidRPr="00E772AD">
        <w:rPr>
          <w:bCs/>
        </w:rPr>
        <w:t xml:space="preserve"> not familiarise themselves with his case. He d</w:t>
      </w:r>
      <w:r w:rsidR="00547827" w:rsidRPr="00E772AD">
        <w:rPr>
          <w:bCs/>
        </w:rPr>
        <w:t>oes</w:t>
      </w:r>
      <w:r w:rsidRPr="00E772AD">
        <w:rPr>
          <w:bCs/>
        </w:rPr>
        <w:t xml:space="preserve">, however, also state that not all public officials </w:t>
      </w:r>
      <w:r w:rsidR="006E7AD5" w:rsidRPr="00E772AD">
        <w:rPr>
          <w:bCs/>
        </w:rPr>
        <w:t xml:space="preserve">are </w:t>
      </w:r>
      <w:r w:rsidRPr="00E772AD">
        <w:rPr>
          <w:bCs/>
        </w:rPr>
        <w:t xml:space="preserve">like that. </w:t>
      </w:r>
    </w:p>
    <w:p w14:paraId="2FFB06F8" w14:textId="77777777" w:rsidR="00070CF2" w:rsidRPr="00E772AD" w:rsidRDefault="00070CF2" w:rsidP="00070CF2">
      <w:pPr>
        <w:spacing w:line="480" w:lineRule="auto"/>
      </w:pPr>
      <w:r w:rsidRPr="00E772AD">
        <w:rPr>
          <w:b/>
          <w:bCs/>
        </w:rPr>
        <w:t>The System/Actor-Based Hybrid Form</w:t>
      </w:r>
      <w:r w:rsidRPr="00E772AD">
        <w:t xml:space="preserve"> </w:t>
      </w:r>
    </w:p>
    <w:p w14:paraId="4C472D83" w14:textId="693EB5A4" w:rsidR="00070CF2" w:rsidRPr="00E772AD" w:rsidRDefault="00070CF2" w:rsidP="00070CF2">
      <w:pPr>
        <w:spacing w:line="480" w:lineRule="auto"/>
      </w:pPr>
      <w:r w:rsidRPr="00E772AD">
        <w:tab/>
        <w:t xml:space="preserve">On several occasions, the participants distinguish </w:t>
      </w:r>
      <w:r w:rsidRPr="00E772AD">
        <w:rPr>
          <w:i/>
          <w:iCs/>
        </w:rPr>
        <w:t>the system</w:t>
      </w:r>
      <w:r w:rsidRPr="00E772AD">
        <w:t xml:space="preserve"> on the one hand and the individuals working for the system on the other. Thus, employment services </w:t>
      </w:r>
      <w:r w:rsidR="006E7AD5" w:rsidRPr="00E772AD">
        <w:t xml:space="preserve">are </w:t>
      </w:r>
      <w:r w:rsidRPr="00E772AD">
        <w:t>portrayed as consisting of both a system—an abstract and faceless complex that issue</w:t>
      </w:r>
      <w:r w:rsidR="006E7AD5" w:rsidRPr="00E772AD">
        <w:t>s</w:t>
      </w:r>
      <w:r w:rsidRPr="00E772AD">
        <w:t xml:space="preserve"> commands—and a range of specific people who handle and react to those commands. Distinctions, in such cases, </w:t>
      </w:r>
      <w:r w:rsidR="006E7AD5" w:rsidRPr="00E772AD">
        <w:t xml:space="preserve">are </w:t>
      </w:r>
      <w:r w:rsidRPr="00E772AD">
        <w:t xml:space="preserve">not drawn between caregiving and enforcing actors, but rather between an enforcing system and the people hired to enact its will. In this hybrid form, the personnel of the job centre </w:t>
      </w:r>
      <w:proofErr w:type="gramStart"/>
      <w:r w:rsidR="006E7AD5" w:rsidRPr="00E772AD">
        <w:t xml:space="preserve">are </w:t>
      </w:r>
      <w:r w:rsidRPr="00E772AD">
        <w:t>able to</w:t>
      </w:r>
      <w:proofErr w:type="gramEnd"/>
      <w:r w:rsidRPr="00E772AD">
        <w:t xml:space="preserve"> play more or less caregiving roles. This is in keeping with a view held by some scholars of street-level bureaucracy, who have argued that frontline staff sometimes resist organisational pressure to </w:t>
      </w:r>
      <w:r w:rsidRPr="00E772AD">
        <w:rPr>
          <w:i/>
          <w:iCs/>
        </w:rPr>
        <w:t>blame the poor</w:t>
      </w:r>
      <w:r w:rsidRPr="00E772AD">
        <w:t xml:space="preserve"> and try to protect their clients based on moral considerations (see Møller &amp; </w:t>
      </w:r>
      <w:proofErr w:type="spellStart"/>
      <w:r w:rsidRPr="00E772AD">
        <w:t>Stensöta</w:t>
      </w:r>
      <w:proofErr w:type="spellEnd"/>
      <w:r w:rsidRPr="00E772AD">
        <w:t>, 2019). One participant explain</w:t>
      </w:r>
      <w:r w:rsidR="006E7AD5" w:rsidRPr="00E772AD">
        <w:t>s</w:t>
      </w:r>
      <w:r w:rsidRPr="00E772AD">
        <w:t xml:space="preserve"> how his caseworker help</w:t>
      </w:r>
      <w:r w:rsidR="006E7AD5" w:rsidRPr="00E772AD">
        <w:t>s</w:t>
      </w:r>
      <w:r w:rsidRPr="00E772AD">
        <w:t xml:space="preserve"> him with ‘being on the safe side, so that I don’t lose my entitlement and things like that.’ In one illustrative passage some focus group participants explain how their caseworkers help them understand the standard</w:t>
      </w:r>
      <w:r w:rsidR="006E7AD5" w:rsidRPr="00E772AD">
        <w:t>ised</w:t>
      </w:r>
      <w:r w:rsidRPr="00E772AD">
        <w:t xml:space="preserve"> letters and emails they received: </w:t>
      </w:r>
    </w:p>
    <w:p w14:paraId="61A9D720" w14:textId="77777777" w:rsidR="00070CF2" w:rsidRPr="00E772AD" w:rsidRDefault="00070CF2" w:rsidP="00070CF2">
      <w:pPr>
        <w:spacing w:line="480" w:lineRule="auto"/>
        <w:ind w:left="709"/>
        <w:rPr>
          <w:iCs/>
        </w:rPr>
      </w:pPr>
      <w:r w:rsidRPr="00E772AD">
        <w:rPr>
          <w:iCs/>
        </w:rPr>
        <w:t xml:space="preserve">Well, I received a letter at one point. [My caseworker] called me before I had even had a chance to open the letter and told me, ‘I just sent you a letter and you need to know, that this is what it means.’ And holy </w:t>
      </w:r>
      <w:proofErr w:type="gramStart"/>
      <w:r w:rsidRPr="00E772AD">
        <w:rPr>
          <w:iCs/>
        </w:rPr>
        <w:t>crap</w:t>
      </w:r>
      <w:proofErr w:type="gramEnd"/>
      <w:r w:rsidRPr="00E772AD">
        <w:rPr>
          <w:iCs/>
        </w:rPr>
        <w:t xml:space="preserve">! If she hadn’t called to </w:t>
      </w:r>
      <w:proofErr w:type="gramStart"/>
      <w:r w:rsidRPr="00E772AD">
        <w:rPr>
          <w:iCs/>
        </w:rPr>
        <w:t>say</w:t>
      </w:r>
      <w:proofErr w:type="gramEnd"/>
      <w:r w:rsidRPr="00E772AD">
        <w:rPr>
          <w:iCs/>
        </w:rPr>
        <w:t xml:space="preserve"> ‘you’ll get this letter and you don’t need to worry at all.’ Because when I read that letter, all I thought was </w:t>
      </w:r>
      <w:r w:rsidRPr="00E772AD">
        <w:rPr>
          <w:rFonts w:ascii="Symbol" w:hAnsi="Symbol"/>
          <w:iCs/>
        </w:rPr>
        <w:t></w:t>
      </w:r>
      <w:r w:rsidRPr="00E772AD">
        <w:rPr>
          <w:iCs/>
        </w:rPr>
        <w:t xml:space="preserve"> it was just red flags all over the place, and I just thought ‘shit, this will end in disaster.’</w:t>
      </w:r>
    </w:p>
    <w:p w14:paraId="4BAECCFA" w14:textId="690E471A" w:rsidR="00070CF2" w:rsidRPr="00E772AD" w:rsidRDefault="00070CF2" w:rsidP="00070CF2">
      <w:pPr>
        <w:spacing w:line="480" w:lineRule="auto"/>
      </w:pPr>
      <w:r w:rsidRPr="00E772AD">
        <w:tab/>
      </w:r>
      <w:r w:rsidR="00A73F4C" w:rsidRPr="00E772AD">
        <w:t>From the perspective of claimants, s</w:t>
      </w:r>
      <w:r w:rsidRPr="00E772AD">
        <w:t>uch enforcement originate</w:t>
      </w:r>
      <w:r w:rsidR="006E7AD5" w:rsidRPr="00E772AD">
        <w:t>s</w:t>
      </w:r>
      <w:r w:rsidRPr="00E772AD">
        <w:t xml:space="preserve"> from the system and the caseworkers implement it only if they </w:t>
      </w:r>
      <w:r w:rsidR="006E7AD5" w:rsidRPr="00E772AD">
        <w:t xml:space="preserve">are </w:t>
      </w:r>
      <w:r w:rsidRPr="00E772AD">
        <w:t>obliged to do so:</w:t>
      </w:r>
    </w:p>
    <w:p w14:paraId="0BFA714F" w14:textId="77777777" w:rsidR="00070CF2" w:rsidRPr="00E772AD" w:rsidRDefault="00070CF2" w:rsidP="00070CF2">
      <w:pPr>
        <w:spacing w:line="480" w:lineRule="auto"/>
        <w:rPr>
          <w:iCs/>
        </w:rPr>
      </w:pPr>
      <w:r w:rsidRPr="00E772AD">
        <w:rPr>
          <w:iCs/>
        </w:rPr>
        <w:tab/>
        <w:t xml:space="preserve">Well, a lot of people think something like ‘stupid caseworkers, we don’t want to talk to </w:t>
      </w:r>
      <w:r w:rsidRPr="00E772AD">
        <w:rPr>
          <w:iCs/>
        </w:rPr>
        <w:tab/>
        <w:t xml:space="preserve">them.’ I just think (…) that that is her job. You know, she is not out to hurt me because she </w:t>
      </w:r>
      <w:r w:rsidRPr="00E772AD">
        <w:rPr>
          <w:iCs/>
        </w:rPr>
        <w:tab/>
        <w:t>doesn’t like me. It is her job to be the way she is.</w:t>
      </w:r>
    </w:p>
    <w:p w14:paraId="21D9990D" w14:textId="003850F0" w:rsidR="00070CF2" w:rsidRPr="00E772AD" w:rsidRDefault="00070CF2" w:rsidP="00070CF2">
      <w:pPr>
        <w:spacing w:line="480" w:lineRule="auto"/>
      </w:pPr>
      <w:r w:rsidRPr="00E772AD">
        <w:tab/>
        <w:t>Enforcement, in this case, d</w:t>
      </w:r>
      <w:r w:rsidR="006E7AD5" w:rsidRPr="00E772AD">
        <w:t>oes</w:t>
      </w:r>
      <w:r w:rsidRPr="00E772AD">
        <w:t xml:space="preserve"> not stem from the caseworker. Rather, it flow</w:t>
      </w:r>
      <w:r w:rsidR="006E7AD5" w:rsidRPr="00E772AD">
        <w:t>s</w:t>
      </w:r>
      <w:r w:rsidRPr="00E772AD">
        <w:t xml:space="preserve"> through the caseworker, and this is an important distinction. One participant </w:t>
      </w:r>
      <w:proofErr w:type="gramStart"/>
      <w:r w:rsidRPr="00E772AD">
        <w:t>state</w:t>
      </w:r>
      <w:r w:rsidR="006E7AD5" w:rsidRPr="00E772AD">
        <w:t>s</w:t>
      </w:r>
      <w:proofErr w:type="gramEnd"/>
      <w:r w:rsidRPr="00E772AD">
        <w:t xml:space="preserve"> that ‘it is not their [the caseworker’s] fault that things are arranged the way they are.’ Others explain themselves metaphorically, arguing that the caseworker </w:t>
      </w:r>
      <w:r w:rsidR="006E7AD5" w:rsidRPr="00E772AD">
        <w:t xml:space="preserve">is </w:t>
      </w:r>
      <w:r w:rsidRPr="00E772AD">
        <w:t xml:space="preserve">merely a messenger with </w:t>
      </w:r>
      <w:r w:rsidR="006E7AD5" w:rsidRPr="00E772AD">
        <w:t xml:space="preserve">his/her </w:t>
      </w:r>
      <w:r w:rsidRPr="00E772AD">
        <w:t xml:space="preserve">hands tied.   </w:t>
      </w:r>
    </w:p>
    <w:p w14:paraId="33D147CA" w14:textId="1CCE575E" w:rsidR="00070CF2" w:rsidRPr="00E772AD" w:rsidRDefault="00070CF2" w:rsidP="00070CF2">
      <w:pPr>
        <w:spacing w:line="480" w:lineRule="auto"/>
      </w:pPr>
      <w:r w:rsidRPr="00E772AD">
        <w:tab/>
        <w:t>Some participants point out that their caseworkers actively str</w:t>
      </w:r>
      <w:r w:rsidR="006E7AD5" w:rsidRPr="00E772AD">
        <w:t>i</w:t>
      </w:r>
      <w:r w:rsidRPr="00E772AD">
        <w:t>ve to protect them from threats and potential sanctions, even if it involve</w:t>
      </w:r>
      <w:r w:rsidR="006E7AD5" w:rsidRPr="00E772AD">
        <w:t>s</w:t>
      </w:r>
      <w:r w:rsidRPr="00E772AD">
        <w:t xml:space="preserve"> bending the rules. They state that their </w:t>
      </w:r>
      <w:proofErr w:type="gramStart"/>
      <w:r w:rsidRPr="00E772AD">
        <w:t>particular caseworkers</w:t>
      </w:r>
      <w:proofErr w:type="gramEnd"/>
      <w:r w:rsidRPr="00E772AD">
        <w:t xml:space="preserve">—often described as exceptionally passionate or tireless—attempt to shield them from being mistreated by the system, for instance, by helping them to circumnavigate demands for them to be more active. Such caseworkers </w:t>
      </w:r>
      <w:r w:rsidR="006E7AD5" w:rsidRPr="00E772AD">
        <w:t xml:space="preserve">are </w:t>
      </w:r>
      <w:r w:rsidRPr="00E772AD">
        <w:t xml:space="preserve">therefore regarded as strategic partners. In numerous instances, they </w:t>
      </w:r>
      <w:r w:rsidR="006E7AD5" w:rsidRPr="00E772AD">
        <w:t xml:space="preserve">are </w:t>
      </w:r>
      <w:r w:rsidRPr="00E772AD">
        <w:t xml:space="preserve">portrayed as caring souls whose good intentions </w:t>
      </w:r>
      <w:r w:rsidR="006E7AD5" w:rsidRPr="00E772AD">
        <w:t xml:space="preserve">are </w:t>
      </w:r>
      <w:r w:rsidRPr="00E772AD">
        <w:t>nonetheless overshadowed and overpowered by the will of the system. The participants expect the system to behave in threatening ways and such expectations persist even when their caseworkers (or others) t</w:t>
      </w:r>
      <w:r w:rsidR="006E7AD5" w:rsidRPr="00E772AD">
        <w:t>ell</w:t>
      </w:r>
      <w:r w:rsidRPr="00E772AD">
        <w:t xml:space="preserve"> them that they ha</w:t>
      </w:r>
      <w:r w:rsidR="006E7AD5" w:rsidRPr="00E772AD">
        <w:t>ve</w:t>
      </w:r>
      <w:r w:rsidRPr="00E772AD">
        <w:t xml:space="preserve"> nothing to worry about. The origins of such expectations </w:t>
      </w:r>
      <w:r w:rsidR="006E7AD5" w:rsidRPr="00E772AD">
        <w:t xml:space="preserve">are </w:t>
      </w:r>
      <w:r w:rsidRPr="00E772AD">
        <w:t xml:space="preserve">complex; some </w:t>
      </w:r>
      <w:r w:rsidR="006E7AD5" w:rsidRPr="00E772AD">
        <w:t xml:space="preserve">are </w:t>
      </w:r>
      <w:r w:rsidRPr="00E772AD">
        <w:t>based on the participants’ histories as claimants (which include</w:t>
      </w:r>
      <w:r w:rsidR="006E7AD5" w:rsidRPr="00E772AD">
        <w:t xml:space="preserve"> </w:t>
      </w:r>
      <w:r w:rsidRPr="00E772AD">
        <w:t>several occasions whe</w:t>
      </w:r>
      <w:r w:rsidR="000B61C0" w:rsidRPr="00E772AD">
        <w:t>re</w:t>
      </w:r>
      <w:r w:rsidRPr="00E772AD">
        <w:t xml:space="preserve"> they </w:t>
      </w:r>
      <w:r w:rsidR="006E7AD5" w:rsidRPr="00E772AD">
        <w:t xml:space="preserve">are </w:t>
      </w:r>
      <w:r w:rsidRPr="00E772AD">
        <w:t xml:space="preserve">threatened or disciplined) whereas others originate from, for example, mediated narratives of the job centre system. The following quotation provides an example of </w:t>
      </w:r>
      <w:proofErr w:type="gramStart"/>
      <w:r w:rsidRPr="00E772AD">
        <w:t>the  expectations</w:t>
      </w:r>
      <w:proofErr w:type="gramEnd"/>
      <w:r w:rsidRPr="00E772AD">
        <w:t xml:space="preserve"> of an enforcing system. The participant </w:t>
      </w:r>
      <w:r w:rsidR="00A73F4C" w:rsidRPr="00E772AD">
        <w:t xml:space="preserve">in a group interview </w:t>
      </w:r>
      <w:r w:rsidRPr="00E772AD">
        <w:t>detail</w:t>
      </w:r>
      <w:r w:rsidR="000B61C0" w:rsidRPr="00E772AD">
        <w:t>s</w:t>
      </w:r>
      <w:r w:rsidRPr="00E772AD">
        <w:t xml:space="preserve"> </w:t>
      </w:r>
      <w:commentRangeStart w:id="9"/>
      <w:commentRangeStart w:id="10"/>
      <w:r w:rsidRPr="00E772AD">
        <w:t xml:space="preserve">how she found herself in a situation where she was almost late for a scheduled meeting at the job centre: </w:t>
      </w:r>
      <w:commentRangeEnd w:id="9"/>
      <w:r w:rsidR="000B61C0" w:rsidRPr="00E772AD">
        <w:rPr>
          <w:rStyle w:val="Kommentarhenvisning"/>
          <w:rFonts w:eastAsiaTheme="minorHAnsi" w:cstheme="minorBidi"/>
        </w:rPr>
        <w:commentReference w:id="9"/>
      </w:r>
      <w:commentRangeEnd w:id="10"/>
      <w:r w:rsidR="00271438" w:rsidRPr="00E772AD">
        <w:rPr>
          <w:rStyle w:val="Kommentarhenvisning"/>
          <w:rFonts w:eastAsiaTheme="minorHAnsi" w:cstheme="minorBidi"/>
        </w:rPr>
        <w:commentReference w:id="10"/>
      </w:r>
    </w:p>
    <w:p w14:paraId="7EBBCF78" w14:textId="77777777" w:rsidR="00070CF2" w:rsidRPr="00E772AD" w:rsidRDefault="00070CF2" w:rsidP="00070CF2">
      <w:pPr>
        <w:spacing w:line="480" w:lineRule="auto"/>
        <w:ind w:left="709"/>
        <w:rPr>
          <w:iCs/>
        </w:rPr>
      </w:pPr>
      <w:r w:rsidRPr="00E772AD">
        <w:rPr>
          <w:iCs/>
        </w:rPr>
        <w:t xml:space="preserve">I called my coordinator completely beside myself, a weeping mess because I missed the bus. And then I wouldn’t be able to get to the job centre on time. I actually called for a taxi, which couldn’t come, of course, because there </w:t>
      </w:r>
      <w:proofErr w:type="gramStart"/>
      <w:r w:rsidRPr="00E772AD">
        <w:rPr>
          <w:iCs/>
        </w:rPr>
        <w:t>is</w:t>
      </w:r>
      <w:proofErr w:type="gramEnd"/>
      <w:r w:rsidRPr="00E772AD">
        <w:rPr>
          <w:iCs/>
        </w:rPr>
        <w:t xml:space="preserve"> only two taxis in the whole of the municipality at that time of day. And I thought, ‘</w:t>
      </w:r>
      <w:proofErr w:type="gramStart"/>
      <w:r w:rsidRPr="00E772AD">
        <w:rPr>
          <w:iCs/>
        </w:rPr>
        <w:t>shit</w:t>
      </w:r>
      <w:proofErr w:type="gramEnd"/>
      <w:r w:rsidRPr="00E772AD">
        <w:rPr>
          <w:iCs/>
        </w:rPr>
        <w:t>! They are going to shut off my money.’ Because I have heard that from other places, that if you do that, if you don’t show up [they shut off your money].</w:t>
      </w:r>
    </w:p>
    <w:p w14:paraId="06132C8D" w14:textId="77777777" w:rsidR="00070CF2" w:rsidRPr="00E772AD" w:rsidRDefault="00070CF2" w:rsidP="00070CF2">
      <w:pPr>
        <w:spacing w:line="480" w:lineRule="auto"/>
      </w:pPr>
      <w:r w:rsidRPr="00E772AD">
        <w:tab/>
        <w:t>The participant phoned the coordinator at the job centre and tried to explain what had happened:</w:t>
      </w:r>
    </w:p>
    <w:p w14:paraId="28A0DDBD" w14:textId="72D61121" w:rsidR="00070CF2" w:rsidRPr="00E772AD" w:rsidRDefault="00A73F4C" w:rsidP="00A73F4C">
      <w:pPr>
        <w:spacing w:line="480" w:lineRule="auto"/>
        <w:ind w:left="709"/>
        <w:rPr>
          <w:iCs/>
        </w:rPr>
      </w:pPr>
      <w:r w:rsidRPr="00E772AD">
        <w:rPr>
          <w:iCs/>
        </w:rPr>
        <w:t>‘</w:t>
      </w:r>
      <w:r w:rsidR="00070CF2" w:rsidRPr="00E772AD">
        <w:rPr>
          <w:iCs/>
        </w:rPr>
        <w:t xml:space="preserve">I didn’t make the bus and I tried calling for a taxi, and I can’t get in, and it states that I have to attend, and if I don’t attend, you will shut off my money!’ I was in a complete </w:t>
      </w:r>
      <w:proofErr w:type="gramStart"/>
      <w:r w:rsidR="00070CF2" w:rsidRPr="00E772AD">
        <w:rPr>
          <w:iCs/>
        </w:rPr>
        <w:t>tizz</w:t>
      </w:r>
      <w:proofErr w:type="gramEnd"/>
      <w:r w:rsidR="00070CF2" w:rsidRPr="00E772AD">
        <w:rPr>
          <w:iCs/>
        </w:rPr>
        <w:t xml:space="preserve"> and she said, ‘there now. Relax. Then get the next bus.’ ‘</w:t>
      </w:r>
      <w:proofErr w:type="gramStart"/>
      <w:r w:rsidR="00070CF2" w:rsidRPr="00E772AD">
        <w:rPr>
          <w:iCs/>
        </w:rPr>
        <w:t>But,</w:t>
      </w:r>
      <w:proofErr w:type="gramEnd"/>
      <w:r w:rsidR="00070CF2" w:rsidRPr="00E772AD">
        <w:rPr>
          <w:iCs/>
        </w:rPr>
        <w:t xml:space="preserve"> are you sure?’ ‘Yes.’ ‘But are you really sure, because I don’t want to risk-.’ […] I ended up calling my former sister-in-law, and then she had to drive me to the job centre, because I couldn’t handle that. I was totally stressed out and I slept bad for several nights after that. Even though I had been to the job centre and heard that, well, it’s alright.</w:t>
      </w:r>
    </w:p>
    <w:p w14:paraId="3E675E32" w14:textId="2197EEAC" w:rsidR="00070CF2" w:rsidRPr="00E772AD" w:rsidRDefault="00070CF2" w:rsidP="00A73F4C">
      <w:pPr>
        <w:spacing w:line="480" w:lineRule="auto"/>
        <w:rPr>
          <w:lang w:val="en-US"/>
        </w:rPr>
      </w:pPr>
      <w:r w:rsidRPr="00E772AD">
        <w:rPr>
          <w:iCs/>
        </w:rPr>
        <w:tab/>
      </w:r>
      <w:r w:rsidR="00A73F4C" w:rsidRPr="00E772AD">
        <w:rPr>
          <w:iCs/>
          <w:lang w:val="en-US"/>
        </w:rPr>
        <w:t>The experiences of the interviewee illustrate a strongly embodie</w:t>
      </w:r>
      <w:r w:rsidR="000B61C0" w:rsidRPr="00E772AD">
        <w:rPr>
          <w:iCs/>
          <w:lang w:val="en-US"/>
        </w:rPr>
        <w:t>d</w:t>
      </w:r>
      <w:r w:rsidR="00A73F4C" w:rsidRPr="00E772AD">
        <w:rPr>
          <w:iCs/>
          <w:lang w:val="en-US"/>
        </w:rPr>
        <w:t xml:space="preserve"> set of expectations of the system</w:t>
      </w:r>
      <w:r w:rsidRPr="00E772AD">
        <w:t xml:space="preserve">: it disciplines and sanctions whenever a claimant break the rules, no matter how minor the offence. Although the job centre personnel </w:t>
      </w:r>
      <w:proofErr w:type="gramStart"/>
      <w:r w:rsidRPr="00E772AD">
        <w:t>assure</w:t>
      </w:r>
      <w:r w:rsidR="000B61C0" w:rsidRPr="00E772AD">
        <w:t>s</w:t>
      </w:r>
      <w:proofErr w:type="gramEnd"/>
      <w:r w:rsidRPr="00E772AD">
        <w:t xml:space="preserve"> her on more than one occasion that it </w:t>
      </w:r>
      <w:r w:rsidR="000B61C0" w:rsidRPr="00E772AD">
        <w:t xml:space="preserve">is </w:t>
      </w:r>
      <w:r w:rsidRPr="00E772AD">
        <w:t xml:space="preserve">all right that </w:t>
      </w:r>
      <w:commentRangeStart w:id="11"/>
      <w:commentRangeStart w:id="12"/>
      <w:r w:rsidRPr="00E772AD">
        <w:t xml:space="preserve">she was running </w:t>
      </w:r>
      <w:commentRangeEnd w:id="11"/>
      <w:r w:rsidR="000B61C0" w:rsidRPr="00E772AD">
        <w:rPr>
          <w:rStyle w:val="Kommentarhenvisning"/>
          <w:rFonts w:eastAsiaTheme="minorHAnsi" w:cstheme="minorBidi"/>
        </w:rPr>
        <w:commentReference w:id="11"/>
      </w:r>
      <w:commentRangeEnd w:id="12"/>
      <w:r w:rsidR="00271438" w:rsidRPr="00E772AD">
        <w:rPr>
          <w:rStyle w:val="Kommentarhenvisning"/>
          <w:rFonts w:eastAsiaTheme="minorHAnsi" w:cstheme="minorBidi"/>
        </w:rPr>
        <w:commentReference w:id="12"/>
      </w:r>
      <w:r w:rsidRPr="00E772AD">
        <w:t xml:space="preserve">a little late, their expressions of care </w:t>
      </w:r>
      <w:r w:rsidR="000B61C0" w:rsidRPr="00E772AD">
        <w:t xml:space="preserve">are </w:t>
      </w:r>
      <w:r w:rsidRPr="00E772AD">
        <w:t xml:space="preserve">trumped by the expectations of the enforcing system. </w:t>
      </w:r>
    </w:p>
    <w:p w14:paraId="1E958965" w14:textId="5641AD9E" w:rsidR="00070CF2" w:rsidRPr="00E772AD" w:rsidRDefault="00070CF2" w:rsidP="00A73F4C">
      <w:pPr>
        <w:spacing w:line="480" w:lineRule="auto"/>
      </w:pPr>
      <w:r w:rsidRPr="00E772AD">
        <w:tab/>
        <w:t xml:space="preserve">This </w:t>
      </w:r>
      <w:r w:rsidR="00A73F4C" w:rsidRPr="00E772AD">
        <w:t xml:space="preserve">part of the </w:t>
      </w:r>
      <w:commentRangeStart w:id="13"/>
      <w:commentRangeStart w:id="14"/>
      <w:r w:rsidRPr="00E772AD">
        <w:t xml:space="preserve">analysis has sketched </w:t>
      </w:r>
      <w:commentRangeEnd w:id="13"/>
      <w:r w:rsidR="000B61C0" w:rsidRPr="00E772AD">
        <w:rPr>
          <w:rStyle w:val="Kommentarhenvisning"/>
          <w:rFonts w:eastAsiaTheme="minorHAnsi" w:cstheme="minorBidi"/>
        </w:rPr>
        <w:commentReference w:id="13"/>
      </w:r>
      <w:commentRangeEnd w:id="14"/>
      <w:r w:rsidR="00271438" w:rsidRPr="00E772AD">
        <w:rPr>
          <w:rStyle w:val="Kommentarhenvisning"/>
          <w:rFonts w:eastAsiaTheme="minorHAnsi" w:cstheme="minorBidi"/>
        </w:rPr>
        <w:commentReference w:id="14"/>
      </w:r>
      <w:r w:rsidRPr="00E772AD">
        <w:t xml:space="preserve">a specific hybrid in which enforcement </w:t>
      </w:r>
      <w:r w:rsidR="00A73F4C" w:rsidRPr="00E772AD">
        <w:t>is</w:t>
      </w:r>
      <w:r w:rsidRPr="00E772AD">
        <w:t xml:space="preserve"> associated with a faceless system and where whereas care </w:t>
      </w:r>
      <w:r w:rsidR="000B61C0" w:rsidRPr="00E772AD">
        <w:t xml:space="preserve">is </w:t>
      </w:r>
      <w:r w:rsidRPr="00E772AD">
        <w:t xml:space="preserve">associated with the very actors who represent the system. The job centre </w:t>
      </w:r>
      <w:r w:rsidR="000B61C0" w:rsidRPr="00E772AD">
        <w:t xml:space="preserve">is </w:t>
      </w:r>
      <w:r w:rsidRPr="00E772AD">
        <w:t xml:space="preserve">thus depicted as a hybrid comprising a system on the one hand and employees on the other. The latter </w:t>
      </w:r>
      <w:r w:rsidR="000B61C0" w:rsidRPr="00E772AD">
        <w:t xml:space="preserve">can </w:t>
      </w:r>
      <w:r w:rsidRPr="00E772AD">
        <w:t xml:space="preserve">provide advice on how to navigate the system, shield claimants from threats and sanctions, or act as well-meaning beings who </w:t>
      </w:r>
      <w:r w:rsidR="000B61C0" w:rsidRPr="00E772AD">
        <w:t xml:space="preserve">are </w:t>
      </w:r>
      <w:r w:rsidRPr="00E772AD">
        <w:t xml:space="preserve">nonetheless overpowered by the system. In such cases, the job centre personnel </w:t>
      </w:r>
      <w:r w:rsidR="000B61C0" w:rsidRPr="00E772AD">
        <w:t xml:space="preserve">are </w:t>
      </w:r>
      <w:r w:rsidRPr="00E772AD">
        <w:t>seen as potential allies with resources that help claimants deal with the system.</w:t>
      </w:r>
    </w:p>
    <w:p w14:paraId="69C4AA60" w14:textId="77777777" w:rsidR="00070CF2" w:rsidRPr="00E772AD" w:rsidRDefault="00070CF2" w:rsidP="00070CF2">
      <w:pPr>
        <w:spacing w:line="480" w:lineRule="auto"/>
        <w:jc w:val="both"/>
      </w:pPr>
      <w:r w:rsidRPr="00E772AD">
        <w:rPr>
          <w:b/>
          <w:bCs/>
        </w:rPr>
        <w:t>The Phase-Based Hybrid Form</w:t>
      </w:r>
      <w:r w:rsidRPr="00E772AD">
        <w:t xml:space="preserve"> </w:t>
      </w:r>
    </w:p>
    <w:p w14:paraId="38C9180A" w14:textId="13599C7D" w:rsidR="00070CF2" w:rsidRPr="00E772AD" w:rsidRDefault="00070CF2" w:rsidP="00070CF2">
      <w:pPr>
        <w:spacing w:line="480" w:lineRule="auto"/>
        <w:jc w:val="both"/>
      </w:pPr>
      <w:r w:rsidRPr="00E772AD">
        <w:tab/>
        <w:t xml:space="preserve">In the third form of hybridity, distinctions between enforcement and care </w:t>
      </w:r>
      <w:r w:rsidR="000B61C0" w:rsidRPr="00E772AD">
        <w:t xml:space="preserve">are </w:t>
      </w:r>
      <w:r w:rsidRPr="00E772AD">
        <w:t xml:space="preserve">neither drawn between different actors nor between the system on the one hand and its struggling personnel on the other. Some of the participants distinguish different temporal phases that </w:t>
      </w:r>
      <w:r w:rsidR="000B61C0" w:rsidRPr="00E772AD">
        <w:t xml:space="preserve">are </w:t>
      </w:r>
      <w:r w:rsidRPr="00E772AD">
        <w:t xml:space="preserve">characterised by fluctuating levels of enforcement and care, as the following interview extract illustrates: </w:t>
      </w:r>
    </w:p>
    <w:p w14:paraId="15AC1871" w14:textId="77777777" w:rsidR="00070CF2" w:rsidRPr="00E772AD" w:rsidRDefault="00070CF2" w:rsidP="00070CF2">
      <w:pPr>
        <w:spacing w:line="480" w:lineRule="auto"/>
        <w:ind w:left="709"/>
      </w:pPr>
      <w:r w:rsidRPr="00E772AD">
        <w:t xml:space="preserve">I had a lot of doubts and, you know, even though I have been treated very well by the job centre for this entire period, you still have a bit of anxiety about [sanctioning]. Because something has changed in the job centre, in [this municipality] at least. The treatment I had before, is certainly not the way I am treated now. There is a lot more sympathy and concern and it’s okay to say no. […] [The last time] they pushed me quite hard and in a way that wasn’t nice. Which I haven’t experienced this time around. And I told them so, and it’s something that they worked at. […] It’s different now. Because I can </w:t>
      </w:r>
      <w:proofErr w:type="gramStart"/>
      <w:r w:rsidRPr="00E772AD">
        <w:t>actually say</w:t>
      </w:r>
      <w:proofErr w:type="gramEnd"/>
      <w:r w:rsidRPr="00E772AD">
        <w:t xml:space="preserve"> ‘no,’ [and they say] ‘you know what, it’s not the right place for you, we will find something better.’ Instead of ‘try a little longer, it will get better.’ So yeah. A completely different level of sympathy.</w:t>
      </w:r>
    </w:p>
    <w:p w14:paraId="0632749B" w14:textId="0543CCE1" w:rsidR="00070CF2" w:rsidRPr="00E772AD" w:rsidRDefault="00070CF2" w:rsidP="00070CF2">
      <w:pPr>
        <w:spacing w:line="480" w:lineRule="auto"/>
      </w:pPr>
      <w:r w:rsidRPr="00E772AD">
        <w:tab/>
        <w:t xml:space="preserve">Something changed along the way. As with the other forms of hybridity, participants’ depictions of the system reveal how enforcement and care </w:t>
      </w:r>
      <w:r w:rsidR="000B61C0" w:rsidRPr="00E772AD">
        <w:t xml:space="preserve">are </w:t>
      </w:r>
      <w:r w:rsidRPr="00E772AD">
        <w:t xml:space="preserve">intertwined but </w:t>
      </w:r>
      <w:r w:rsidR="000B61C0" w:rsidRPr="00E772AD">
        <w:t xml:space="preserve">come </w:t>
      </w:r>
      <w:r w:rsidRPr="00E772AD">
        <w:t xml:space="preserve">to be distinguished from each other over time; that is, they each represent different phases rather than </w:t>
      </w:r>
      <w:proofErr w:type="gramStart"/>
      <w:r w:rsidRPr="00E772AD">
        <w:t>particular actors</w:t>
      </w:r>
      <w:proofErr w:type="gramEnd"/>
      <w:r w:rsidRPr="00E772AD">
        <w:t xml:space="preserve"> or a system in relation to persons. We consider these perspectives to be experiences of hybridity, though one might argue that the two logics in such cases </w:t>
      </w:r>
      <w:r w:rsidR="000B61C0" w:rsidRPr="00E772AD">
        <w:t xml:space="preserve">does </w:t>
      </w:r>
      <w:r w:rsidRPr="00E772AD">
        <w:t xml:space="preserve">not exist contemporaneously. Nevertheless, the different logics and their interaction </w:t>
      </w:r>
      <w:r w:rsidR="000B61C0" w:rsidRPr="00E772AD">
        <w:t xml:space="preserve">are </w:t>
      </w:r>
      <w:r w:rsidRPr="00E772AD">
        <w:t>an important element of the participants’ depictions of the job centre: experiences of temporal changes—alternating between enforcement and care—</w:t>
      </w:r>
      <w:r w:rsidR="000B61C0" w:rsidRPr="00E772AD">
        <w:t xml:space="preserve">are </w:t>
      </w:r>
      <w:r w:rsidRPr="00E772AD">
        <w:t xml:space="preserve">pivotal </w:t>
      </w:r>
      <w:r w:rsidR="00A73F4C" w:rsidRPr="00E772AD">
        <w:t>for understanding their</w:t>
      </w:r>
      <w:r w:rsidRPr="00E772AD">
        <w:t xml:space="preserve"> narratives</w:t>
      </w:r>
      <w:r w:rsidR="00A73F4C" w:rsidRPr="00E772AD">
        <w:t xml:space="preserve"> about the job </w:t>
      </w:r>
      <w:proofErr w:type="spellStart"/>
      <w:r w:rsidR="00A73F4C" w:rsidRPr="00E772AD">
        <w:t>center</w:t>
      </w:r>
      <w:proofErr w:type="spellEnd"/>
      <w:r w:rsidRPr="00E772AD">
        <w:t>. For instance, one participant state</w:t>
      </w:r>
      <w:r w:rsidR="000B61C0" w:rsidRPr="00E772AD">
        <w:t>s</w:t>
      </w:r>
      <w:r w:rsidRPr="00E772AD">
        <w:t xml:space="preserve"> that he </w:t>
      </w:r>
      <w:r w:rsidR="000B61C0" w:rsidRPr="00E772AD">
        <w:t xml:space="preserve">is </w:t>
      </w:r>
      <w:r w:rsidRPr="00E772AD">
        <w:t xml:space="preserve">happy being where he </w:t>
      </w:r>
      <w:r w:rsidR="000B61C0" w:rsidRPr="00E772AD">
        <w:t xml:space="preserve">is </w:t>
      </w:r>
      <w:r w:rsidRPr="00E772AD">
        <w:t>in his unemployment trajectory but worrie</w:t>
      </w:r>
      <w:r w:rsidR="00A12008" w:rsidRPr="00E772AD">
        <w:t>s</w:t>
      </w:r>
      <w:r w:rsidRPr="00E772AD">
        <w:t xml:space="preserve"> that things </w:t>
      </w:r>
      <w:r w:rsidR="00A12008" w:rsidRPr="00E772AD">
        <w:t xml:space="preserve">will </w:t>
      </w:r>
      <w:r w:rsidRPr="00E772AD">
        <w:t xml:space="preserve">change once again. </w:t>
      </w:r>
      <w:commentRangeStart w:id="15"/>
      <w:commentRangeStart w:id="16"/>
      <w:r w:rsidRPr="00E772AD">
        <w:t>Another explain</w:t>
      </w:r>
      <w:r w:rsidR="00A12008" w:rsidRPr="00E772AD">
        <w:t>s</w:t>
      </w:r>
      <w:r w:rsidRPr="00E772AD">
        <w:t xml:space="preserve"> that he </w:t>
      </w:r>
      <w:r w:rsidR="00A12008" w:rsidRPr="00E772AD">
        <w:t xml:space="preserve">was </w:t>
      </w:r>
      <w:r w:rsidRPr="00E772AD">
        <w:t>optimistic when he recently started working with a new physiotherapist:</w:t>
      </w:r>
      <w:commentRangeEnd w:id="15"/>
      <w:r w:rsidR="00A12008" w:rsidRPr="00E772AD">
        <w:rPr>
          <w:rStyle w:val="Kommentarhenvisning"/>
          <w:rFonts w:eastAsiaTheme="minorHAnsi" w:cstheme="minorBidi"/>
        </w:rPr>
        <w:commentReference w:id="15"/>
      </w:r>
      <w:commentRangeEnd w:id="16"/>
      <w:r w:rsidR="00271438" w:rsidRPr="00E772AD">
        <w:rPr>
          <w:rStyle w:val="Kommentarhenvisning"/>
          <w:rFonts w:eastAsiaTheme="minorHAnsi" w:cstheme="minorBidi"/>
        </w:rPr>
        <w:commentReference w:id="16"/>
      </w:r>
      <w:r w:rsidRPr="00E772AD">
        <w:t xml:space="preserve"> ‘finally something happens!’ However, </w:t>
      </w:r>
      <w:proofErr w:type="gramStart"/>
      <w:r w:rsidRPr="00E772AD">
        <w:t>in light of</w:t>
      </w:r>
      <w:proofErr w:type="gramEnd"/>
      <w:r w:rsidRPr="00E772AD">
        <w:t xml:space="preserve"> previous disappointments, he </w:t>
      </w:r>
      <w:r w:rsidR="00A12008" w:rsidRPr="00E772AD">
        <w:t xml:space="preserve">is </w:t>
      </w:r>
      <w:r w:rsidRPr="00E772AD">
        <w:t xml:space="preserve">afraid there </w:t>
      </w:r>
      <w:r w:rsidR="00A12008" w:rsidRPr="00E772AD">
        <w:t xml:space="preserve">will </w:t>
      </w:r>
      <w:r w:rsidRPr="00E772AD">
        <w:t xml:space="preserve">be a backlash. A third participant </w:t>
      </w:r>
      <w:r w:rsidR="00A12008" w:rsidRPr="00E772AD">
        <w:t xml:space="preserve">says </w:t>
      </w:r>
      <w:r w:rsidRPr="00E772AD">
        <w:t xml:space="preserve">that the job centre </w:t>
      </w:r>
      <w:r w:rsidR="00A12008" w:rsidRPr="00E772AD">
        <w:t xml:space="preserve">is </w:t>
      </w:r>
      <w:r w:rsidRPr="00E772AD">
        <w:t xml:space="preserve">currently taking him seriously, which </w:t>
      </w:r>
      <w:r w:rsidR="00A12008" w:rsidRPr="00E772AD">
        <w:t xml:space="preserve">is </w:t>
      </w:r>
      <w:r w:rsidRPr="00E772AD">
        <w:t>very different from how it used to be. He believe</w:t>
      </w:r>
      <w:r w:rsidR="00A12008" w:rsidRPr="00E772AD">
        <w:t>s</w:t>
      </w:r>
      <w:r w:rsidRPr="00E772AD">
        <w:t xml:space="preserve"> that this </w:t>
      </w:r>
      <w:r w:rsidR="00A12008" w:rsidRPr="00E772AD">
        <w:t xml:space="preserve">is </w:t>
      </w:r>
      <w:r w:rsidRPr="00E772AD">
        <w:t>because he ha</w:t>
      </w:r>
      <w:r w:rsidR="00A12008" w:rsidRPr="00E772AD">
        <w:t>s</w:t>
      </w:r>
      <w:r w:rsidRPr="00E772AD">
        <w:t xml:space="preserve"> recently turned 30 and ha</w:t>
      </w:r>
      <w:r w:rsidR="00A12008" w:rsidRPr="00E772AD">
        <w:t>s</w:t>
      </w:r>
      <w:r w:rsidRPr="00E772AD">
        <w:t xml:space="preserve"> been transferred to a new category of claimants. Thus, phases of greater or lesser enforcement or care mark</w:t>
      </w:r>
      <w:r w:rsidR="00A12008" w:rsidRPr="00E772AD">
        <w:t>s</w:t>
      </w:r>
      <w:r w:rsidRPr="00E772AD">
        <w:t xml:space="preserve"> the participants’ interactions with the job centre. These represent a hybridity where boundaries between care and enforcement </w:t>
      </w:r>
      <w:r w:rsidR="00A12008" w:rsidRPr="00E772AD">
        <w:t xml:space="preserve">are </w:t>
      </w:r>
      <w:r w:rsidRPr="00E772AD">
        <w:t>drawn between phases in the participants’ trajectories.</w:t>
      </w:r>
    </w:p>
    <w:p w14:paraId="58B011B5" w14:textId="5B69DB75" w:rsidR="00070CF2" w:rsidRPr="00E772AD" w:rsidRDefault="00070CF2" w:rsidP="00070CF2">
      <w:pPr>
        <w:spacing w:line="480" w:lineRule="auto"/>
      </w:pPr>
      <w:r w:rsidRPr="00E772AD">
        <w:tab/>
        <w:t xml:space="preserve">There </w:t>
      </w:r>
      <w:r w:rsidR="00A73F4C" w:rsidRPr="00E772AD">
        <w:t>can</w:t>
      </w:r>
      <w:r w:rsidRPr="00E772AD">
        <w:t xml:space="preserve"> be several reasons for such shifts. Some </w:t>
      </w:r>
      <w:r w:rsidR="00A12008" w:rsidRPr="00E772AD">
        <w:t xml:space="preserve">are </w:t>
      </w:r>
      <w:r w:rsidRPr="00E772AD">
        <w:t xml:space="preserve">experienced as abrupt, others as more gradual. </w:t>
      </w:r>
      <w:r w:rsidR="00A73F4C" w:rsidRPr="00E772AD">
        <w:t>Others</w:t>
      </w:r>
      <w:r w:rsidRPr="00E772AD">
        <w:t xml:space="preserve"> discuss how they ha</w:t>
      </w:r>
      <w:r w:rsidR="00A12008" w:rsidRPr="00E772AD">
        <w:t>ve</w:t>
      </w:r>
      <w:r w:rsidRPr="00E772AD">
        <w:t xml:space="preserve"> become more competent in navigating the system</w:t>
      </w:r>
      <w:r w:rsidR="00A12008" w:rsidRPr="00E772AD">
        <w:t xml:space="preserve"> which</w:t>
      </w:r>
      <w:r w:rsidRPr="00E772AD">
        <w:t xml:space="preserve"> limit</w:t>
      </w:r>
      <w:r w:rsidR="00A12008" w:rsidRPr="00E772AD">
        <w:t>s</w:t>
      </w:r>
      <w:r w:rsidRPr="00E772AD">
        <w:t xml:space="preserve"> its enforcing power. Some sp</w:t>
      </w:r>
      <w:r w:rsidR="00A12008" w:rsidRPr="00E772AD">
        <w:t xml:space="preserve">eak </w:t>
      </w:r>
      <w:r w:rsidRPr="00E772AD">
        <w:t xml:space="preserve">of the influence of external changes, such as receiving a doctor’s diagnosis, being placed within a new formal category, or the implementation of new policies. Much scholarly work in Denmark has focused on the documented harmful effects caused by changes </w:t>
      </w:r>
      <w:r w:rsidR="00A73F4C" w:rsidRPr="00E772AD">
        <w:t xml:space="preserve">of </w:t>
      </w:r>
      <w:r w:rsidRPr="00E772AD">
        <w:t>caseworker</w:t>
      </w:r>
      <w:r w:rsidR="00A73F4C" w:rsidRPr="00E772AD">
        <w:t>s</w:t>
      </w:r>
      <w:r w:rsidRPr="00E772AD">
        <w:t xml:space="preserve"> (Rosholm et al., 2017). This </w:t>
      </w:r>
      <w:r w:rsidR="00A12008" w:rsidRPr="00E772AD">
        <w:t xml:space="preserve">is </w:t>
      </w:r>
      <w:r w:rsidR="00A73F4C" w:rsidRPr="00E772AD">
        <w:t>also</w:t>
      </w:r>
      <w:r w:rsidRPr="00E772AD">
        <w:t xml:space="preserve"> highlighted</w:t>
      </w:r>
      <w:r w:rsidR="00A12008" w:rsidRPr="00E772AD">
        <w:t xml:space="preserve"> by our participants</w:t>
      </w:r>
      <w:r w:rsidRPr="00E772AD">
        <w:t xml:space="preserve">: </w:t>
      </w:r>
    </w:p>
    <w:p w14:paraId="75A43DD1" w14:textId="77777777" w:rsidR="00070CF2" w:rsidRPr="00E772AD" w:rsidRDefault="00070CF2" w:rsidP="00070CF2">
      <w:pPr>
        <w:spacing w:line="480" w:lineRule="auto"/>
        <w:ind w:left="709"/>
      </w:pPr>
      <w:r w:rsidRPr="00E772AD">
        <w:t xml:space="preserve">The first caseworker I had, we just had a </w:t>
      </w:r>
      <w:proofErr w:type="gramStart"/>
      <w:r w:rsidRPr="00E772AD">
        <w:t>really nice</w:t>
      </w:r>
      <w:proofErr w:type="gramEnd"/>
      <w:r w:rsidRPr="00E772AD">
        <w:t xml:space="preserve"> relationship and that was before COVID-19 and all that. And she saw the person behind [the surface] and she saw the things I had been struggling through the last couple of years. (…) And BAM! Then I got a new one.</w:t>
      </w:r>
    </w:p>
    <w:p w14:paraId="38E47ECD" w14:textId="4BFF71AC" w:rsidR="00070CF2" w:rsidRPr="00E772AD" w:rsidRDefault="00070CF2" w:rsidP="00070CF2">
      <w:pPr>
        <w:spacing w:line="480" w:lineRule="auto"/>
      </w:pPr>
      <w:r w:rsidRPr="00E772AD">
        <w:tab/>
        <w:t xml:space="preserve">Boundaries between enforcement and care </w:t>
      </w:r>
      <w:r w:rsidR="00A73F4C" w:rsidRPr="00E772AD">
        <w:t xml:space="preserve">are, in these instances, </w:t>
      </w:r>
      <w:r w:rsidRPr="00E772AD">
        <w:t xml:space="preserve">not drawn between actors or between the system and its personnel. Instead, the job centre </w:t>
      </w:r>
      <w:r w:rsidR="00A73F4C" w:rsidRPr="00E772AD">
        <w:t>is</w:t>
      </w:r>
      <w:r w:rsidRPr="00E772AD">
        <w:t xml:space="preserve"> depicted as a hybrid </w:t>
      </w:r>
      <w:r w:rsidR="00A73F4C" w:rsidRPr="00E772AD">
        <w:t xml:space="preserve">consisting </w:t>
      </w:r>
      <w:r w:rsidRPr="00E772AD">
        <w:t xml:space="preserve">of numerous phases of care or enforcement. This hybrid </w:t>
      </w:r>
      <w:r w:rsidR="00A12008" w:rsidRPr="00E772AD">
        <w:t xml:space="preserve">is </w:t>
      </w:r>
      <w:r w:rsidRPr="00E772AD">
        <w:t>less prominent than the others</w:t>
      </w:r>
      <w:r w:rsidR="00A73F4C" w:rsidRPr="00E772AD">
        <w:t xml:space="preserve"> in our empirical material</w:t>
      </w:r>
      <w:r w:rsidRPr="00E772AD">
        <w:t xml:space="preserve">. We </w:t>
      </w:r>
      <w:r w:rsidR="00A12008" w:rsidRPr="00E772AD">
        <w:t xml:space="preserve">have </w:t>
      </w:r>
      <w:r w:rsidRPr="00E772AD">
        <w:t xml:space="preserve">coded </w:t>
      </w:r>
      <w:r w:rsidR="00A73F4C" w:rsidRPr="00E772AD">
        <w:t xml:space="preserve">approximately </w:t>
      </w:r>
      <w:r w:rsidRPr="00E772AD">
        <w:t xml:space="preserve">twice and thrice as many of the two preceding hybrid forms, respectively. </w:t>
      </w:r>
    </w:p>
    <w:p w14:paraId="30E14C53" w14:textId="77777777" w:rsidR="00070CF2" w:rsidRPr="00E772AD" w:rsidRDefault="00070CF2" w:rsidP="00070CF2">
      <w:pPr>
        <w:spacing w:line="480" w:lineRule="auto"/>
        <w:jc w:val="center"/>
        <w:rPr>
          <w:b/>
          <w:bCs/>
        </w:rPr>
      </w:pPr>
    </w:p>
    <w:p w14:paraId="4E39DB6D" w14:textId="77777777" w:rsidR="00070CF2" w:rsidRPr="00E772AD" w:rsidRDefault="00070CF2" w:rsidP="00070CF2">
      <w:pPr>
        <w:spacing w:line="480" w:lineRule="auto"/>
        <w:jc w:val="center"/>
        <w:rPr>
          <w:b/>
          <w:bCs/>
        </w:rPr>
      </w:pPr>
      <w:r w:rsidRPr="00E772AD">
        <w:rPr>
          <w:b/>
          <w:bCs/>
        </w:rPr>
        <w:t>Conclusion</w:t>
      </w:r>
    </w:p>
    <w:p w14:paraId="1CA3C52F" w14:textId="77777777" w:rsidR="00070CF2" w:rsidRPr="00E772AD" w:rsidRDefault="00070CF2" w:rsidP="00070CF2">
      <w:pPr>
        <w:spacing w:line="480" w:lineRule="auto"/>
      </w:pPr>
      <w:r w:rsidRPr="00E772AD">
        <w:tab/>
        <w:t xml:space="preserve">The present study has directed the readers’ attention to a specific phenomenon: welfare claimants’ experience of the job centre system as a composite consisting of both disciplinary and caring components. The study has introduced the concept of forms of hybridity, which is helpful not only in analysing such encounters but also in becoming aware of them in the first place. In doing so, it complements existing knowledge on the lived experience of welfare claimants in three ways. </w:t>
      </w:r>
    </w:p>
    <w:p w14:paraId="51D054B8" w14:textId="77777777" w:rsidR="00070CF2" w:rsidRPr="00E772AD" w:rsidRDefault="00070CF2" w:rsidP="00070CF2">
      <w:pPr>
        <w:spacing w:line="480" w:lineRule="auto"/>
      </w:pPr>
      <w:r w:rsidRPr="00E772AD">
        <w:tab/>
        <w:t xml:space="preserve">First, by emphasising and investigating how care and discipline intertwine in the experience of claimants, the concept of hybridity shows how the employment service system is heterogeneous, its components unfolding in situated processes that can take a multitude of forms as it relates to the lives of claimants (cf. Dall &amp; Danneris, 2019). Thus, the analysis aligns with studies demonstrating how social work is enacted in practices that (potentially) are a balance of discipline and care (e.g., Dall, 2018; Hansen &amp; Natland, 2017) and provides another dimension to the widespread use of dichotomies that distinguish </w:t>
      </w:r>
      <w:r w:rsidRPr="00E772AD">
        <w:rPr>
          <w:i/>
          <w:iCs/>
        </w:rPr>
        <w:t>soft</w:t>
      </w:r>
      <w:r w:rsidRPr="00E772AD">
        <w:t xml:space="preserve"> from </w:t>
      </w:r>
      <w:r w:rsidRPr="00E772AD">
        <w:rPr>
          <w:i/>
          <w:iCs/>
        </w:rPr>
        <w:t>hard</w:t>
      </w:r>
      <w:r w:rsidRPr="00E772AD">
        <w:t xml:space="preserve"> policy approaches (Dean &amp; Taylor-Gooby, 1993; Dwyer &amp; Wright, 2014; Fletcher &amp; Wright, 2018; Patrick, 2014)</w:t>
      </w:r>
      <w:r w:rsidRPr="00E772AD" w:rsidDel="00477AAB">
        <w:t xml:space="preserve"> </w:t>
      </w:r>
      <w:r w:rsidRPr="00E772AD">
        <w:t xml:space="preserve">and employment policies (e.g., Lødemel &amp; Moreira, 2014; Lødemel &amp; Trickey, 2001; see Hansen, 2017 for an overview). The implication of our analysis is not that the dichotomous categories of discipline/care should be eliminated, but rather that an awareness of and attention to the complexities and contingencies of the practices through which such categories emerge should be fostered. The concept of hybrid forms can capture the sometimes overlapping, contradictory, and composite nature of such practices (and experiences) and point a way forward. </w:t>
      </w:r>
    </w:p>
    <w:p w14:paraId="404EFCF9" w14:textId="77777777" w:rsidR="00070CF2" w:rsidRPr="00E772AD" w:rsidRDefault="00070CF2" w:rsidP="00070CF2">
      <w:pPr>
        <w:spacing w:line="480" w:lineRule="auto"/>
      </w:pPr>
      <w:r w:rsidRPr="00E772AD">
        <w:tab/>
        <w:t xml:space="preserve">Second, by drawing attention to the composite experiences of (some) welfare claimants, the analysis offers nuance to our understanding of the lived experience of welfare-to-work policies. The analysis is not a corrective to previous studies showing more uniformly negative experiences but complements such studies by showing more mixed experiences. Our analysis set out to explore instances where clients’ experience of discipline and care interwove. While these instances recurred, we also gathered data that reflected experiences that rendered the public employment services as </w:t>
      </w:r>
      <w:r w:rsidRPr="00E772AD">
        <w:rPr>
          <w:i/>
          <w:iCs/>
        </w:rPr>
        <w:t>either</w:t>
      </w:r>
      <w:r w:rsidRPr="00E772AD">
        <w:t xml:space="preserve"> disciplinary </w:t>
      </w:r>
      <w:r w:rsidRPr="00E772AD">
        <w:rPr>
          <w:i/>
          <w:iCs/>
        </w:rPr>
        <w:t>or</w:t>
      </w:r>
      <w:r w:rsidRPr="00E772AD">
        <w:t xml:space="preserve"> caring. Thus, we do not claim our findings are representative of the claimant population nor even of </w:t>
      </w:r>
      <w:proofErr w:type="gramStart"/>
      <w:r w:rsidRPr="00E772AD">
        <w:t>a majority of</w:t>
      </w:r>
      <w:proofErr w:type="gramEnd"/>
      <w:r w:rsidRPr="00E772AD">
        <w:t xml:space="preserve"> it; we are simply arguing that an analytic openness to more composite experiences is important if we are to understand welfare systems and their effects. Further research is needed on the different types of client experiences of hybridity in different contexts.</w:t>
      </w:r>
    </w:p>
    <w:p w14:paraId="314BA60A" w14:textId="65EAB962" w:rsidR="00070CF2" w:rsidRPr="00E772AD" w:rsidRDefault="00070CF2" w:rsidP="00070CF2">
      <w:pPr>
        <w:spacing w:line="480" w:lineRule="auto"/>
      </w:pPr>
      <w:r w:rsidRPr="00E772AD">
        <w:tab/>
        <w:t xml:space="preserve">Third, our analysis offers insights into client agency. Typologies of client agency have hitherto primarily been based on the premise that claimants and systems are in binary opposition: the former can either endure the latter or try to resist it. Our sketch of the participants’ experience of the three forms of hybridity expands our awareness of outcomes. Some of the participants cooperated or formed alliances with (parts of) the system rather than oppose it. For instance, they formed alliances with caseworkers against the system or other public officials in the employment services. Such forms of cooperation, which have hitherto not been </w:t>
      </w:r>
      <w:r w:rsidR="00A73F4C" w:rsidRPr="00E772AD">
        <w:t>devoted much attention</w:t>
      </w:r>
      <w:r w:rsidRPr="00E772AD">
        <w:t>, are crucial for understanding claimant agency.</w:t>
      </w:r>
    </w:p>
    <w:p w14:paraId="3E2D8F58" w14:textId="77777777" w:rsidR="00070CF2" w:rsidRPr="00E772AD" w:rsidRDefault="00070CF2" w:rsidP="00070CF2">
      <w:pPr>
        <w:spacing w:line="480" w:lineRule="auto"/>
      </w:pPr>
      <w:r w:rsidRPr="00E772AD">
        <w:tab/>
        <w:t xml:space="preserve">Our findings have implications for social policy researchers as well as social work professionals (who may be better equipped to discover and understand the complexities and juxtapositions of welfare-to-work policies in practice). More concretely, the participants’ experiences complement existing studies that indicate how individual professionals play an important role in shaping the experiences of claimants (Danneris &amp; Caswell, 2019; </w:t>
      </w:r>
      <w:proofErr w:type="spellStart"/>
      <w:r w:rsidRPr="00E772AD">
        <w:t>Nothdurfter</w:t>
      </w:r>
      <w:proofErr w:type="spellEnd"/>
      <w:r w:rsidRPr="00E772AD">
        <w:t xml:space="preserve">, 2016) and underscore the complexities of navigating welfare-to-work services for both professionals and clients. </w:t>
      </w:r>
    </w:p>
    <w:p w14:paraId="74E10845" w14:textId="77777777" w:rsidR="00070CF2" w:rsidRPr="00E772AD" w:rsidRDefault="00070CF2" w:rsidP="00070CF2">
      <w:pPr>
        <w:spacing w:line="480" w:lineRule="auto"/>
        <w:rPr>
          <w:b/>
          <w:bCs/>
        </w:rPr>
      </w:pPr>
    </w:p>
    <w:p w14:paraId="78072F15" w14:textId="77777777" w:rsidR="00070CF2" w:rsidRPr="00E772AD" w:rsidRDefault="00070CF2" w:rsidP="00070CF2">
      <w:pPr>
        <w:spacing w:line="480" w:lineRule="auto"/>
        <w:rPr>
          <w:b/>
          <w:bCs/>
        </w:rPr>
      </w:pPr>
    </w:p>
    <w:p w14:paraId="46A627BF" w14:textId="77777777" w:rsidR="00070CF2" w:rsidRPr="00E772AD" w:rsidRDefault="00070CF2" w:rsidP="00070CF2">
      <w:pPr>
        <w:spacing w:line="480" w:lineRule="auto"/>
        <w:jc w:val="center"/>
        <w:rPr>
          <w:b/>
          <w:bCs/>
        </w:rPr>
      </w:pPr>
    </w:p>
    <w:p w14:paraId="6F4FB29C" w14:textId="77777777" w:rsidR="00070CF2" w:rsidRPr="00E772AD" w:rsidRDefault="00070CF2" w:rsidP="00070CF2">
      <w:pPr>
        <w:spacing w:line="480" w:lineRule="auto"/>
        <w:jc w:val="center"/>
        <w:rPr>
          <w:b/>
          <w:bCs/>
        </w:rPr>
      </w:pPr>
    </w:p>
    <w:p w14:paraId="5F83FDE9" w14:textId="77777777" w:rsidR="00070CF2" w:rsidRPr="00E772AD" w:rsidRDefault="00070CF2" w:rsidP="00070CF2">
      <w:pPr>
        <w:spacing w:line="480" w:lineRule="auto"/>
        <w:jc w:val="center"/>
        <w:rPr>
          <w:b/>
          <w:bCs/>
        </w:rPr>
      </w:pPr>
    </w:p>
    <w:p w14:paraId="65B0BB91" w14:textId="77777777" w:rsidR="00070CF2" w:rsidRPr="00E772AD" w:rsidRDefault="00070CF2" w:rsidP="00070CF2">
      <w:pPr>
        <w:spacing w:line="480" w:lineRule="auto"/>
        <w:jc w:val="center"/>
        <w:rPr>
          <w:b/>
          <w:bCs/>
        </w:rPr>
      </w:pPr>
    </w:p>
    <w:p w14:paraId="4818A768" w14:textId="77777777" w:rsidR="00070CF2" w:rsidRPr="00E772AD" w:rsidRDefault="00070CF2" w:rsidP="00070CF2">
      <w:pPr>
        <w:spacing w:line="480" w:lineRule="auto"/>
        <w:jc w:val="center"/>
        <w:rPr>
          <w:b/>
          <w:bCs/>
        </w:rPr>
      </w:pPr>
    </w:p>
    <w:p w14:paraId="74DB12AD" w14:textId="77777777" w:rsidR="00070CF2" w:rsidRPr="00E772AD" w:rsidRDefault="00070CF2" w:rsidP="00070CF2">
      <w:pPr>
        <w:spacing w:line="480" w:lineRule="auto"/>
        <w:jc w:val="center"/>
        <w:rPr>
          <w:b/>
          <w:bCs/>
        </w:rPr>
      </w:pPr>
    </w:p>
    <w:p w14:paraId="13686525" w14:textId="77777777" w:rsidR="00070CF2" w:rsidRPr="00E772AD" w:rsidRDefault="00070CF2" w:rsidP="00070CF2">
      <w:pPr>
        <w:spacing w:line="480" w:lineRule="auto"/>
        <w:jc w:val="center"/>
        <w:rPr>
          <w:b/>
          <w:bCs/>
        </w:rPr>
      </w:pPr>
    </w:p>
    <w:p w14:paraId="0437989B" w14:textId="77777777" w:rsidR="00070CF2" w:rsidRPr="00E772AD" w:rsidRDefault="00070CF2" w:rsidP="00E772AD">
      <w:pPr>
        <w:spacing w:line="480" w:lineRule="auto"/>
        <w:rPr>
          <w:b/>
          <w:bCs/>
        </w:rPr>
      </w:pPr>
      <w:r w:rsidRPr="00E772AD">
        <w:rPr>
          <w:b/>
          <w:bCs/>
        </w:rPr>
        <w:t>References</w:t>
      </w:r>
    </w:p>
    <w:p w14:paraId="63E63511"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Aurich, P. (2011). Activating the unemployed </w:t>
      </w:r>
      <w:r w:rsidRPr="00E772AD">
        <w:rPr>
          <w:rFonts w:ascii="Symbol" w:hAnsi="Symbol"/>
          <w:shd w:val="clear" w:color="auto" w:fill="FFFFFF"/>
        </w:rPr>
        <w:t></w:t>
      </w:r>
      <w:r w:rsidRPr="00E772AD">
        <w:rPr>
          <w:shd w:val="clear" w:color="auto" w:fill="FFFFFF"/>
        </w:rPr>
        <w:t xml:space="preserve"> directions and divisions in Europe. </w:t>
      </w:r>
      <w:r w:rsidRPr="00E772AD">
        <w:rPr>
          <w:i/>
          <w:iCs/>
          <w:shd w:val="clear" w:color="auto" w:fill="FFFFFF"/>
        </w:rPr>
        <w:t>European Journal of Social Security</w:t>
      </w:r>
      <w:r w:rsidRPr="00E772AD">
        <w:rPr>
          <w:shd w:val="clear" w:color="auto" w:fill="FFFFFF"/>
        </w:rPr>
        <w:t>, </w:t>
      </w:r>
      <w:r w:rsidRPr="00E772AD">
        <w:rPr>
          <w:i/>
          <w:iCs/>
          <w:shd w:val="clear" w:color="auto" w:fill="FFFFFF"/>
        </w:rPr>
        <w:t>13</w:t>
      </w:r>
      <w:r w:rsidRPr="00E772AD">
        <w:rPr>
          <w:shd w:val="clear" w:color="auto" w:fill="FFFFFF"/>
        </w:rPr>
        <w:t>(3), 294</w:t>
      </w:r>
      <w:r w:rsidRPr="00E772AD">
        <w:rPr>
          <w:rFonts w:ascii="Symbol" w:hAnsi="Symbol"/>
          <w:shd w:val="clear" w:color="auto" w:fill="FFFFFF"/>
        </w:rPr>
        <w:t></w:t>
      </w:r>
      <w:r w:rsidRPr="00E772AD">
        <w:rPr>
          <w:shd w:val="clear" w:color="auto" w:fill="FFFFFF"/>
        </w:rPr>
        <w:t>316.</w:t>
      </w:r>
    </w:p>
    <w:p w14:paraId="118EC750" w14:textId="77777777" w:rsidR="00070CF2" w:rsidRPr="00E772AD" w:rsidRDefault="00070CF2" w:rsidP="00070CF2">
      <w:pPr>
        <w:spacing w:line="480" w:lineRule="auto"/>
        <w:ind w:left="720" w:hanging="720"/>
        <w:rPr>
          <w:shd w:val="clear" w:color="auto" w:fill="FFFFFF"/>
        </w:rPr>
      </w:pPr>
      <w:bookmarkStart w:id="17" w:name="_Hlk96429854"/>
      <w:r w:rsidRPr="00E772AD">
        <w:rPr>
          <w:shd w:val="clear" w:color="auto" w:fill="FFFFFF"/>
        </w:rPr>
        <w:t xml:space="preserve">Christensen, T., &amp; Lægreid, P. (2011). Complexity and hybrid public administration </w:t>
      </w:r>
      <w:r w:rsidRPr="00E772AD">
        <w:rPr>
          <w:rFonts w:ascii="Symbol" w:hAnsi="Symbol"/>
          <w:shd w:val="clear" w:color="auto" w:fill="FFFFFF"/>
        </w:rPr>
        <w:t></w:t>
      </w:r>
      <w:r w:rsidRPr="00E772AD">
        <w:rPr>
          <w:shd w:val="clear" w:color="auto" w:fill="FFFFFF"/>
        </w:rPr>
        <w:t xml:space="preserve"> theoretical and empirical challenges. </w:t>
      </w:r>
      <w:r w:rsidRPr="00E772AD">
        <w:rPr>
          <w:i/>
          <w:iCs/>
          <w:shd w:val="clear" w:color="auto" w:fill="FFFFFF"/>
        </w:rPr>
        <w:t>Public Organization Review</w:t>
      </w:r>
      <w:r w:rsidRPr="00E772AD">
        <w:rPr>
          <w:shd w:val="clear" w:color="auto" w:fill="FFFFFF"/>
        </w:rPr>
        <w:t>, </w:t>
      </w:r>
      <w:r w:rsidRPr="00E772AD">
        <w:rPr>
          <w:i/>
          <w:iCs/>
          <w:shd w:val="clear" w:color="auto" w:fill="FFFFFF"/>
        </w:rPr>
        <w:t>11</w:t>
      </w:r>
      <w:r w:rsidRPr="00E772AD">
        <w:rPr>
          <w:shd w:val="clear" w:color="auto" w:fill="FFFFFF"/>
        </w:rPr>
        <w:t>(4), 407</w:t>
      </w:r>
      <w:r w:rsidRPr="00E772AD">
        <w:rPr>
          <w:rFonts w:ascii="Symbol" w:hAnsi="Symbol"/>
          <w:shd w:val="clear" w:color="auto" w:fill="FFFFFF"/>
        </w:rPr>
        <w:t></w:t>
      </w:r>
      <w:r w:rsidRPr="00E772AD">
        <w:rPr>
          <w:shd w:val="clear" w:color="auto" w:fill="FFFFFF"/>
        </w:rPr>
        <w:t>423.</w:t>
      </w:r>
      <w:bookmarkEnd w:id="17"/>
    </w:p>
    <w:p w14:paraId="2D80FE63"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Dall, T. (2018). Social work professionals’ management of institutional and professional responsibilities at the micro-level of welfare-to-work, </w:t>
      </w:r>
      <w:r w:rsidRPr="00E772AD">
        <w:rPr>
          <w:i/>
          <w:iCs/>
          <w:shd w:val="clear" w:color="auto" w:fill="FFFFFF"/>
        </w:rPr>
        <w:t>European Journal of Social Work 23</w:t>
      </w:r>
      <w:r w:rsidRPr="00E772AD">
        <w:rPr>
          <w:shd w:val="clear" w:color="auto" w:fill="FFFFFF"/>
        </w:rPr>
        <w:t>(1), 30–42.</w:t>
      </w:r>
    </w:p>
    <w:p w14:paraId="48ABE9E4"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Dall, T., &amp; Danneris, S. (2019). Reconsidering ‘what works’ in welfare-to-work with the vulnerable unemployed: The potential of relational causality as an alternative approach. </w:t>
      </w:r>
      <w:r w:rsidRPr="00E772AD">
        <w:rPr>
          <w:i/>
          <w:iCs/>
          <w:shd w:val="clear" w:color="auto" w:fill="FFFFFF"/>
        </w:rPr>
        <w:t>Social Policy &amp; Society</w:t>
      </w:r>
      <w:r w:rsidRPr="00E772AD">
        <w:rPr>
          <w:shd w:val="clear" w:color="auto" w:fill="FFFFFF"/>
        </w:rPr>
        <w:t xml:space="preserve">, </w:t>
      </w:r>
      <w:r w:rsidRPr="00E772AD">
        <w:rPr>
          <w:i/>
          <w:iCs/>
          <w:shd w:val="clear" w:color="auto" w:fill="FFFFFF"/>
        </w:rPr>
        <w:t>18</w:t>
      </w:r>
      <w:r w:rsidRPr="00E772AD">
        <w:rPr>
          <w:shd w:val="clear" w:color="auto" w:fill="FFFFFF"/>
        </w:rPr>
        <w:t>(4), 583–596.</w:t>
      </w:r>
    </w:p>
    <w:p w14:paraId="0638A613" w14:textId="77777777" w:rsidR="00070CF2" w:rsidRPr="00E772AD" w:rsidRDefault="00070CF2" w:rsidP="00070CF2">
      <w:pPr>
        <w:spacing w:line="480" w:lineRule="auto"/>
        <w:ind w:left="720" w:hanging="720"/>
        <w:rPr>
          <w:shd w:val="clear" w:color="auto" w:fill="FFFFFF"/>
        </w:rPr>
      </w:pPr>
      <w:r w:rsidRPr="00E772AD">
        <w:rPr>
          <w:shd w:val="clear" w:color="auto" w:fill="FFFFFF"/>
        </w:rPr>
        <w:t>Danneris, S. (2018). Ready to work (yet)? Unemployment trajectories among vulnerable welfare recipients. </w:t>
      </w:r>
      <w:r w:rsidRPr="00E772AD">
        <w:rPr>
          <w:i/>
          <w:iCs/>
          <w:shd w:val="clear" w:color="auto" w:fill="FFFFFF"/>
        </w:rPr>
        <w:t>Qualitative Social Work</w:t>
      </w:r>
      <w:r w:rsidRPr="00E772AD">
        <w:rPr>
          <w:shd w:val="clear" w:color="auto" w:fill="FFFFFF"/>
        </w:rPr>
        <w:t>, </w:t>
      </w:r>
      <w:r w:rsidRPr="00E772AD">
        <w:rPr>
          <w:i/>
          <w:iCs/>
          <w:shd w:val="clear" w:color="auto" w:fill="FFFFFF"/>
        </w:rPr>
        <w:t>17</w:t>
      </w:r>
      <w:r w:rsidRPr="00E772AD">
        <w:rPr>
          <w:shd w:val="clear" w:color="auto" w:fill="FFFFFF"/>
        </w:rPr>
        <w:t>(3), 355–372.</w:t>
      </w:r>
    </w:p>
    <w:p w14:paraId="4647DD00" w14:textId="77777777" w:rsidR="00070CF2" w:rsidRPr="00E772AD" w:rsidRDefault="00070CF2" w:rsidP="00070CF2">
      <w:pPr>
        <w:spacing w:line="480" w:lineRule="auto"/>
        <w:ind w:left="720" w:hanging="720"/>
        <w:rPr>
          <w:shd w:val="clear" w:color="auto" w:fill="FFFFFF"/>
        </w:rPr>
      </w:pPr>
      <w:r w:rsidRPr="00E772AD">
        <w:rPr>
          <w:shd w:val="clear" w:color="auto" w:fill="FFFFFF"/>
        </w:rPr>
        <w:t>Danneris, S., &amp; Caswell, D. (2019). Exploring the ingredients of success: Studying trajectories of the vulnerable unemployed who have entered work or education in Denmark. </w:t>
      </w:r>
      <w:r w:rsidRPr="00E772AD">
        <w:rPr>
          <w:i/>
          <w:iCs/>
          <w:shd w:val="clear" w:color="auto" w:fill="FFFFFF"/>
        </w:rPr>
        <w:t>Social Policy and Society</w:t>
      </w:r>
      <w:r w:rsidRPr="00E772AD">
        <w:rPr>
          <w:shd w:val="clear" w:color="auto" w:fill="FFFFFF"/>
        </w:rPr>
        <w:t>, </w:t>
      </w:r>
      <w:r w:rsidRPr="00E772AD">
        <w:rPr>
          <w:i/>
          <w:iCs/>
          <w:shd w:val="clear" w:color="auto" w:fill="FFFFFF"/>
        </w:rPr>
        <w:t>18</w:t>
      </w:r>
      <w:r w:rsidRPr="00E772AD">
        <w:rPr>
          <w:shd w:val="clear" w:color="auto" w:fill="FFFFFF"/>
        </w:rPr>
        <w:t>(4), 615–629.</w:t>
      </w:r>
    </w:p>
    <w:p w14:paraId="4DF62862" w14:textId="77777777" w:rsidR="00070CF2" w:rsidRPr="00E772AD" w:rsidRDefault="00070CF2" w:rsidP="00070CF2">
      <w:pPr>
        <w:spacing w:line="480" w:lineRule="auto"/>
        <w:ind w:left="720" w:hanging="720"/>
        <w:rPr>
          <w:shd w:val="clear" w:color="auto" w:fill="FFFFFF"/>
        </w:rPr>
      </w:pPr>
      <w:r w:rsidRPr="00E772AD">
        <w:rPr>
          <w:shd w:val="clear" w:color="auto" w:fill="FFFFFF"/>
        </w:rPr>
        <w:t>Dean, H., &amp; Taylor-Gooby, P. (1993). </w:t>
      </w:r>
      <w:r w:rsidRPr="00E772AD">
        <w:rPr>
          <w:i/>
          <w:iCs/>
          <w:shd w:val="clear" w:color="auto" w:fill="FFFFFF"/>
        </w:rPr>
        <w:t>Dependency culture</w:t>
      </w:r>
      <w:r w:rsidRPr="00E772AD">
        <w:rPr>
          <w:shd w:val="clear" w:color="auto" w:fill="FFFFFF"/>
        </w:rPr>
        <w:t>. Routledge.</w:t>
      </w:r>
    </w:p>
    <w:p w14:paraId="77781A34" w14:textId="77777777" w:rsidR="00070CF2" w:rsidRPr="00E772AD" w:rsidRDefault="00070CF2" w:rsidP="00070CF2">
      <w:pPr>
        <w:spacing w:line="480" w:lineRule="auto"/>
        <w:ind w:hanging="777"/>
        <w:rPr>
          <w:shd w:val="clear" w:color="auto" w:fill="FFFFFF"/>
        </w:rPr>
      </w:pPr>
      <w:r w:rsidRPr="00E772AD">
        <w:rPr>
          <w:shd w:val="clear" w:color="auto" w:fill="FFFFFF"/>
        </w:rPr>
        <w:tab/>
        <w:t xml:space="preserve">Denis, J. L., Ferlie, E., &amp; van </w:t>
      </w:r>
      <w:proofErr w:type="spellStart"/>
      <w:r w:rsidRPr="00E772AD">
        <w:rPr>
          <w:shd w:val="clear" w:color="auto" w:fill="FFFFFF"/>
        </w:rPr>
        <w:t>Gestel</w:t>
      </w:r>
      <w:proofErr w:type="spellEnd"/>
      <w:r w:rsidRPr="00E772AD">
        <w:rPr>
          <w:shd w:val="clear" w:color="auto" w:fill="FFFFFF"/>
        </w:rPr>
        <w:t xml:space="preserve">, N. (2015). Understanding hybridity in public </w:t>
      </w:r>
      <w:r w:rsidRPr="00E772AD">
        <w:rPr>
          <w:shd w:val="clear" w:color="auto" w:fill="FFFFFF"/>
        </w:rPr>
        <w:tab/>
        <w:t>organizations. </w:t>
      </w:r>
      <w:r w:rsidRPr="00E772AD">
        <w:rPr>
          <w:i/>
          <w:shd w:val="clear" w:color="auto" w:fill="FFFFFF"/>
        </w:rPr>
        <w:t>Public Administration, 93</w:t>
      </w:r>
      <w:r w:rsidRPr="00E772AD">
        <w:rPr>
          <w:shd w:val="clear" w:color="auto" w:fill="FFFFFF"/>
        </w:rPr>
        <w:t>(2), 273</w:t>
      </w:r>
      <w:r w:rsidRPr="00E772AD">
        <w:rPr>
          <w:rFonts w:ascii="Symbol" w:hAnsi="Symbol"/>
          <w:shd w:val="clear" w:color="auto" w:fill="FFFFFF"/>
        </w:rPr>
        <w:t></w:t>
      </w:r>
      <w:r w:rsidRPr="00E772AD">
        <w:rPr>
          <w:shd w:val="clear" w:color="auto" w:fill="FFFFFF"/>
        </w:rPr>
        <w:t xml:space="preserve">289. </w:t>
      </w:r>
    </w:p>
    <w:p w14:paraId="55923E97" w14:textId="77777777" w:rsidR="00070CF2" w:rsidRPr="00E772AD" w:rsidRDefault="00070CF2" w:rsidP="00070CF2">
      <w:pPr>
        <w:spacing w:line="480" w:lineRule="auto"/>
        <w:ind w:left="-57" w:firstLine="57"/>
        <w:rPr>
          <w:shd w:val="clear" w:color="auto" w:fill="FFFFFF"/>
        </w:rPr>
      </w:pPr>
      <w:r w:rsidRPr="00E772AD">
        <w:rPr>
          <w:shd w:val="clear" w:color="auto" w:fill="FFFFFF"/>
        </w:rPr>
        <w:t xml:space="preserve">Dwyer, P., &amp; Wright, S. (2014). Universal Credit, ubiquitous </w:t>
      </w:r>
      <w:proofErr w:type="gramStart"/>
      <w:r w:rsidRPr="00E772AD">
        <w:rPr>
          <w:shd w:val="clear" w:color="auto" w:fill="FFFFFF"/>
        </w:rPr>
        <w:t>conditionality</w:t>
      </w:r>
      <w:proofErr w:type="gramEnd"/>
      <w:r w:rsidRPr="00E772AD">
        <w:rPr>
          <w:shd w:val="clear" w:color="auto" w:fill="FFFFFF"/>
        </w:rPr>
        <w:t xml:space="preserve"> and its implications for </w:t>
      </w:r>
      <w:r w:rsidRPr="00E772AD">
        <w:rPr>
          <w:shd w:val="clear" w:color="auto" w:fill="FFFFFF"/>
        </w:rPr>
        <w:tab/>
      </w:r>
      <w:r w:rsidRPr="00E772AD">
        <w:rPr>
          <w:shd w:val="clear" w:color="auto" w:fill="FFFFFF"/>
        </w:rPr>
        <w:tab/>
        <w:t>social citizenship. </w:t>
      </w:r>
      <w:r w:rsidRPr="00E772AD">
        <w:rPr>
          <w:i/>
          <w:iCs/>
          <w:shd w:val="clear" w:color="auto" w:fill="FFFFFF"/>
        </w:rPr>
        <w:t>The Journal of Poverty and Social Justice</w:t>
      </w:r>
      <w:r w:rsidRPr="00E772AD">
        <w:rPr>
          <w:shd w:val="clear" w:color="auto" w:fill="FFFFFF"/>
        </w:rPr>
        <w:t>, </w:t>
      </w:r>
      <w:r w:rsidRPr="00E772AD">
        <w:rPr>
          <w:i/>
          <w:iCs/>
          <w:shd w:val="clear" w:color="auto" w:fill="FFFFFF"/>
        </w:rPr>
        <w:t>22</w:t>
      </w:r>
      <w:r w:rsidRPr="00E772AD">
        <w:rPr>
          <w:shd w:val="clear" w:color="auto" w:fill="FFFFFF"/>
        </w:rPr>
        <w:t>(1), 27.</w:t>
      </w:r>
    </w:p>
    <w:p w14:paraId="667810E1" w14:textId="77777777" w:rsidR="00070CF2" w:rsidRPr="00E772AD" w:rsidRDefault="00070CF2" w:rsidP="00070CF2">
      <w:pPr>
        <w:spacing w:line="480" w:lineRule="auto"/>
        <w:ind w:left="720" w:hanging="720"/>
        <w:rPr>
          <w:shd w:val="clear" w:color="auto" w:fill="FFFFFF"/>
        </w:rPr>
      </w:pPr>
      <w:r w:rsidRPr="00E772AD">
        <w:rPr>
          <w:shd w:val="clear" w:color="auto" w:fill="FFFFFF"/>
        </w:rPr>
        <w:t>Finn, P. (2021). Navigating indifference: Irish jobseekers’ experiences of welfare conditionality. </w:t>
      </w:r>
      <w:r w:rsidRPr="00E772AD">
        <w:rPr>
          <w:i/>
          <w:iCs/>
          <w:shd w:val="clear" w:color="auto" w:fill="FFFFFF"/>
        </w:rPr>
        <w:t>Administration</w:t>
      </w:r>
      <w:r w:rsidRPr="00E772AD">
        <w:rPr>
          <w:shd w:val="clear" w:color="auto" w:fill="FFFFFF"/>
        </w:rPr>
        <w:t>, </w:t>
      </w:r>
      <w:r w:rsidRPr="00E772AD">
        <w:rPr>
          <w:i/>
          <w:iCs/>
          <w:shd w:val="clear" w:color="auto" w:fill="FFFFFF"/>
        </w:rPr>
        <w:t>69</w:t>
      </w:r>
      <w:r w:rsidRPr="00E772AD">
        <w:rPr>
          <w:shd w:val="clear" w:color="auto" w:fill="FFFFFF"/>
        </w:rPr>
        <w:t>(2), 67–86.</w:t>
      </w:r>
    </w:p>
    <w:p w14:paraId="272C6267" w14:textId="77777777" w:rsidR="00070CF2" w:rsidRPr="00E772AD" w:rsidRDefault="00070CF2" w:rsidP="00070CF2">
      <w:pPr>
        <w:spacing w:line="480" w:lineRule="auto"/>
        <w:ind w:hanging="720"/>
        <w:rPr>
          <w:rFonts w:ascii="Arial" w:hAnsi="Arial" w:cs="Arial"/>
          <w:sz w:val="20"/>
          <w:szCs w:val="20"/>
          <w:shd w:val="clear" w:color="auto" w:fill="FFFFFF"/>
        </w:rPr>
      </w:pPr>
      <w:r w:rsidRPr="00E772AD">
        <w:rPr>
          <w:shd w:val="clear" w:color="auto" w:fill="FFFFFF"/>
        </w:rPr>
        <w:tab/>
        <w:t xml:space="preserve">Fletcher, D. R., &amp; Wright, S. (2018). A hand up or a slap down? Criminalising benefit claimants in </w:t>
      </w:r>
      <w:r w:rsidRPr="00E772AD">
        <w:rPr>
          <w:shd w:val="clear" w:color="auto" w:fill="FFFFFF"/>
        </w:rPr>
        <w:tab/>
        <w:t xml:space="preserve">Britain via strategies of surveillance, </w:t>
      </w:r>
      <w:proofErr w:type="gramStart"/>
      <w:r w:rsidRPr="00E772AD">
        <w:rPr>
          <w:shd w:val="clear" w:color="auto" w:fill="FFFFFF"/>
        </w:rPr>
        <w:t>sanctions</w:t>
      </w:r>
      <w:proofErr w:type="gramEnd"/>
      <w:r w:rsidRPr="00E772AD">
        <w:rPr>
          <w:shd w:val="clear" w:color="auto" w:fill="FFFFFF"/>
        </w:rPr>
        <w:t xml:space="preserve"> and deterrence. </w:t>
      </w:r>
      <w:r w:rsidRPr="00E772AD">
        <w:rPr>
          <w:i/>
          <w:iCs/>
          <w:shd w:val="clear" w:color="auto" w:fill="FFFFFF"/>
        </w:rPr>
        <w:t>Critical Social Policy</w:t>
      </w:r>
      <w:r w:rsidRPr="00E772AD">
        <w:rPr>
          <w:shd w:val="clear" w:color="auto" w:fill="FFFFFF"/>
        </w:rPr>
        <w:t>, </w:t>
      </w:r>
      <w:r w:rsidRPr="00E772AD">
        <w:rPr>
          <w:i/>
          <w:iCs/>
          <w:shd w:val="clear" w:color="auto" w:fill="FFFFFF"/>
        </w:rPr>
        <w:t>38</w:t>
      </w:r>
      <w:r w:rsidRPr="00E772AD">
        <w:rPr>
          <w:shd w:val="clear" w:color="auto" w:fill="FFFFFF"/>
        </w:rPr>
        <w:t xml:space="preserve">(2), </w:t>
      </w:r>
      <w:r w:rsidRPr="00E772AD">
        <w:rPr>
          <w:shd w:val="clear" w:color="auto" w:fill="FFFFFF"/>
        </w:rPr>
        <w:tab/>
        <w:t>323–344.</w:t>
      </w:r>
    </w:p>
    <w:p w14:paraId="6CC7DB03" w14:textId="77777777" w:rsidR="00070CF2" w:rsidRPr="00E772AD" w:rsidRDefault="00070CF2" w:rsidP="00070CF2">
      <w:pPr>
        <w:spacing w:line="480" w:lineRule="auto"/>
        <w:ind w:hanging="720"/>
        <w:rPr>
          <w:shd w:val="clear" w:color="auto" w:fill="FFFFFF"/>
        </w:rPr>
      </w:pPr>
      <w:r w:rsidRPr="00E772AD">
        <w:rPr>
          <w:shd w:val="clear" w:color="auto" w:fill="FFFFFF"/>
        </w:rPr>
        <w:tab/>
      </w:r>
      <w:proofErr w:type="spellStart"/>
      <w:r w:rsidRPr="00E772AD">
        <w:rPr>
          <w:shd w:val="clear" w:color="auto" w:fill="FFFFFF"/>
        </w:rPr>
        <w:t>Fossestøl</w:t>
      </w:r>
      <w:proofErr w:type="spellEnd"/>
      <w:r w:rsidRPr="00E772AD">
        <w:rPr>
          <w:shd w:val="clear" w:color="auto" w:fill="FFFFFF"/>
        </w:rPr>
        <w:t xml:space="preserve">, K., Breit, E., Andreassen, T. A., &amp; </w:t>
      </w:r>
      <w:proofErr w:type="spellStart"/>
      <w:r w:rsidRPr="00E772AD">
        <w:rPr>
          <w:shd w:val="clear" w:color="auto" w:fill="FFFFFF"/>
        </w:rPr>
        <w:t>Klemsdal</w:t>
      </w:r>
      <w:proofErr w:type="spellEnd"/>
      <w:r w:rsidRPr="00E772AD">
        <w:rPr>
          <w:shd w:val="clear" w:color="auto" w:fill="FFFFFF"/>
        </w:rPr>
        <w:t xml:space="preserve">, L. (2015). Managing institutional </w:t>
      </w:r>
      <w:r w:rsidRPr="00E772AD">
        <w:rPr>
          <w:shd w:val="clear" w:color="auto" w:fill="FFFFFF"/>
        </w:rPr>
        <w:tab/>
        <w:t>complexity in public sector reform: Hybridization in front‐line service organizations. </w:t>
      </w:r>
      <w:r w:rsidRPr="00E772AD">
        <w:rPr>
          <w:i/>
          <w:shd w:val="clear" w:color="auto" w:fill="FFFFFF"/>
        </w:rPr>
        <w:t xml:space="preserve">Public </w:t>
      </w:r>
      <w:r w:rsidRPr="00E772AD">
        <w:rPr>
          <w:i/>
          <w:shd w:val="clear" w:color="auto" w:fill="FFFFFF"/>
        </w:rPr>
        <w:tab/>
        <w:t>Administration, 93</w:t>
      </w:r>
      <w:r w:rsidRPr="00E772AD">
        <w:rPr>
          <w:shd w:val="clear" w:color="auto" w:fill="FFFFFF"/>
        </w:rPr>
        <w:t>(2), 290</w:t>
      </w:r>
      <w:r w:rsidRPr="00E772AD">
        <w:rPr>
          <w:rFonts w:ascii="Symbol" w:hAnsi="Symbol"/>
          <w:shd w:val="clear" w:color="auto" w:fill="FFFFFF"/>
        </w:rPr>
        <w:t></w:t>
      </w:r>
      <w:r w:rsidRPr="00E772AD">
        <w:rPr>
          <w:shd w:val="clear" w:color="auto" w:fill="FFFFFF"/>
        </w:rPr>
        <w:t>306.</w:t>
      </w:r>
    </w:p>
    <w:p w14:paraId="4A29FAE0"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Hansen, H. C., &amp; Natland, S. (2017). The working relationship between social worker and service user in an activation policy context, </w:t>
      </w:r>
      <w:r w:rsidRPr="00E772AD">
        <w:rPr>
          <w:i/>
          <w:shd w:val="clear" w:color="auto" w:fill="FFFFFF"/>
        </w:rPr>
        <w:t>Nordic Social Work Research, 7</w:t>
      </w:r>
      <w:r w:rsidRPr="00E772AD">
        <w:rPr>
          <w:shd w:val="clear" w:color="auto" w:fill="FFFFFF"/>
        </w:rPr>
        <w:t>(2), 101</w:t>
      </w:r>
      <w:r w:rsidRPr="00E772AD">
        <w:rPr>
          <w:rFonts w:ascii="Symbol" w:hAnsi="Symbol"/>
          <w:shd w:val="clear" w:color="auto" w:fill="FFFFFF"/>
        </w:rPr>
        <w:t></w:t>
      </w:r>
      <w:r w:rsidRPr="00E772AD">
        <w:rPr>
          <w:shd w:val="clear" w:color="auto" w:fill="FFFFFF"/>
        </w:rPr>
        <w:t>114.</w:t>
      </w:r>
    </w:p>
    <w:p w14:paraId="478A35B9" w14:textId="77777777" w:rsidR="00070CF2" w:rsidRPr="00E772AD" w:rsidRDefault="00070CF2" w:rsidP="00070CF2">
      <w:pPr>
        <w:spacing w:line="480" w:lineRule="auto"/>
        <w:ind w:left="720" w:hanging="720"/>
        <w:rPr>
          <w:shd w:val="clear" w:color="auto" w:fill="FFFFFF"/>
        </w:rPr>
      </w:pPr>
      <w:r w:rsidRPr="00E772AD">
        <w:rPr>
          <w:shd w:val="clear" w:color="auto" w:fill="FFFFFF"/>
        </w:rPr>
        <w:t>Hansen, M. P. (2017). </w:t>
      </w:r>
      <w:r w:rsidRPr="00E772AD">
        <w:rPr>
          <w:i/>
          <w:shd w:val="clear" w:color="auto" w:fill="FFFFFF"/>
        </w:rPr>
        <w:t xml:space="preserve">Trying the unemployed: Justification and critique, </w:t>
      </w:r>
      <w:proofErr w:type="gramStart"/>
      <w:r w:rsidRPr="00E772AD">
        <w:rPr>
          <w:i/>
          <w:shd w:val="clear" w:color="auto" w:fill="FFFFFF"/>
        </w:rPr>
        <w:t>emancipation</w:t>
      </w:r>
      <w:proofErr w:type="gramEnd"/>
      <w:r w:rsidRPr="00E772AD">
        <w:rPr>
          <w:i/>
          <w:shd w:val="clear" w:color="auto" w:fill="FFFFFF"/>
        </w:rPr>
        <w:t xml:space="preserve"> and coercion towards the ‘active society.’</w:t>
      </w:r>
      <w:r w:rsidRPr="00E772AD">
        <w:rPr>
          <w:shd w:val="clear" w:color="auto" w:fill="FFFFFF"/>
        </w:rPr>
        <w:t xml:space="preserve"> Copenhagen Business School (CBS).</w:t>
      </w:r>
    </w:p>
    <w:p w14:paraId="4269DCFE" w14:textId="6E3C9DFA" w:rsidR="00B2430C" w:rsidRPr="00E772AD" w:rsidRDefault="00B2430C" w:rsidP="00070CF2">
      <w:pPr>
        <w:spacing w:line="480" w:lineRule="auto"/>
        <w:ind w:left="720" w:hanging="720"/>
        <w:rPr>
          <w:shd w:val="clear" w:color="auto" w:fill="FFFFFF"/>
        </w:rPr>
      </w:pPr>
      <w:r w:rsidRPr="00E772AD">
        <w:rPr>
          <w:shd w:val="clear" w:color="auto" w:fill="FFFFFF"/>
          <w:lang w:val="en-US"/>
        </w:rPr>
        <w:t xml:space="preserve">Hansen, L. S., &amp; Nielsen, M. H. (2021). </w:t>
      </w:r>
      <w:r w:rsidRPr="00E772AD">
        <w:rPr>
          <w:shd w:val="clear" w:color="auto" w:fill="FFFFFF"/>
        </w:rPr>
        <w:t>Working Less, Not More in a Workfare Programme: Group Solidarity, Informal Norms and Alternative Value Systems Amongst Activated Participants. </w:t>
      </w:r>
      <w:r w:rsidRPr="00E772AD">
        <w:rPr>
          <w:i/>
          <w:iCs/>
          <w:shd w:val="clear" w:color="auto" w:fill="FFFFFF"/>
        </w:rPr>
        <w:t>Journal of Social Policy</w:t>
      </w:r>
      <w:r w:rsidRPr="00E772AD">
        <w:rPr>
          <w:shd w:val="clear" w:color="auto" w:fill="FFFFFF"/>
        </w:rPr>
        <w:t>, 1-17.</w:t>
      </w:r>
    </w:p>
    <w:p w14:paraId="1C3BC596" w14:textId="3EF11971" w:rsidR="00070CF2" w:rsidRPr="00E772AD" w:rsidRDefault="00070CF2" w:rsidP="00070CF2">
      <w:pPr>
        <w:spacing w:line="480" w:lineRule="auto"/>
        <w:ind w:left="720" w:hanging="720"/>
        <w:rPr>
          <w:shd w:val="clear" w:color="auto" w:fill="FFFFFF"/>
        </w:rPr>
      </w:pPr>
      <w:r w:rsidRPr="00E772AD">
        <w:rPr>
          <w:shd w:val="clear" w:color="auto" w:fill="FFFFFF"/>
        </w:rPr>
        <w:t xml:space="preserve">Hasenfeld, Y., &amp; Gidron, B. (2005). Understanding multi-purpose hybrid voluntary organizations: The contributions of theories on civil society, social </w:t>
      </w:r>
      <w:proofErr w:type="gramStart"/>
      <w:r w:rsidRPr="00E772AD">
        <w:rPr>
          <w:shd w:val="clear" w:color="auto" w:fill="FFFFFF"/>
        </w:rPr>
        <w:t>movements</w:t>
      </w:r>
      <w:proofErr w:type="gramEnd"/>
      <w:r w:rsidRPr="00E772AD">
        <w:rPr>
          <w:shd w:val="clear" w:color="auto" w:fill="FFFFFF"/>
        </w:rPr>
        <w:t xml:space="preserve"> and non-profit organizations. </w:t>
      </w:r>
      <w:r w:rsidRPr="00E772AD">
        <w:rPr>
          <w:i/>
          <w:shd w:val="clear" w:color="auto" w:fill="FFFFFF"/>
        </w:rPr>
        <w:t>Journal of Civil Society, 1</w:t>
      </w:r>
      <w:r w:rsidRPr="00E772AD">
        <w:rPr>
          <w:shd w:val="clear" w:color="auto" w:fill="FFFFFF"/>
        </w:rPr>
        <w:t>(2), 97–112.</w:t>
      </w:r>
    </w:p>
    <w:p w14:paraId="7A391165"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Kampen, T. &amp; </w:t>
      </w:r>
      <w:proofErr w:type="spellStart"/>
      <w:r w:rsidRPr="00E772AD">
        <w:rPr>
          <w:shd w:val="clear" w:color="auto" w:fill="FFFFFF"/>
        </w:rPr>
        <w:t>Tonkens</w:t>
      </w:r>
      <w:proofErr w:type="spellEnd"/>
      <w:r w:rsidRPr="00E772AD">
        <w:rPr>
          <w:shd w:val="clear" w:color="auto" w:fill="FFFFFF"/>
        </w:rPr>
        <w:t xml:space="preserve">, E. (2019). A personalised approach in activation. Workfare volunteers’ experiences with activation practitioners. </w:t>
      </w:r>
      <w:r w:rsidRPr="00E772AD">
        <w:rPr>
          <w:i/>
          <w:iCs/>
          <w:shd w:val="clear" w:color="auto" w:fill="FFFFFF"/>
        </w:rPr>
        <w:t>European Journal of Social Work</w:t>
      </w:r>
      <w:r w:rsidRPr="00E772AD">
        <w:rPr>
          <w:i/>
          <w:shd w:val="clear" w:color="auto" w:fill="FFFFFF"/>
        </w:rPr>
        <w:t>, 22</w:t>
      </w:r>
      <w:r w:rsidRPr="00E772AD">
        <w:rPr>
          <w:shd w:val="clear" w:color="auto" w:fill="FFFFFF"/>
        </w:rPr>
        <w:t>(6), 1038–1049.</w:t>
      </w:r>
    </w:p>
    <w:p w14:paraId="7A5D48B3" w14:textId="77777777" w:rsidR="00070CF2" w:rsidRPr="00E772AD" w:rsidRDefault="00070CF2" w:rsidP="00070CF2">
      <w:pPr>
        <w:spacing w:line="480" w:lineRule="auto"/>
        <w:ind w:left="720" w:hanging="720"/>
        <w:rPr>
          <w:shd w:val="clear" w:color="auto" w:fill="FFFFFF"/>
          <w:lang w:val="da-DK"/>
        </w:rPr>
      </w:pPr>
      <w:r w:rsidRPr="00E772AD">
        <w:rPr>
          <w:shd w:val="clear" w:color="auto" w:fill="FFFFFF"/>
        </w:rPr>
        <w:t xml:space="preserve">Kraatz, M. S., &amp; Block, E. S. (2008). Organisational implications of institutional pluralism In R. Greenwood, C. Oliver, K. Sahlin-Andersson, &amp; R. Suddaby (Eds.), </w:t>
      </w:r>
      <w:r w:rsidRPr="00E772AD">
        <w:rPr>
          <w:i/>
          <w:shd w:val="clear" w:color="auto" w:fill="FFFFFF"/>
        </w:rPr>
        <w:t>The SAGE handbook of organisational institutionalism</w:t>
      </w:r>
      <w:r w:rsidRPr="00E772AD">
        <w:rPr>
          <w:shd w:val="clear" w:color="auto" w:fill="FFFFFF"/>
        </w:rPr>
        <w:t xml:space="preserve">. </w:t>
      </w:r>
      <w:r w:rsidRPr="00E772AD">
        <w:rPr>
          <w:shd w:val="clear" w:color="auto" w:fill="FFFFFF"/>
          <w:lang w:val="da-DK"/>
        </w:rPr>
        <w:t>SAGE.</w:t>
      </w:r>
    </w:p>
    <w:p w14:paraId="67BAE25A" w14:textId="77777777" w:rsidR="00070CF2" w:rsidRPr="00E772AD" w:rsidRDefault="00070CF2" w:rsidP="00070CF2">
      <w:pPr>
        <w:spacing w:line="480" w:lineRule="auto"/>
        <w:ind w:left="720" w:hanging="720"/>
        <w:rPr>
          <w:shd w:val="clear" w:color="auto" w:fill="FFFFFF"/>
        </w:rPr>
      </w:pPr>
      <w:r w:rsidRPr="00E772AD">
        <w:rPr>
          <w:shd w:val="clear" w:color="auto" w:fill="FFFFFF"/>
          <w:lang w:val="da-DK"/>
        </w:rPr>
        <w:t xml:space="preserve">Larsen, F., &amp; Andersen, N. (2018). Beskæftigelse for alle? Den kommunale beskæftigelsespolitik på kontanthjælpsområdet siden 2000 </w:t>
      </w:r>
      <w:proofErr w:type="gramStart"/>
      <w:r w:rsidRPr="00E772AD">
        <w:rPr>
          <w:shd w:val="clear" w:color="auto" w:fill="FFFFFF"/>
          <w:lang w:val="da-DK"/>
        </w:rPr>
        <w:t>[ ]</w:t>
      </w:r>
      <w:proofErr w:type="gramEnd"/>
      <w:r w:rsidRPr="00E772AD">
        <w:rPr>
          <w:shd w:val="clear" w:color="auto" w:fill="FFFFFF"/>
          <w:lang w:val="da-DK"/>
        </w:rPr>
        <w:t xml:space="preserve">. </w:t>
      </w:r>
      <w:r w:rsidRPr="00E772AD">
        <w:rPr>
          <w:shd w:val="clear" w:color="auto" w:fill="FFFFFF"/>
        </w:rPr>
        <w:t>Frydenlund Academic.</w:t>
      </w:r>
    </w:p>
    <w:p w14:paraId="078A831F"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Larsen, C. A., &amp; Dejgaard, T. E. (2013). The institutional logic of images of the poor and welfare recipients: A comparative study of British, </w:t>
      </w:r>
      <w:proofErr w:type="gramStart"/>
      <w:r w:rsidRPr="00E772AD">
        <w:rPr>
          <w:shd w:val="clear" w:color="auto" w:fill="FFFFFF"/>
        </w:rPr>
        <w:t>Swedish</w:t>
      </w:r>
      <w:proofErr w:type="gramEnd"/>
      <w:r w:rsidRPr="00E772AD">
        <w:rPr>
          <w:shd w:val="clear" w:color="auto" w:fill="FFFFFF"/>
        </w:rPr>
        <w:t xml:space="preserve"> and Danish newspapers. </w:t>
      </w:r>
      <w:r w:rsidRPr="00E772AD">
        <w:rPr>
          <w:i/>
          <w:iCs/>
          <w:shd w:val="clear" w:color="auto" w:fill="FFFFFF"/>
        </w:rPr>
        <w:t>Journal of European Social Policy</w:t>
      </w:r>
      <w:r w:rsidRPr="00E772AD">
        <w:rPr>
          <w:shd w:val="clear" w:color="auto" w:fill="FFFFFF"/>
        </w:rPr>
        <w:t>, </w:t>
      </w:r>
      <w:r w:rsidRPr="00E772AD">
        <w:rPr>
          <w:i/>
          <w:iCs/>
          <w:shd w:val="clear" w:color="auto" w:fill="FFFFFF"/>
        </w:rPr>
        <w:t>23</w:t>
      </w:r>
      <w:r w:rsidRPr="00E772AD">
        <w:rPr>
          <w:shd w:val="clear" w:color="auto" w:fill="FFFFFF"/>
        </w:rPr>
        <w:t>(3), 287–299.</w:t>
      </w:r>
    </w:p>
    <w:p w14:paraId="67D4E95E"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Larsen, F., &amp; Caswell, D. (2020). Co-creation in an era of welfare conditionality </w:t>
      </w:r>
      <w:r w:rsidRPr="00E772AD">
        <w:rPr>
          <w:rFonts w:ascii="Symbol" w:hAnsi="Symbol"/>
          <w:shd w:val="clear" w:color="auto" w:fill="FFFFFF"/>
        </w:rPr>
        <w:t></w:t>
      </w:r>
      <w:r w:rsidRPr="00E772AD">
        <w:rPr>
          <w:shd w:val="clear" w:color="auto" w:fill="FFFFFF"/>
        </w:rPr>
        <w:t xml:space="preserve"> lessons from Denmark. </w:t>
      </w:r>
      <w:r w:rsidRPr="00E772AD">
        <w:rPr>
          <w:i/>
          <w:iCs/>
          <w:shd w:val="clear" w:color="auto" w:fill="FFFFFF"/>
        </w:rPr>
        <w:t>Journal of Social Policy</w:t>
      </w:r>
      <w:r w:rsidRPr="00E772AD">
        <w:rPr>
          <w:shd w:val="clear" w:color="auto" w:fill="FFFFFF"/>
        </w:rPr>
        <w:t>, 1–19.</w:t>
      </w:r>
    </w:p>
    <w:p w14:paraId="6E09A252" w14:textId="77777777" w:rsidR="00070CF2" w:rsidRPr="00E772AD" w:rsidRDefault="00070CF2" w:rsidP="00070CF2">
      <w:pPr>
        <w:spacing w:line="480" w:lineRule="auto"/>
        <w:ind w:left="720" w:hanging="720"/>
        <w:rPr>
          <w:shd w:val="clear" w:color="auto" w:fill="FFFFFF"/>
          <w:lang w:val="da-DK"/>
        </w:rPr>
      </w:pPr>
      <w:r w:rsidRPr="00E772AD">
        <w:rPr>
          <w:shd w:val="clear" w:color="auto" w:fill="FFFFFF"/>
          <w:lang w:val="en-US"/>
        </w:rPr>
        <w:t xml:space="preserve">Leseth, A. B., Vilhena, S., &amp; Gjersøe, H. M. (2020). </w:t>
      </w:r>
      <w:proofErr w:type="spellStart"/>
      <w:r w:rsidRPr="00E772AD">
        <w:rPr>
          <w:shd w:val="clear" w:color="auto" w:fill="FFFFFF"/>
          <w:lang w:val="da-DK"/>
        </w:rPr>
        <w:t>Aktivitetspliktens</w:t>
      </w:r>
      <w:proofErr w:type="spellEnd"/>
      <w:r w:rsidRPr="00E772AD">
        <w:rPr>
          <w:shd w:val="clear" w:color="auto" w:fill="FFFFFF"/>
          <w:lang w:val="da-DK"/>
        </w:rPr>
        <w:t xml:space="preserve"> </w:t>
      </w:r>
      <w:proofErr w:type="spellStart"/>
      <w:r w:rsidRPr="00E772AD">
        <w:rPr>
          <w:shd w:val="clear" w:color="auto" w:fill="FFFFFF"/>
          <w:lang w:val="da-DK"/>
        </w:rPr>
        <w:t>innside</w:t>
      </w:r>
      <w:proofErr w:type="spellEnd"/>
      <w:r w:rsidRPr="00E772AD">
        <w:rPr>
          <w:shd w:val="clear" w:color="auto" w:fill="FFFFFF"/>
          <w:lang w:val="da-DK"/>
        </w:rPr>
        <w:t xml:space="preserve"> og </w:t>
      </w:r>
      <w:proofErr w:type="spellStart"/>
      <w:r w:rsidRPr="00E772AD">
        <w:rPr>
          <w:shd w:val="clear" w:color="auto" w:fill="FFFFFF"/>
          <w:lang w:val="da-DK"/>
        </w:rPr>
        <w:t>utside</w:t>
      </w:r>
      <w:proofErr w:type="spellEnd"/>
      <w:r w:rsidRPr="00E772AD">
        <w:rPr>
          <w:shd w:val="clear" w:color="auto" w:fill="FFFFFF"/>
          <w:lang w:val="da-DK"/>
        </w:rPr>
        <w:t xml:space="preserve">: Unge </w:t>
      </w:r>
      <w:proofErr w:type="spellStart"/>
      <w:r w:rsidRPr="00E772AD">
        <w:rPr>
          <w:shd w:val="clear" w:color="auto" w:fill="FFFFFF"/>
          <w:lang w:val="da-DK"/>
        </w:rPr>
        <w:t>mottakere</w:t>
      </w:r>
      <w:proofErr w:type="spellEnd"/>
      <w:r w:rsidRPr="00E772AD">
        <w:rPr>
          <w:shd w:val="clear" w:color="auto" w:fill="FFFFFF"/>
          <w:lang w:val="da-DK"/>
        </w:rPr>
        <w:t xml:space="preserve"> av </w:t>
      </w:r>
      <w:proofErr w:type="spellStart"/>
      <w:r w:rsidRPr="00E772AD">
        <w:rPr>
          <w:shd w:val="clear" w:color="auto" w:fill="FFFFFF"/>
          <w:lang w:val="da-DK"/>
        </w:rPr>
        <w:t>sosialhjelp</w:t>
      </w:r>
      <w:proofErr w:type="spellEnd"/>
      <w:r w:rsidRPr="00E772AD">
        <w:rPr>
          <w:shd w:val="clear" w:color="auto" w:fill="FFFFFF"/>
          <w:lang w:val="da-DK"/>
        </w:rPr>
        <w:t xml:space="preserve"> og deres erfaringer med </w:t>
      </w:r>
      <w:proofErr w:type="spellStart"/>
      <w:r w:rsidRPr="00E772AD">
        <w:rPr>
          <w:shd w:val="clear" w:color="auto" w:fill="FFFFFF"/>
          <w:lang w:val="da-DK"/>
        </w:rPr>
        <w:t>aktivitetsplikt</w:t>
      </w:r>
      <w:proofErr w:type="spellEnd"/>
      <w:r w:rsidRPr="00E772AD">
        <w:rPr>
          <w:shd w:val="clear" w:color="auto" w:fill="FFFFFF"/>
          <w:lang w:val="da-DK"/>
        </w:rPr>
        <w:t xml:space="preserve"> </w:t>
      </w:r>
      <w:proofErr w:type="gramStart"/>
      <w:r w:rsidRPr="00E772AD">
        <w:rPr>
          <w:shd w:val="clear" w:color="auto" w:fill="FFFFFF"/>
          <w:lang w:val="da-DK"/>
        </w:rPr>
        <w:t>[ ]</w:t>
      </w:r>
      <w:proofErr w:type="gramEnd"/>
      <w:r w:rsidRPr="00E772AD">
        <w:rPr>
          <w:shd w:val="clear" w:color="auto" w:fill="FFFFFF"/>
          <w:lang w:val="da-DK"/>
        </w:rPr>
        <w:t>. </w:t>
      </w:r>
      <w:r w:rsidRPr="00E772AD">
        <w:rPr>
          <w:i/>
          <w:iCs/>
          <w:shd w:val="clear" w:color="auto" w:fill="FFFFFF"/>
          <w:lang w:val="da-DK"/>
        </w:rPr>
        <w:t xml:space="preserve">Tidsskrift for </w:t>
      </w:r>
      <w:proofErr w:type="spellStart"/>
      <w:r w:rsidRPr="00E772AD">
        <w:rPr>
          <w:i/>
          <w:iCs/>
          <w:shd w:val="clear" w:color="auto" w:fill="FFFFFF"/>
          <w:lang w:val="da-DK"/>
        </w:rPr>
        <w:t>Velferdsforskning</w:t>
      </w:r>
      <w:proofErr w:type="spellEnd"/>
      <w:r w:rsidRPr="00E772AD">
        <w:rPr>
          <w:shd w:val="clear" w:color="auto" w:fill="FFFFFF"/>
          <w:lang w:val="da-DK"/>
        </w:rPr>
        <w:t>, </w:t>
      </w:r>
      <w:r w:rsidRPr="00E772AD">
        <w:rPr>
          <w:i/>
          <w:iCs/>
          <w:shd w:val="clear" w:color="auto" w:fill="FFFFFF"/>
          <w:lang w:val="da-DK"/>
        </w:rPr>
        <w:t>23</w:t>
      </w:r>
      <w:r w:rsidRPr="00E772AD">
        <w:rPr>
          <w:shd w:val="clear" w:color="auto" w:fill="FFFFFF"/>
          <w:lang w:val="da-DK"/>
        </w:rPr>
        <w:t>(2), 126</w:t>
      </w:r>
      <w:r w:rsidRPr="00E772AD">
        <w:rPr>
          <w:rFonts w:ascii="Symbol" w:hAnsi="Symbol"/>
          <w:shd w:val="clear" w:color="auto" w:fill="FFFFFF"/>
        </w:rPr>
        <w:t></w:t>
      </w:r>
      <w:r w:rsidRPr="00E772AD">
        <w:rPr>
          <w:shd w:val="clear" w:color="auto" w:fill="FFFFFF"/>
          <w:lang w:val="da-DK"/>
        </w:rPr>
        <w:t>139</w:t>
      </w:r>
    </w:p>
    <w:p w14:paraId="0225B083" w14:textId="1CD3A3EE" w:rsidR="00A73F4C" w:rsidRPr="00E772AD" w:rsidRDefault="00A73F4C" w:rsidP="00070CF2">
      <w:pPr>
        <w:spacing w:line="480" w:lineRule="auto"/>
        <w:ind w:left="720" w:hanging="720"/>
        <w:rPr>
          <w:shd w:val="clear" w:color="auto" w:fill="FFFFFF"/>
          <w:lang w:val="da-DK"/>
        </w:rPr>
      </w:pPr>
      <w:r w:rsidRPr="00E772AD">
        <w:rPr>
          <w:shd w:val="clear" w:color="auto" w:fill="FFFFFF"/>
          <w:lang w:val="da-DK"/>
        </w:rPr>
        <w:t>Lister, R. (2004). </w:t>
      </w:r>
      <w:proofErr w:type="spellStart"/>
      <w:r w:rsidRPr="00E772AD">
        <w:rPr>
          <w:i/>
          <w:iCs/>
          <w:shd w:val="clear" w:color="auto" w:fill="FFFFFF"/>
          <w:lang w:val="da-DK"/>
        </w:rPr>
        <w:t>Poverty</w:t>
      </w:r>
      <w:proofErr w:type="spellEnd"/>
      <w:r w:rsidRPr="00E772AD">
        <w:rPr>
          <w:shd w:val="clear" w:color="auto" w:fill="FFFFFF"/>
          <w:lang w:val="da-DK"/>
        </w:rPr>
        <w:t xml:space="preserve"> (Vol. 5). </w:t>
      </w:r>
      <w:proofErr w:type="spellStart"/>
      <w:r w:rsidRPr="00E772AD">
        <w:rPr>
          <w:shd w:val="clear" w:color="auto" w:fill="FFFFFF"/>
          <w:lang w:val="da-DK"/>
        </w:rPr>
        <w:t>Polity</w:t>
      </w:r>
      <w:proofErr w:type="spellEnd"/>
      <w:r w:rsidRPr="00E772AD">
        <w:rPr>
          <w:shd w:val="clear" w:color="auto" w:fill="FFFFFF"/>
          <w:lang w:val="da-DK"/>
        </w:rPr>
        <w:t>.</w:t>
      </w:r>
    </w:p>
    <w:p w14:paraId="02A52891" w14:textId="4F9E2CB3" w:rsidR="00070CF2" w:rsidRPr="00E772AD" w:rsidRDefault="00070CF2" w:rsidP="00070CF2">
      <w:pPr>
        <w:spacing w:line="480" w:lineRule="auto"/>
        <w:ind w:left="720" w:hanging="720"/>
        <w:rPr>
          <w:shd w:val="clear" w:color="auto" w:fill="FFFFFF"/>
        </w:rPr>
      </w:pPr>
      <w:r w:rsidRPr="00E772AD">
        <w:rPr>
          <w:shd w:val="clear" w:color="auto" w:fill="FFFFFF"/>
          <w:lang w:val="da-DK"/>
        </w:rPr>
        <w:t xml:space="preserve">Lister, R. (2015). </w:t>
      </w:r>
      <w:r w:rsidRPr="00E772AD">
        <w:rPr>
          <w:shd w:val="clear" w:color="auto" w:fill="FFFFFF"/>
        </w:rPr>
        <w:t>To count for nothing’: Poverty beyond the statistics. </w:t>
      </w:r>
      <w:r w:rsidRPr="00E772AD">
        <w:rPr>
          <w:i/>
          <w:iCs/>
          <w:shd w:val="clear" w:color="auto" w:fill="FFFFFF"/>
        </w:rPr>
        <w:t>Journal of the British Academy</w:t>
      </w:r>
      <w:r w:rsidRPr="00E772AD">
        <w:rPr>
          <w:shd w:val="clear" w:color="auto" w:fill="FFFFFF"/>
        </w:rPr>
        <w:t>, </w:t>
      </w:r>
      <w:r w:rsidRPr="00E772AD">
        <w:rPr>
          <w:i/>
          <w:iCs/>
          <w:shd w:val="clear" w:color="auto" w:fill="FFFFFF"/>
        </w:rPr>
        <w:t>3</w:t>
      </w:r>
      <w:r w:rsidRPr="00E772AD">
        <w:rPr>
          <w:shd w:val="clear" w:color="auto" w:fill="FFFFFF"/>
        </w:rPr>
        <w:t>(0), 139–165.</w:t>
      </w:r>
    </w:p>
    <w:p w14:paraId="1511F10F" w14:textId="2B5B7448" w:rsidR="00070CF2" w:rsidRPr="00E772AD" w:rsidRDefault="00070CF2" w:rsidP="00070CF2">
      <w:pPr>
        <w:spacing w:line="480" w:lineRule="auto"/>
        <w:ind w:left="720" w:hanging="720"/>
        <w:rPr>
          <w:shd w:val="clear" w:color="auto" w:fill="FFFFFF"/>
        </w:rPr>
      </w:pPr>
      <w:r w:rsidRPr="00E772AD">
        <w:rPr>
          <w:shd w:val="clear" w:color="auto" w:fill="FFFFFF"/>
          <w:lang w:val="en-US"/>
        </w:rPr>
        <w:t xml:space="preserve">Lødemel, I., &amp; Moreira, A. (Eds.). </w:t>
      </w:r>
      <w:r w:rsidRPr="00E772AD">
        <w:rPr>
          <w:shd w:val="clear" w:color="auto" w:fill="FFFFFF"/>
        </w:rPr>
        <w:t>(2014). </w:t>
      </w:r>
      <w:r w:rsidRPr="00E772AD">
        <w:rPr>
          <w:i/>
          <w:iCs/>
          <w:shd w:val="clear" w:color="auto" w:fill="FFFFFF"/>
        </w:rPr>
        <w:t>Activation or workfare? Governance and the neo-liberal convergence</w:t>
      </w:r>
      <w:r w:rsidRPr="00E772AD">
        <w:rPr>
          <w:shd w:val="clear" w:color="auto" w:fill="FFFFFF"/>
        </w:rPr>
        <w:t>. Oxford University Press.</w:t>
      </w:r>
    </w:p>
    <w:p w14:paraId="6C5990A2" w14:textId="77777777" w:rsidR="00070CF2" w:rsidRPr="00E772AD" w:rsidRDefault="00070CF2" w:rsidP="00070CF2">
      <w:pPr>
        <w:spacing w:line="480" w:lineRule="auto"/>
        <w:ind w:left="720" w:hanging="720"/>
        <w:rPr>
          <w:shd w:val="clear" w:color="auto" w:fill="FFFFFF"/>
        </w:rPr>
      </w:pPr>
      <w:r w:rsidRPr="00E772AD">
        <w:rPr>
          <w:shd w:val="clear" w:color="auto" w:fill="FFFFFF"/>
        </w:rPr>
        <w:t>Lødemel, I., &amp; Trickey, H. (Eds.). (2001). </w:t>
      </w:r>
      <w:r w:rsidRPr="00E772AD">
        <w:rPr>
          <w:i/>
          <w:iCs/>
          <w:shd w:val="clear" w:color="auto" w:fill="FFFFFF"/>
        </w:rPr>
        <w:t>‘An offer you can’t refuse’: Workfare in international perspective</w:t>
      </w:r>
      <w:r w:rsidRPr="00E772AD">
        <w:rPr>
          <w:shd w:val="clear" w:color="auto" w:fill="FFFFFF"/>
        </w:rPr>
        <w:t>. Policy Press.</w:t>
      </w:r>
    </w:p>
    <w:p w14:paraId="430E92EF" w14:textId="77777777" w:rsidR="00070CF2" w:rsidRPr="00E772AD" w:rsidRDefault="00070CF2" w:rsidP="00070CF2">
      <w:pPr>
        <w:spacing w:line="480" w:lineRule="auto"/>
        <w:ind w:left="720" w:hanging="720"/>
        <w:rPr>
          <w:shd w:val="clear" w:color="auto" w:fill="FFFFFF"/>
          <w:lang w:val="da-DK"/>
        </w:rPr>
      </w:pPr>
      <w:r w:rsidRPr="00E772AD">
        <w:rPr>
          <w:shd w:val="clear" w:color="auto" w:fill="FFFFFF"/>
        </w:rPr>
        <w:t xml:space="preserve">Møller, M. Ø., &amp; </w:t>
      </w:r>
      <w:proofErr w:type="spellStart"/>
      <w:r w:rsidRPr="00E772AD">
        <w:rPr>
          <w:shd w:val="clear" w:color="auto" w:fill="FFFFFF"/>
        </w:rPr>
        <w:t>Stensöta</w:t>
      </w:r>
      <w:proofErr w:type="spellEnd"/>
      <w:r w:rsidRPr="00E772AD">
        <w:rPr>
          <w:shd w:val="clear" w:color="auto" w:fill="FFFFFF"/>
        </w:rPr>
        <w:t>, H. O. (2019). Welfare state regimes and caseworkers’ problem explanation. </w:t>
      </w:r>
      <w:r w:rsidRPr="00E772AD">
        <w:rPr>
          <w:i/>
          <w:iCs/>
          <w:shd w:val="clear" w:color="auto" w:fill="FFFFFF"/>
          <w:lang w:val="da-DK"/>
        </w:rPr>
        <w:t>Administration &amp; Society</w:t>
      </w:r>
      <w:r w:rsidRPr="00E772AD">
        <w:rPr>
          <w:shd w:val="clear" w:color="auto" w:fill="FFFFFF"/>
          <w:lang w:val="da-DK"/>
        </w:rPr>
        <w:t>, </w:t>
      </w:r>
      <w:r w:rsidRPr="00E772AD">
        <w:rPr>
          <w:i/>
          <w:iCs/>
          <w:shd w:val="clear" w:color="auto" w:fill="FFFFFF"/>
          <w:lang w:val="da-DK"/>
        </w:rPr>
        <w:t>51</w:t>
      </w:r>
      <w:r w:rsidRPr="00E772AD">
        <w:rPr>
          <w:shd w:val="clear" w:color="auto" w:fill="FFFFFF"/>
          <w:lang w:val="da-DK"/>
        </w:rPr>
        <w:t>(9), 1425–1454.</w:t>
      </w:r>
    </w:p>
    <w:p w14:paraId="2127ACDF" w14:textId="77777777" w:rsidR="00070CF2" w:rsidRPr="00E772AD" w:rsidRDefault="00070CF2" w:rsidP="00070CF2">
      <w:pPr>
        <w:spacing w:line="480" w:lineRule="auto"/>
        <w:ind w:left="720" w:hanging="720"/>
        <w:rPr>
          <w:shd w:val="clear" w:color="auto" w:fill="FFFFFF"/>
        </w:rPr>
      </w:pPr>
      <w:r w:rsidRPr="00E772AD">
        <w:rPr>
          <w:shd w:val="clear" w:color="auto" w:fill="FFFFFF"/>
          <w:lang w:val="da-DK"/>
        </w:rPr>
        <w:t>Nielsen, M. H. (2019). </w:t>
      </w:r>
      <w:r w:rsidRPr="00E772AD">
        <w:rPr>
          <w:i/>
          <w:iCs/>
          <w:shd w:val="clear" w:color="auto" w:fill="FFFFFF"/>
          <w:lang w:val="da-DK"/>
        </w:rPr>
        <w:t xml:space="preserve">Optimismens politik: Om skabelsen af uværdigt trængende borgere </w:t>
      </w:r>
      <w:proofErr w:type="gramStart"/>
      <w:r w:rsidRPr="00E772AD">
        <w:rPr>
          <w:shd w:val="clear" w:color="auto" w:fill="FFFFFF"/>
          <w:lang w:val="da-DK"/>
        </w:rPr>
        <w:t>[ ]</w:t>
      </w:r>
      <w:proofErr w:type="gramEnd"/>
      <w:r w:rsidRPr="00E772AD">
        <w:rPr>
          <w:shd w:val="clear" w:color="auto" w:fill="FFFFFF"/>
          <w:lang w:val="da-DK"/>
        </w:rPr>
        <w:t xml:space="preserve">. </w:t>
      </w:r>
      <w:r w:rsidRPr="00E772AD">
        <w:rPr>
          <w:shd w:val="clear" w:color="auto" w:fill="FFFFFF"/>
        </w:rPr>
        <w:t>Frydenlund Academic.</w:t>
      </w:r>
    </w:p>
    <w:p w14:paraId="0A1FBCE2"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Nielsen, M. H. (2021). Money, </w:t>
      </w:r>
      <w:proofErr w:type="gramStart"/>
      <w:r w:rsidRPr="00E772AD">
        <w:rPr>
          <w:shd w:val="clear" w:color="auto" w:fill="FFFFFF"/>
        </w:rPr>
        <w:t>competences</w:t>
      </w:r>
      <w:proofErr w:type="gramEnd"/>
      <w:r w:rsidRPr="00E772AD">
        <w:rPr>
          <w:shd w:val="clear" w:color="auto" w:fill="FFFFFF"/>
        </w:rPr>
        <w:t xml:space="preserve"> or behaviour? On the many worths of the unemployed. </w:t>
      </w:r>
      <w:r w:rsidRPr="00E772AD">
        <w:rPr>
          <w:i/>
          <w:iCs/>
          <w:shd w:val="clear" w:color="auto" w:fill="FFFFFF"/>
        </w:rPr>
        <w:t>European Journal of Cultural and Political Sociology</w:t>
      </w:r>
      <w:r w:rsidRPr="00E772AD">
        <w:rPr>
          <w:shd w:val="clear" w:color="auto" w:fill="FFFFFF"/>
        </w:rPr>
        <w:t>, </w:t>
      </w:r>
      <w:r w:rsidRPr="00E772AD">
        <w:rPr>
          <w:i/>
          <w:iCs/>
          <w:shd w:val="clear" w:color="auto" w:fill="FFFFFF"/>
        </w:rPr>
        <w:t>8</w:t>
      </w:r>
      <w:r w:rsidRPr="00E772AD">
        <w:rPr>
          <w:shd w:val="clear" w:color="auto" w:fill="FFFFFF"/>
        </w:rPr>
        <w:t>(2), 124–150.</w:t>
      </w:r>
    </w:p>
    <w:p w14:paraId="7E9DE3B8" w14:textId="77777777" w:rsidR="00070CF2" w:rsidRPr="00E772AD" w:rsidRDefault="00070CF2" w:rsidP="00070CF2">
      <w:pPr>
        <w:spacing w:line="480" w:lineRule="auto"/>
        <w:ind w:left="720" w:hanging="720"/>
        <w:rPr>
          <w:shd w:val="clear" w:color="auto" w:fill="FFFFFF"/>
        </w:rPr>
      </w:pPr>
      <w:r w:rsidRPr="00E772AD">
        <w:rPr>
          <w:shd w:val="clear" w:color="auto" w:fill="FFFFFF"/>
        </w:rPr>
        <w:t>Nielsen, L. O., Danneris, S., &amp; Monrad, M. (2021). Waiting and temporal control: The temporal experience of long-term unemployment. </w:t>
      </w:r>
      <w:r w:rsidRPr="00E772AD">
        <w:rPr>
          <w:i/>
          <w:iCs/>
          <w:shd w:val="clear" w:color="auto" w:fill="FFFFFF"/>
        </w:rPr>
        <w:t>Time &amp; Society</w:t>
      </w:r>
      <w:r w:rsidRPr="00E772AD">
        <w:rPr>
          <w:shd w:val="clear" w:color="auto" w:fill="FFFFFF"/>
        </w:rPr>
        <w:t>, </w:t>
      </w:r>
      <w:r w:rsidRPr="00E772AD">
        <w:rPr>
          <w:i/>
          <w:iCs/>
          <w:shd w:val="clear" w:color="auto" w:fill="FFFFFF"/>
        </w:rPr>
        <w:t>30</w:t>
      </w:r>
      <w:r w:rsidRPr="00E772AD">
        <w:rPr>
          <w:shd w:val="clear" w:color="auto" w:fill="FFFFFF"/>
        </w:rPr>
        <w:t>(2), 176–197.</w:t>
      </w:r>
    </w:p>
    <w:p w14:paraId="0A35FDD6" w14:textId="77777777" w:rsidR="00070CF2" w:rsidRPr="00E772AD" w:rsidRDefault="00070CF2" w:rsidP="00070CF2">
      <w:pPr>
        <w:spacing w:line="480" w:lineRule="auto"/>
        <w:ind w:left="720" w:hanging="720"/>
        <w:rPr>
          <w:shd w:val="clear" w:color="auto" w:fill="FFFFFF"/>
        </w:rPr>
      </w:pPr>
      <w:proofErr w:type="spellStart"/>
      <w:r w:rsidRPr="00E772AD">
        <w:rPr>
          <w:shd w:val="clear" w:color="auto" w:fill="FFFFFF"/>
        </w:rPr>
        <w:t>Nothdurfter</w:t>
      </w:r>
      <w:proofErr w:type="spellEnd"/>
      <w:r w:rsidRPr="00E772AD">
        <w:rPr>
          <w:shd w:val="clear" w:color="auto" w:fill="FFFFFF"/>
        </w:rPr>
        <w:t xml:space="preserve">, U. (2016). The street-level delivery of activation policies: Constraints and possibilities for a practice of citizenship. </w:t>
      </w:r>
      <w:r w:rsidRPr="00E772AD">
        <w:rPr>
          <w:i/>
          <w:iCs/>
          <w:shd w:val="clear" w:color="auto" w:fill="FFFFFF"/>
        </w:rPr>
        <w:t>European Journal of Social Work, 19</w:t>
      </w:r>
      <w:r w:rsidRPr="00E772AD">
        <w:rPr>
          <w:shd w:val="clear" w:color="auto" w:fill="FFFFFF"/>
        </w:rPr>
        <w:t>(3–4), 420–440.</w:t>
      </w:r>
    </w:p>
    <w:p w14:paraId="5457B51C" w14:textId="77777777" w:rsidR="00070CF2" w:rsidRPr="00E772AD" w:rsidRDefault="00070CF2" w:rsidP="00070CF2">
      <w:pPr>
        <w:spacing w:line="480" w:lineRule="auto"/>
        <w:ind w:left="720" w:hanging="720"/>
        <w:rPr>
          <w:shd w:val="clear" w:color="auto" w:fill="FFFFFF"/>
        </w:rPr>
      </w:pPr>
      <w:r w:rsidRPr="00E772AD">
        <w:rPr>
          <w:shd w:val="clear" w:color="auto" w:fill="FFFFFF"/>
        </w:rPr>
        <w:t>Patrick, R. (2014). Working on welfare: Findings from a qualitative longitudinal study into the lived experiences of welfare reform in the UK. </w:t>
      </w:r>
      <w:r w:rsidRPr="00E772AD">
        <w:rPr>
          <w:i/>
          <w:iCs/>
          <w:shd w:val="clear" w:color="auto" w:fill="FFFFFF"/>
        </w:rPr>
        <w:t>Journal of Social Policy</w:t>
      </w:r>
      <w:r w:rsidRPr="00E772AD">
        <w:rPr>
          <w:shd w:val="clear" w:color="auto" w:fill="FFFFFF"/>
        </w:rPr>
        <w:t>, </w:t>
      </w:r>
      <w:r w:rsidRPr="00E772AD">
        <w:rPr>
          <w:i/>
          <w:iCs/>
          <w:shd w:val="clear" w:color="auto" w:fill="FFFFFF"/>
        </w:rPr>
        <w:t>43</w:t>
      </w:r>
      <w:r w:rsidRPr="00E772AD">
        <w:rPr>
          <w:shd w:val="clear" w:color="auto" w:fill="FFFFFF"/>
        </w:rPr>
        <w:t>(4), 705–725.</w:t>
      </w:r>
    </w:p>
    <w:p w14:paraId="43CBE01E" w14:textId="77777777" w:rsidR="00070CF2" w:rsidRPr="00E772AD" w:rsidRDefault="00070CF2" w:rsidP="00070CF2">
      <w:pPr>
        <w:spacing w:line="480" w:lineRule="auto"/>
        <w:ind w:left="720" w:hanging="720"/>
        <w:rPr>
          <w:shd w:val="clear" w:color="auto" w:fill="FFFFFF"/>
        </w:rPr>
      </w:pPr>
      <w:r w:rsidRPr="00E772AD">
        <w:rPr>
          <w:shd w:val="clear" w:color="auto" w:fill="FFFFFF"/>
        </w:rPr>
        <w:t>Patrick, R. (2017). </w:t>
      </w:r>
      <w:r w:rsidRPr="00E772AD">
        <w:rPr>
          <w:i/>
          <w:iCs/>
          <w:shd w:val="clear" w:color="auto" w:fill="FFFFFF"/>
        </w:rPr>
        <w:t>For whose benefit? The everyday realities of welfare reform</w:t>
      </w:r>
      <w:r w:rsidRPr="00E772AD">
        <w:rPr>
          <w:shd w:val="clear" w:color="auto" w:fill="FFFFFF"/>
        </w:rPr>
        <w:t>. Policy Press.</w:t>
      </w:r>
    </w:p>
    <w:p w14:paraId="3F68795C" w14:textId="77777777" w:rsidR="00070CF2" w:rsidRPr="00E772AD" w:rsidRDefault="00070CF2" w:rsidP="00070CF2">
      <w:pPr>
        <w:spacing w:line="480" w:lineRule="auto"/>
        <w:ind w:left="720" w:hanging="720"/>
        <w:rPr>
          <w:shd w:val="clear" w:color="auto" w:fill="FFFFFF"/>
        </w:rPr>
      </w:pPr>
      <w:r w:rsidRPr="00E772AD">
        <w:rPr>
          <w:shd w:val="clear" w:color="auto" w:fill="FFFFFF"/>
        </w:rPr>
        <w:t>Pultz, S. (2018). Shame and passion: The affective governing of young unemployed people. </w:t>
      </w:r>
      <w:r w:rsidRPr="00E772AD">
        <w:rPr>
          <w:i/>
          <w:iCs/>
          <w:shd w:val="clear" w:color="auto" w:fill="FFFFFF"/>
        </w:rPr>
        <w:t>Theory &amp; Psychology</w:t>
      </w:r>
      <w:r w:rsidRPr="00E772AD">
        <w:rPr>
          <w:shd w:val="clear" w:color="auto" w:fill="FFFFFF"/>
        </w:rPr>
        <w:t>, </w:t>
      </w:r>
      <w:r w:rsidRPr="00E772AD">
        <w:rPr>
          <w:i/>
          <w:iCs/>
          <w:shd w:val="clear" w:color="auto" w:fill="FFFFFF"/>
        </w:rPr>
        <w:t>28</w:t>
      </w:r>
      <w:r w:rsidRPr="00E772AD">
        <w:rPr>
          <w:shd w:val="clear" w:color="auto" w:fill="FFFFFF"/>
        </w:rPr>
        <w:t>(3), 358–381.</w:t>
      </w:r>
    </w:p>
    <w:p w14:paraId="63943559" w14:textId="77777777" w:rsidR="00070CF2" w:rsidRPr="00E772AD" w:rsidRDefault="00070CF2" w:rsidP="00070CF2">
      <w:pPr>
        <w:spacing w:line="480" w:lineRule="auto"/>
        <w:ind w:left="720" w:hanging="720"/>
        <w:rPr>
          <w:shd w:val="clear" w:color="auto" w:fill="FFFFFF"/>
        </w:rPr>
      </w:pPr>
      <w:r w:rsidRPr="00E772AD">
        <w:rPr>
          <w:shd w:val="clear" w:color="auto" w:fill="FFFFFF"/>
        </w:rPr>
        <w:t>Pultz, S., Hansen, M. P., &amp; Jepsen, H. (2021). Planning for a job: The trying experience of unemployment during the COVID-19 crisis in Denmark. </w:t>
      </w:r>
      <w:r w:rsidRPr="00E772AD">
        <w:rPr>
          <w:i/>
          <w:iCs/>
          <w:shd w:val="clear" w:color="auto" w:fill="FFFFFF"/>
        </w:rPr>
        <w:t>International Perspectives in Psychology: Research, Practice, Consultation</w:t>
      </w:r>
      <w:r w:rsidRPr="00E772AD">
        <w:rPr>
          <w:shd w:val="clear" w:color="auto" w:fill="FFFFFF"/>
        </w:rPr>
        <w:t xml:space="preserve">, </w:t>
      </w:r>
      <w:r w:rsidRPr="00E772AD">
        <w:rPr>
          <w:i/>
          <w:iCs/>
          <w:shd w:val="clear" w:color="auto" w:fill="FFFFFF"/>
        </w:rPr>
        <w:t>1</w:t>
      </w:r>
      <w:r w:rsidRPr="00E772AD">
        <w:rPr>
          <w:shd w:val="clear" w:color="auto" w:fill="FFFFFF"/>
        </w:rPr>
        <w:t>(10), 228</w:t>
      </w:r>
      <w:r w:rsidRPr="00E772AD">
        <w:rPr>
          <w:rFonts w:ascii="Symbol" w:hAnsi="Symbol"/>
          <w:shd w:val="clear" w:color="auto" w:fill="FFFFFF"/>
        </w:rPr>
        <w:t></w:t>
      </w:r>
      <w:r w:rsidRPr="00E772AD">
        <w:rPr>
          <w:shd w:val="clear" w:color="auto" w:fill="FFFFFF"/>
        </w:rPr>
        <w:t>242.</w:t>
      </w:r>
    </w:p>
    <w:p w14:paraId="7D496A3D" w14:textId="77777777" w:rsidR="00070CF2" w:rsidRPr="00E772AD" w:rsidRDefault="00070CF2" w:rsidP="00070CF2">
      <w:pPr>
        <w:spacing w:line="480" w:lineRule="auto"/>
        <w:ind w:left="720" w:hanging="720"/>
        <w:rPr>
          <w:shd w:val="clear" w:color="auto" w:fill="FFFFFF"/>
        </w:rPr>
      </w:pPr>
      <w:proofErr w:type="spellStart"/>
      <w:r w:rsidRPr="00E772AD">
        <w:rPr>
          <w:shd w:val="clear" w:color="auto" w:fill="FFFFFF"/>
        </w:rPr>
        <w:t>Raeymaeckers</w:t>
      </w:r>
      <w:proofErr w:type="spellEnd"/>
      <w:r w:rsidRPr="00E772AD">
        <w:rPr>
          <w:shd w:val="clear" w:color="auto" w:fill="FFFFFF"/>
        </w:rPr>
        <w:t xml:space="preserve">, P., &amp; Dierckx, D. (2013). To work or not to work? The role of the organisational context for social workers’ perceptions on activation. </w:t>
      </w:r>
      <w:r w:rsidRPr="00E772AD">
        <w:rPr>
          <w:i/>
          <w:iCs/>
          <w:shd w:val="clear" w:color="auto" w:fill="FFFFFF"/>
        </w:rPr>
        <w:t>British Journal of Social Work</w:t>
      </w:r>
      <w:r w:rsidRPr="00E772AD">
        <w:rPr>
          <w:shd w:val="clear" w:color="auto" w:fill="FFFFFF"/>
        </w:rPr>
        <w:t xml:space="preserve">, </w:t>
      </w:r>
      <w:r w:rsidRPr="00E772AD">
        <w:rPr>
          <w:i/>
          <w:iCs/>
          <w:shd w:val="clear" w:color="auto" w:fill="FFFFFF"/>
        </w:rPr>
        <w:t>43</w:t>
      </w:r>
      <w:r w:rsidRPr="00E772AD">
        <w:rPr>
          <w:shd w:val="clear" w:color="auto" w:fill="FFFFFF"/>
        </w:rPr>
        <w:t>(6), 1170–1189.</w:t>
      </w:r>
    </w:p>
    <w:p w14:paraId="047D99EE" w14:textId="77777777" w:rsidR="00070CF2" w:rsidRPr="00E772AD" w:rsidRDefault="00070CF2" w:rsidP="00070CF2">
      <w:pPr>
        <w:spacing w:line="480" w:lineRule="auto"/>
        <w:ind w:left="720" w:hanging="720"/>
        <w:rPr>
          <w:lang w:val="en-US"/>
        </w:rPr>
      </w:pPr>
      <w:r w:rsidRPr="00E772AD">
        <w:rPr>
          <w:lang w:val="en-US"/>
        </w:rPr>
        <w:t xml:space="preserve">Rosholm, M., Sørensen, K. L., &amp; Skipper, L. (2017). </w:t>
      </w:r>
      <w:r w:rsidRPr="00E772AD">
        <w:rPr>
          <w:lang w:val="da-DK"/>
        </w:rPr>
        <w:t xml:space="preserve">Sagsbehandlerens betydning for </w:t>
      </w:r>
      <w:proofErr w:type="gramStart"/>
      <w:r w:rsidRPr="00E772AD">
        <w:rPr>
          <w:lang w:val="da-DK"/>
        </w:rPr>
        <w:t>udsatte  borgeres</w:t>
      </w:r>
      <w:proofErr w:type="gramEnd"/>
      <w:r w:rsidRPr="00E772AD">
        <w:rPr>
          <w:lang w:val="da-DK"/>
        </w:rPr>
        <w:t xml:space="preserve"> jobchancer [ ]. </w:t>
      </w:r>
      <w:proofErr w:type="spellStart"/>
      <w:r w:rsidRPr="00E772AD">
        <w:rPr>
          <w:lang w:val="en-US"/>
        </w:rPr>
        <w:t>Beskæftigelses</w:t>
      </w:r>
      <w:proofErr w:type="spellEnd"/>
      <w:r w:rsidRPr="00E772AD">
        <w:rPr>
          <w:lang w:val="en-US"/>
        </w:rPr>
        <w:t xml:space="preserve"> </w:t>
      </w:r>
      <w:proofErr w:type="spellStart"/>
      <w:r w:rsidRPr="00E772AD">
        <w:rPr>
          <w:lang w:val="en-US"/>
        </w:rPr>
        <w:t>Indikator</w:t>
      </w:r>
      <w:proofErr w:type="spellEnd"/>
      <w:r w:rsidRPr="00E772AD">
        <w:rPr>
          <w:lang w:val="en-US"/>
        </w:rPr>
        <w:t xml:space="preserve"> </w:t>
      </w:r>
      <w:proofErr w:type="spellStart"/>
      <w:r w:rsidRPr="00E772AD">
        <w:rPr>
          <w:lang w:val="en-US"/>
        </w:rPr>
        <w:t>Projektet</w:t>
      </w:r>
      <w:proofErr w:type="spellEnd"/>
      <w:r w:rsidRPr="00E772AD">
        <w:rPr>
          <w:lang w:val="en-US"/>
        </w:rPr>
        <w:t xml:space="preserve">. </w:t>
      </w:r>
      <w:proofErr w:type="spellStart"/>
      <w:r w:rsidRPr="00E772AD">
        <w:rPr>
          <w:lang w:val="en-US"/>
        </w:rPr>
        <w:t>Væksthusets</w:t>
      </w:r>
      <w:proofErr w:type="spellEnd"/>
      <w:r w:rsidRPr="00E772AD">
        <w:rPr>
          <w:lang w:val="en-US"/>
        </w:rPr>
        <w:t xml:space="preserve"> </w:t>
      </w:r>
      <w:proofErr w:type="spellStart"/>
      <w:r w:rsidRPr="00E772AD">
        <w:rPr>
          <w:lang w:val="en-US"/>
        </w:rPr>
        <w:t>Forskningscenter</w:t>
      </w:r>
      <w:proofErr w:type="spellEnd"/>
      <w:r w:rsidRPr="00E772AD">
        <w:rPr>
          <w:lang w:val="en-US"/>
        </w:rPr>
        <w:t>.</w:t>
      </w:r>
    </w:p>
    <w:p w14:paraId="352A440C" w14:textId="77777777" w:rsidR="00070CF2" w:rsidRPr="00E772AD" w:rsidRDefault="00070CF2" w:rsidP="00070CF2">
      <w:pPr>
        <w:spacing w:line="480" w:lineRule="auto"/>
        <w:ind w:left="720" w:hanging="720"/>
        <w:rPr>
          <w:shd w:val="clear" w:color="auto" w:fill="FFFFFF"/>
        </w:rPr>
      </w:pPr>
      <w:proofErr w:type="spellStart"/>
      <w:r w:rsidRPr="00E772AD">
        <w:rPr>
          <w:shd w:val="clear" w:color="auto" w:fill="FFFFFF"/>
        </w:rPr>
        <w:t>Shildrick</w:t>
      </w:r>
      <w:proofErr w:type="spellEnd"/>
      <w:r w:rsidRPr="00E772AD">
        <w:rPr>
          <w:shd w:val="clear" w:color="auto" w:fill="FFFFFF"/>
        </w:rPr>
        <w:t>, T., &amp; MacDonald, R. (2013). Poverty talk: How people experiencing poverty deny their poverty and why they blame ‘the poor.’ </w:t>
      </w:r>
      <w:r w:rsidRPr="00E772AD">
        <w:rPr>
          <w:i/>
          <w:iCs/>
          <w:shd w:val="clear" w:color="auto" w:fill="FFFFFF"/>
        </w:rPr>
        <w:t>The Sociological Review</w:t>
      </w:r>
      <w:r w:rsidRPr="00E772AD">
        <w:rPr>
          <w:shd w:val="clear" w:color="auto" w:fill="FFFFFF"/>
        </w:rPr>
        <w:t>, </w:t>
      </w:r>
      <w:r w:rsidRPr="00E772AD">
        <w:rPr>
          <w:i/>
          <w:iCs/>
          <w:shd w:val="clear" w:color="auto" w:fill="FFFFFF"/>
        </w:rPr>
        <w:t>61</w:t>
      </w:r>
      <w:r w:rsidRPr="00E772AD">
        <w:rPr>
          <w:shd w:val="clear" w:color="auto" w:fill="FFFFFF"/>
        </w:rPr>
        <w:t>(2), 285–303.</w:t>
      </w:r>
    </w:p>
    <w:p w14:paraId="6186E500" w14:textId="77777777" w:rsidR="00070CF2" w:rsidRPr="00E772AD" w:rsidRDefault="00070CF2" w:rsidP="00070CF2">
      <w:pPr>
        <w:spacing w:line="480" w:lineRule="auto"/>
        <w:ind w:left="720" w:hanging="720"/>
        <w:rPr>
          <w:shd w:val="clear" w:color="auto" w:fill="FFFFFF"/>
        </w:rPr>
      </w:pPr>
      <w:r w:rsidRPr="00E772AD">
        <w:rPr>
          <w:shd w:val="clear" w:color="auto" w:fill="FFFFFF"/>
          <w:lang w:val="en-US"/>
        </w:rPr>
        <w:t xml:space="preserve">Skelcher, C., &amp; Smith, S. R. (2015). </w:t>
      </w:r>
      <w:r w:rsidRPr="00E772AD">
        <w:rPr>
          <w:shd w:val="clear" w:color="auto" w:fill="FFFFFF"/>
        </w:rPr>
        <w:t>Theorizing hybridity: Institutional logics, complex organizations, and actor identities: The case of nonprofits. </w:t>
      </w:r>
      <w:r w:rsidRPr="00E772AD">
        <w:rPr>
          <w:i/>
          <w:iCs/>
          <w:shd w:val="clear" w:color="auto" w:fill="FFFFFF"/>
        </w:rPr>
        <w:t>Public Administration</w:t>
      </w:r>
      <w:r w:rsidRPr="00E772AD">
        <w:rPr>
          <w:shd w:val="clear" w:color="auto" w:fill="FFFFFF"/>
        </w:rPr>
        <w:t>, </w:t>
      </w:r>
      <w:r w:rsidRPr="00E772AD">
        <w:rPr>
          <w:i/>
          <w:iCs/>
          <w:shd w:val="clear" w:color="auto" w:fill="FFFFFF"/>
        </w:rPr>
        <w:t>93</w:t>
      </w:r>
      <w:r w:rsidRPr="00E772AD">
        <w:rPr>
          <w:shd w:val="clear" w:color="auto" w:fill="FFFFFF"/>
        </w:rPr>
        <w:t>(2), 433–448.</w:t>
      </w:r>
    </w:p>
    <w:p w14:paraId="5C0B8BA6" w14:textId="77777777" w:rsidR="00070CF2" w:rsidRPr="00E772AD" w:rsidRDefault="00070CF2" w:rsidP="00070CF2">
      <w:pPr>
        <w:spacing w:line="480" w:lineRule="auto"/>
        <w:ind w:left="720" w:hanging="720"/>
        <w:rPr>
          <w:shd w:val="clear" w:color="auto" w:fill="FFFFFF"/>
        </w:rPr>
      </w:pPr>
      <w:r w:rsidRPr="00E772AD">
        <w:rPr>
          <w:shd w:val="clear" w:color="auto" w:fill="FFFFFF"/>
        </w:rPr>
        <w:t>Sønderskov, M., Rønning, R., &amp; Magnussen, S. (2021). Hybrid stimulations and perversions in public service innovation. </w:t>
      </w:r>
      <w:r w:rsidRPr="00E772AD">
        <w:rPr>
          <w:i/>
          <w:iCs/>
          <w:shd w:val="clear" w:color="auto" w:fill="FFFFFF"/>
        </w:rPr>
        <w:t>Public Policy and Administration</w:t>
      </w:r>
      <w:r w:rsidRPr="00E772AD">
        <w:rPr>
          <w:shd w:val="clear" w:color="auto" w:fill="FFFFFF"/>
        </w:rPr>
        <w:t>. https://doi.org/10.1177/</w:t>
      </w:r>
      <w:r w:rsidRPr="00E772AD">
        <w:rPr>
          <w:shd w:val="clear" w:color="auto" w:fill="FFFFFF"/>
        </w:rPr>
        <w:br/>
        <w:t>09520767211015015</w:t>
      </w:r>
    </w:p>
    <w:p w14:paraId="41F93493"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Thévenot, L. (2002). Which road to follow? The moral complexity of an ‘equipped’ humanity. In J. Law &amp; M. Annemarie (Eds.), </w:t>
      </w:r>
      <w:r w:rsidRPr="00E772AD">
        <w:rPr>
          <w:i/>
          <w:iCs/>
          <w:shd w:val="clear" w:color="auto" w:fill="FFFFFF"/>
        </w:rPr>
        <w:t xml:space="preserve">Complexities: Social studies of knowledge practices </w:t>
      </w:r>
      <w:r w:rsidRPr="00E772AD">
        <w:rPr>
          <w:shd w:val="clear" w:color="auto" w:fill="FFFFFF"/>
        </w:rPr>
        <w:t>(pp. 53–88). Duke University Press.</w:t>
      </w:r>
    </w:p>
    <w:p w14:paraId="1062BA01" w14:textId="77777777" w:rsidR="00070CF2" w:rsidRPr="00E772AD" w:rsidRDefault="00070CF2" w:rsidP="00070CF2">
      <w:pPr>
        <w:spacing w:line="480" w:lineRule="auto"/>
        <w:ind w:left="720" w:hanging="720"/>
        <w:rPr>
          <w:shd w:val="clear" w:color="auto" w:fill="FFFFFF"/>
        </w:rPr>
      </w:pPr>
      <w:r w:rsidRPr="00E772AD">
        <w:rPr>
          <w:shd w:val="clear" w:color="auto" w:fill="FFFFFF"/>
        </w:rPr>
        <w:t xml:space="preserve">van Berkel, R., Caswell, D., Kupka, P., &amp; Larsen, F. (Eds.). (2017). </w:t>
      </w:r>
      <w:r w:rsidRPr="00E772AD">
        <w:rPr>
          <w:i/>
          <w:iCs/>
          <w:shd w:val="clear" w:color="auto" w:fill="FFFFFF"/>
        </w:rPr>
        <w:t>Frontline delivery of welfare-to-work policies in Europe: Activating the unemployed.</w:t>
      </w:r>
      <w:r w:rsidRPr="00E772AD">
        <w:rPr>
          <w:shd w:val="clear" w:color="auto" w:fill="FFFFFF"/>
        </w:rPr>
        <w:t xml:space="preserve"> Routledge.</w:t>
      </w:r>
    </w:p>
    <w:p w14:paraId="610024F4" w14:textId="77777777" w:rsidR="00070CF2" w:rsidRPr="00E772AD" w:rsidRDefault="00070CF2" w:rsidP="00070CF2">
      <w:pPr>
        <w:spacing w:line="480" w:lineRule="auto"/>
        <w:ind w:left="720" w:hanging="720"/>
        <w:rPr>
          <w:shd w:val="clear" w:color="auto" w:fill="FFFFFF"/>
        </w:rPr>
      </w:pPr>
      <w:r w:rsidRPr="00E772AD">
        <w:rPr>
          <w:shd w:val="clear" w:color="auto" w:fill="FFFFFF"/>
          <w:lang w:val="en-US"/>
        </w:rPr>
        <w:t xml:space="preserve">van Berkel, R., &amp; van der Aa, P. (2012). </w:t>
      </w:r>
      <w:r w:rsidRPr="00E772AD">
        <w:rPr>
          <w:shd w:val="clear" w:color="auto" w:fill="FFFFFF"/>
        </w:rPr>
        <w:t xml:space="preserve">Activation work: Policy programme administration or professional service provision? </w:t>
      </w:r>
      <w:r w:rsidRPr="00E772AD">
        <w:rPr>
          <w:i/>
          <w:iCs/>
          <w:shd w:val="clear" w:color="auto" w:fill="FFFFFF"/>
        </w:rPr>
        <w:t>Journal of Social Policy, 41</w:t>
      </w:r>
      <w:r w:rsidRPr="00E772AD">
        <w:rPr>
          <w:shd w:val="clear" w:color="auto" w:fill="FFFFFF"/>
        </w:rPr>
        <w:t>(3), 493–510.</w:t>
      </w:r>
    </w:p>
    <w:p w14:paraId="3F995F1D" w14:textId="0A2752B6" w:rsidR="00A73F4C" w:rsidRPr="00E772AD" w:rsidRDefault="00A73F4C" w:rsidP="00070CF2">
      <w:pPr>
        <w:pStyle w:val="NormalWeb"/>
        <w:spacing w:before="0" w:beforeAutospacing="0" w:after="0" w:afterAutospacing="0" w:line="480" w:lineRule="auto"/>
        <w:ind w:left="720" w:hanging="720"/>
        <w:rPr>
          <w:lang w:val="en-US"/>
        </w:rPr>
      </w:pPr>
      <w:r w:rsidRPr="00E772AD">
        <w:rPr>
          <w:lang w:val="en-US"/>
        </w:rPr>
        <w:t xml:space="preserve">VIVE (2022). </w:t>
      </w:r>
      <w:proofErr w:type="spellStart"/>
      <w:r w:rsidRPr="00E772AD">
        <w:rPr>
          <w:i/>
          <w:iCs/>
          <w:lang w:val="en-US"/>
        </w:rPr>
        <w:t>Borgeroplevelser</w:t>
      </w:r>
      <w:proofErr w:type="spellEnd"/>
      <w:r w:rsidRPr="00E772AD">
        <w:rPr>
          <w:i/>
          <w:iCs/>
          <w:lang w:val="en-US"/>
        </w:rPr>
        <w:t xml:space="preserve"> </w:t>
      </w:r>
      <w:proofErr w:type="spellStart"/>
      <w:r w:rsidRPr="00E772AD">
        <w:rPr>
          <w:i/>
          <w:iCs/>
          <w:lang w:val="en-US"/>
        </w:rPr>
        <w:t>af</w:t>
      </w:r>
      <w:proofErr w:type="spellEnd"/>
      <w:r w:rsidRPr="00E772AD">
        <w:rPr>
          <w:i/>
          <w:iCs/>
          <w:lang w:val="en-US"/>
        </w:rPr>
        <w:t xml:space="preserve"> </w:t>
      </w:r>
      <w:proofErr w:type="spellStart"/>
      <w:r w:rsidRPr="00E772AD">
        <w:rPr>
          <w:i/>
          <w:iCs/>
          <w:lang w:val="en-US"/>
        </w:rPr>
        <w:t>Jobcenter</w:t>
      </w:r>
      <w:proofErr w:type="spellEnd"/>
      <w:r w:rsidRPr="00E772AD">
        <w:rPr>
          <w:i/>
          <w:iCs/>
          <w:lang w:val="en-US"/>
        </w:rPr>
        <w:t xml:space="preserve"> København 2021</w:t>
      </w:r>
      <w:r w:rsidRPr="00E772AD">
        <w:rPr>
          <w:lang w:val="en-US"/>
        </w:rPr>
        <w:t>. The Danish Center for Social Science Research</w:t>
      </w:r>
    </w:p>
    <w:p w14:paraId="5D968765" w14:textId="37472669" w:rsidR="00070CF2" w:rsidRPr="00E772AD" w:rsidRDefault="00070CF2" w:rsidP="00070CF2">
      <w:pPr>
        <w:pStyle w:val="NormalWeb"/>
        <w:spacing w:before="0" w:beforeAutospacing="0" w:after="0" w:afterAutospacing="0" w:line="480" w:lineRule="auto"/>
        <w:ind w:left="720" w:hanging="720"/>
        <w:rPr>
          <w:lang w:val="en-GB"/>
        </w:rPr>
      </w:pPr>
      <w:r w:rsidRPr="00E772AD">
        <w:rPr>
          <w:lang w:val="en-GB"/>
        </w:rPr>
        <w:t>Wright, S., Fletcher, D. R., &amp; Stewart, A. B. (2020). Punitive benefit sanctions, welfare conditionality, and the social abuse of unemployed people in Britain: Transforming claimants into offenders?</w:t>
      </w:r>
      <w:r w:rsidRPr="00E772AD">
        <w:rPr>
          <w:i/>
          <w:iCs/>
          <w:lang w:val="en-GB"/>
        </w:rPr>
        <w:t xml:space="preserve"> Social Policy &amp; Administration, 54</w:t>
      </w:r>
      <w:r w:rsidRPr="00E772AD">
        <w:rPr>
          <w:lang w:val="en-GB"/>
        </w:rPr>
        <w:t xml:space="preserve">(2), 278–294. </w:t>
      </w:r>
    </w:p>
    <w:p w14:paraId="72D516F6" w14:textId="77777777" w:rsidR="00070CF2" w:rsidRPr="00E772AD" w:rsidRDefault="00070CF2" w:rsidP="00070CF2">
      <w:pPr>
        <w:spacing w:line="480" w:lineRule="auto"/>
        <w:ind w:left="720" w:hanging="720"/>
        <w:rPr>
          <w:shd w:val="clear" w:color="auto" w:fill="FFFFFF"/>
        </w:rPr>
      </w:pPr>
      <w:r w:rsidRPr="00E772AD">
        <w:rPr>
          <w:shd w:val="clear" w:color="auto" w:fill="FFFFFF"/>
        </w:rPr>
        <w:t>Wright, S., &amp; Patrick, R. (2019). Welfare conditionality in lived experience: Aggregating qualitative longitudinal research. </w:t>
      </w:r>
      <w:r w:rsidRPr="00E772AD">
        <w:rPr>
          <w:i/>
          <w:iCs/>
          <w:shd w:val="clear" w:color="auto" w:fill="FFFFFF"/>
        </w:rPr>
        <w:t>Social Policy and Society</w:t>
      </w:r>
      <w:r w:rsidRPr="00E772AD">
        <w:rPr>
          <w:shd w:val="clear" w:color="auto" w:fill="FFFFFF"/>
        </w:rPr>
        <w:t>, </w:t>
      </w:r>
      <w:r w:rsidRPr="00E772AD">
        <w:rPr>
          <w:i/>
          <w:iCs/>
          <w:shd w:val="clear" w:color="auto" w:fill="FFFFFF"/>
        </w:rPr>
        <w:t>18</w:t>
      </w:r>
      <w:r w:rsidRPr="00E772AD">
        <w:rPr>
          <w:shd w:val="clear" w:color="auto" w:fill="FFFFFF"/>
        </w:rPr>
        <w:t>(4), 597–613.</w:t>
      </w:r>
    </w:p>
    <w:p w14:paraId="73DEE36F" w14:textId="77777777" w:rsidR="00070CF2" w:rsidRPr="00E772AD" w:rsidRDefault="00070CF2" w:rsidP="00070CF2">
      <w:pPr>
        <w:spacing w:line="480" w:lineRule="auto"/>
        <w:ind w:left="720" w:hanging="720"/>
      </w:pPr>
      <w:r w:rsidRPr="00E772AD">
        <w:rPr>
          <w:shd w:val="clear" w:color="auto" w:fill="FFFFFF"/>
        </w:rPr>
        <w:t>Zacka, B. (2018). </w:t>
      </w:r>
      <w:r w:rsidRPr="00E772AD">
        <w:rPr>
          <w:i/>
          <w:iCs/>
          <w:shd w:val="clear" w:color="auto" w:fill="FFFFFF"/>
        </w:rPr>
        <w:t>When the state meets the street. Public service and moral agency</w:t>
      </w:r>
      <w:r w:rsidRPr="00E772AD">
        <w:rPr>
          <w:shd w:val="clear" w:color="auto" w:fill="FFFFFF"/>
        </w:rPr>
        <w:t>. Harvard University Press.</w:t>
      </w:r>
    </w:p>
    <w:p w14:paraId="48C81422" w14:textId="77777777" w:rsidR="00070CF2" w:rsidRPr="00E772AD" w:rsidRDefault="00070CF2" w:rsidP="00070CF2">
      <w:pPr>
        <w:spacing w:line="480" w:lineRule="auto"/>
      </w:pPr>
    </w:p>
    <w:p w14:paraId="46BCB2EA" w14:textId="77777777" w:rsidR="00465790" w:rsidRPr="00E772AD" w:rsidRDefault="00465790"/>
    <w:sectPr w:rsidR="00465790" w:rsidRPr="00E772AD" w:rsidSect="00DF2AED">
      <w:type w:val="continuous"/>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anja Dall" w:date="2022-08-16T16:35:00Z" w:initials="TD">
    <w:p w14:paraId="2C865F53" w14:textId="4259F4A3" w:rsidR="00B54A02" w:rsidRPr="00547827" w:rsidRDefault="00B54A02">
      <w:pPr>
        <w:pStyle w:val="Kommentartekst"/>
        <w:rPr>
          <w:lang w:val="da-DK"/>
        </w:rPr>
      </w:pPr>
      <w:r>
        <w:rPr>
          <w:rStyle w:val="Kommentarhenvisning"/>
        </w:rPr>
        <w:annotationRef/>
      </w:r>
      <w:r w:rsidRPr="00547827">
        <w:rPr>
          <w:lang w:val="da-DK"/>
        </w:rPr>
        <w:t xml:space="preserve">Nutid; refererer til </w:t>
      </w:r>
      <w:r w:rsidR="00547827" w:rsidRPr="00547827">
        <w:rPr>
          <w:lang w:val="da-DK"/>
        </w:rPr>
        <w:t xml:space="preserve">aktuelle handlinger I analysen + aktuel tilstand I </w:t>
      </w:r>
      <w:r w:rsidR="00547827">
        <w:rPr>
          <w:lang w:val="da-DK"/>
        </w:rPr>
        <w:t>Danmark</w:t>
      </w:r>
    </w:p>
  </w:comment>
  <w:comment w:id="2" w:author="Tanja Dall" w:date="2022-08-16T16:35:00Z" w:initials="TD">
    <w:p w14:paraId="16245827" w14:textId="72D1069D" w:rsidR="00B54A02" w:rsidRPr="00B54A02" w:rsidRDefault="00B54A02">
      <w:pPr>
        <w:pStyle w:val="Kommentartekst"/>
        <w:rPr>
          <w:lang w:val="da-DK"/>
        </w:rPr>
      </w:pPr>
      <w:r>
        <w:rPr>
          <w:rStyle w:val="Kommentarhenvisning"/>
        </w:rPr>
        <w:annotationRef/>
      </w:r>
      <w:r w:rsidRPr="00B54A02">
        <w:rPr>
          <w:lang w:val="da-DK"/>
        </w:rPr>
        <w:t>Dati</w:t>
      </w:r>
      <w:r>
        <w:rPr>
          <w:lang w:val="da-DK"/>
        </w:rPr>
        <w:t>d; referer til tidligere handlinger</w:t>
      </w:r>
    </w:p>
  </w:comment>
  <w:comment w:id="3" w:author="Mikkel Bo Madsen" w:date="2022-08-17T08:54:00Z" w:initials="MBM">
    <w:p w14:paraId="5568F3D2" w14:textId="109E5EAC" w:rsidR="00271438" w:rsidRDefault="00271438">
      <w:pPr>
        <w:pStyle w:val="Kommentartekst"/>
      </w:pPr>
      <w:r>
        <w:rPr>
          <w:rStyle w:val="Kommentarhenvisning"/>
        </w:rPr>
        <w:annotationRef/>
      </w:r>
      <w:r>
        <w:t>Jeg foretrækker at fortsætte I nutid</w:t>
      </w:r>
    </w:p>
  </w:comment>
  <w:comment w:id="4" w:author="Tanja Dall" w:date="2022-08-16T16:34:00Z" w:initials="TD">
    <w:p w14:paraId="63737DE1" w14:textId="4BBD5BB5" w:rsidR="00B54A02" w:rsidRPr="00B54A02" w:rsidRDefault="00B54A02">
      <w:pPr>
        <w:pStyle w:val="Kommentartekst"/>
        <w:rPr>
          <w:lang w:val="da-DK"/>
        </w:rPr>
      </w:pPr>
      <w:r>
        <w:rPr>
          <w:rStyle w:val="Kommentarhenvisning"/>
        </w:rPr>
        <w:annotationRef/>
      </w:r>
      <w:r w:rsidRPr="00B54A02">
        <w:rPr>
          <w:lang w:val="da-DK"/>
        </w:rPr>
        <w:t>Nut</w:t>
      </w:r>
      <w:r>
        <w:rPr>
          <w:lang w:val="da-DK"/>
        </w:rPr>
        <w:t>id; referer til aktuelle handlinger i artiklen</w:t>
      </w:r>
    </w:p>
  </w:comment>
  <w:comment w:id="5" w:author="Tanja Dall" w:date="2022-08-16T16:34:00Z" w:initials="TD">
    <w:p w14:paraId="3F5A8EB9" w14:textId="569784D7" w:rsidR="00B54A02" w:rsidRPr="00B54A02" w:rsidRDefault="00B54A02">
      <w:pPr>
        <w:pStyle w:val="Kommentartekst"/>
        <w:rPr>
          <w:lang w:val="da-DK"/>
        </w:rPr>
      </w:pPr>
      <w:r>
        <w:rPr>
          <w:rStyle w:val="Kommentarhenvisning"/>
        </w:rPr>
        <w:annotationRef/>
      </w:r>
      <w:r w:rsidRPr="00B54A02">
        <w:rPr>
          <w:lang w:val="da-DK"/>
        </w:rPr>
        <w:t>Datid he</w:t>
      </w:r>
      <w:r>
        <w:rPr>
          <w:lang w:val="da-DK"/>
        </w:rPr>
        <w:t>rfra; refererer til tidli</w:t>
      </w:r>
      <w:r w:rsidR="00547827">
        <w:rPr>
          <w:lang w:val="da-DK"/>
        </w:rPr>
        <w:t>g</w:t>
      </w:r>
      <w:r>
        <w:rPr>
          <w:lang w:val="da-DK"/>
        </w:rPr>
        <w:t>ere handlinger</w:t>
      </w:r>
    </w:p>
  </w:comment>
  <w:comment w:id="6" w:author="Mikkel Bo Madsen" w:date="2022-08-17T08:54:00Z" w:initials="MBM">
    <w:p w14:paraId="1672C425" w14:textId="3F585613" w:rsidR="00271438" w:rsidRDefault="00271438">
      <w:pPr>
        <w:pStyle w:val="Kommentartekst"/>
      </w:pPr>
      <w:r>
        <w:rPr>
          <w:rStyle w:val="Kommentarhenvisning"/>
        </w:rPr>
        <w:annotationRef/>
      </w:r>
      <w:r>
        <w:t>Jeg foretrækker at fortsætte I nutid</w:t>
      </w:r>
    </w:p>
  </w:comment>
  <w:comment w:id="7" w:author="Tanja Dall" w:date="2022-08-16T16:33:00Z" w:initials="TD">
    <w:p w14:paraId="2850E2A9" w14:textId="323CF4AD" w:rsidR="00B54A02" w:rsidRPr="00B54A02" w:rsidRDefault="00B54A02">
      <w:pPr>
        <w:pStyle w:val="Kommentartekst"/>
        <w:rPr>
          <w:lang w:val="da-DK"/>
        </w:rPr>
      </w:pPr>
      <w:r>
        <w:rPr>
          <w:rStyle w:val="Kommentarhenvisning"/>
        </w:rPr>
        <w:annotationRef/>
      </w:r>
      <w:r w:rsidRPr="00B54A02">
        <w:rPr>
          <w:lang w:val="da-DK"/>
        </w:rPr>
        <w:t>Nutid herfra; vores aktuelle analyse</w:t>
      </w:r>
    </w:p>
  </w:comment>
  <w:comment w:id="9" w:author="Tanja Dall" w:date="2022-08-16T16:46:00Z" w:initials="TD">
    <w:p w14:paraId="5E9909FC" w14:textId="21ABA213" w:rsidR="000B61C0" w:rsidRPr="000B61C0" w:rsidRDefault="000B61C0">
      <w:pPr>
        <w:pStyle w:val="Kommentartekst"/>
        <w:rPr>
          <w:lang w:val="da-DK"/>
        </w:rPr>
      </w:pPr>
      <w:r>
        <w:rPr>
          <w:rStyle w:val="Kommentarhenvisning"/>
        </w:rPr>
        <w:annotationRef/>
      </w:r>
      <w:r w:rsidRPr="000B61C0">
        <w:rPr>
          <w:lang w:val="da-DK"/>
        </w:rPr>
        <w:t>Har behold datid her, fordi infor</w:t>
      </w:r>
      <w:r>
        <w:rPr>
          <w:lang w:val="da-DK"/>
        </w:rPr>
        <w:t>manten genfortæller en historie – i datid</w:t>
      </w:r>
    </w:p>
  </w:comment>
  <w:comment w:id="10" w:author="Mikkel Bo Madsen" w:date="2022-08-17T08:54:00Z" w:initials="MBM">
    <w:p w14:paraId="3AEAEDE5" w14:textId="08373B52" w:rsidR="00271438" w:rsidRDefault="00271438">
      <w:pPr>
        <w:pStyle w:val="Kommentartekst"/>
      </w:pPr>
      <w:r>
        <w:rPr>
          <w:rStyle w:val="Kommentarhenvisning"/>
        </w:rPr>
        <w:annotationRef/>
      </w:r>
      <w:r>
        <w:t>Jeg ville fortsætte I nutid</w:t>
      </w:r>
    </w:p>
  </w:comment>
  <w:comment w:id="11" w:author="Tanja Dall" w:date="2022-08-16T16:48:00Z" w:initials="TD">
    <w:p w14:paraId="6AC8BBA3" w14:textId="3392D474" w:rsidR="000B61C0" w:rsidRDefault="000B61C0">
      <w:pPr>
        <w:pStyle w:val="Kommentartekst"/>
      </w:pPr>
      <w:r>
        <w:rPr>
          <w:rStyle w:val="Kommentarhenvisning"/>
        </w:rPr>
        <w:annotationRef/>
      </w:r>
      <w:r>
        <w:t>Datid?</w:t>
      </w:r>
    </w:p>
  </w:comment>
  <w:comment w:id="12" w:author="Mikkel Bo Madsen" w:date="2022-08-17T08:55:00Z" w:initials="MBM">
    <w:p w14:paraId="49EB6EF6" w14:textId="0D8FC2F4" w:rsidR="00271438" w:rsidRDefault="00271438">
      <w:pPr>
        <w:pStyle w:val="Kommentartekst"/>
      </w:pPr>
      <w:r>
        <w:rPr>
          <w:rStyle w:val="Kommentarhenvisning"/>
        </w:rPr>
        <w:annotationRef/>
      </w:r>
      <w:r>
        <w:t>Nutid ?</w:t>
      </w:r>
    </w:p>
  </w:comment>
  <w:comment w:id="13" w:author="Tanja Dall" w:date="2022-08-16T16:48:00Z" w:initials="TD">
    <w:p w14:paraId="7F164BE5" w14:textId="0074BECB" w:rsidR="000B61C0" w:rsidRDefault="000B61C0">
      <w:pPr>
        <w:pStyle w:val="Kommentartekst"/>
      </w:pPr>
      <w:r>
        <w:rPr>
          <w:rStyle w:val="Kommentarhenvisning"/>
        </w:rPr>
        <w:annotationRef/>
      </w:r>
      <w:r>
        <w:t>datid</w:t>
      </w:r>
    </w:p>
  </w:comment>
  <w:comment w:id="14" w:author="Mikkel Bo Madsen" w:date="2022-08-17T08:55:00Z" w:initials="MBM">
    <w:p w14:paraId="5F36B499" w14:textId="2E523EA2" w:rsidR="00271438" w:rsidRDefault="00271438">
      <w:pPr>
        <w:pStyle w:val="Kommentartekst"/>
      </w:pPr>
      <w:r>
        <w:rPr>
          <w:rStyle w:val="Kommentarhenvisning"/>
        </w:rPr>
        <w:annotationRef/>
      </w:r>
      <w:r>
        <w:t>nutid?</w:t>
      </w:r>
    </w:p>
  </w:comment>
  <w:comment w:id="15" w:author="Tanja Dall" w:date="2022-08-16T16:51:00Z" w:initials="TD">
    <w:p w14:paraId="77809D4D" w14:textId="09421396" w:rsidR="00A12008" w:rsidRPr="00A12008" w:rsidRDefault="00A12008">
      <w:pPr>
        <w:pStyle w:val="Kommentartekst"/>
        <w:rPr>
          <w:lang w:val="da-DK"/>
        </w:rPr>
      </w:pPr>
      <w:r>
        <w:rPr>
          <w:rStyle w:val="Kommentarhenvisning"/>
        </w:rPr>
        <w:annotationRef/>
      </w:r>
      <w:r w:rsidRPr="00A12008">
        <w:rPr>
          <w:lang w:val="da-DK"/>
        </w:rPr>
        <w:t xml:space="preserve">nutid på forklarer I interview </w:t>
      </w:r>
      <w:r>
        <w:rPr>
          <w:lang w:val="da-DK"/>
        </w:rPr>
        <w:t>–</w:t>
      </w:r>
      <w:r w:rsidRPr="00A12008">
        <w:rPr>
          <w:lang w:val="da-DK"/>
        </w:rPr>
        <w:t xml:space="preserve"> </w:t>
      </w:r>
      <w:r>
        <w:rPr>
          <w:lang w:val="da-DK"/>
        </w:rPr>
        <w:t xml:space="preserve">datid i genfortælling af start v </w:t>
      </w:r>
      <w:r>
        <w:rPr>
          <w:lang w:val="da-DK"/>
        </w:rPr>
        <w:t>fys?</w:t>
      </w:r>
    </w:p>
  </w:comment>
  <w:comment w:id="16" w:author="Mikkel Bo Madsen" w:date="2022-08-17T08:55:00Z" w:initials="MBM">
    <w:p w14:paraId="2439A4F8" w14:textId="312FB760" w:rsidR="00271438" w:rsidRDefault="00271438">
      <w:pPr>
        <w:pStyle w:val="Kommentartekst"/>
      </w:pPr>
      <w:r>
        <w:rPr>
          <w:rStyle w:val="Kommentarhenvisning"/>
        </w:rPr>
        <w:annotationRef/>
      </w:r>
      <w:r>
        <w:t xml:space="preserve">Her </w:t>
      </w:r>
      <w:r>
        <w:t>synes jeg nok også datid…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65F53" w15:done="0"/>
  <w15:commentEx w15:paraId="16245827" w15:done="0"/>
  <w15:commentEx w15:paraId="5568F3D2" w15:paraIdParent="16245827" w15:done="0"/>
  <w15:commentEx w15:paraId="63737DE1" w15:done="0"/>
  <w15:commentEx w15:paraId="3F5A8EB9" w15:done="0"/>
  <w15:commentEx w15:paraId="1672C425" w15:paraIdParent="3F5A8EB9" w15:done="0"/>
  <w15:commentEx w15:paraId="2850E2A9" w15:done="0"/>
  <w15:commentEx w15:paraId="5E9909FC" w15:done="0"/>
  <w15:commentEx w15:paraId="3AEAEDE5" w15:paraIdParent="5E9909FC" w15:done="0"/>
  <w15:commentEx w15:paraId="6AC8BBA3" w15:done="0"/>
  <w15:commentEx w15:paraId="49EB6EF6" w15:paraIdParent="6AC8BBA3" w15:done="0"/>
  <w15:commentEx w15:paraId="7F164BE5" w15:done="0"/>
  <w15:commentEx w15:paraId="5F36B499" w15:paraIdParent="7F164BE5" w15:done="0"/>
  <w15:commentEx w15:paraId="77809D4D" w15:done="0"/>
  <w15:commentEx w15:paraId="2439A4F8" w15:paraIdParent="77809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A645C1" w16cex:dateUtc="2022-08-16T14:35:00Z"/>
  <w16cex:commentExtensible w16cex:durableId="26A645B6" w16cex:dateUtc="2022-08-16T14:35:00Z"/>
  <w16cex:commentExtensible w16cex:durableId="26A64590" w16cex:dateUtc="2022-08-16T14:34:00Z"/>
  <w16cex:commentExtensible w16cex:durableId="26A64598" w16cex:dateUtc="2022-08-16T14:34:00Z"/>
  <w16cex:commentExtensible w16cex:durableId="26A64563" w16cex:dateUtc="2022-08-16T14:33:00Z"/>
  <w16cex:commentExtensible w16cex:durableId="26A64857" w16cex:dateUtc="2022-08-16T14:46:00Z"/>
  <w16cex:commentExtensible w16cex:durableId="26A648C1" w16cex:dateUtc="2022-08-16T14:48:00Z"/>
  <w16cex:commentExtensible w16cex:durableId="26A648D7" w16cex:dateUtc="2022-08-16T14:48:00Z"/>
  <w16cex:commentExtensible w16cex:durableId="26A6497B" w16cex:dateUtc="2022-08-16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65F53" w16cid:durableId="26A645C1"/>
  <w16cid:commentId w16cid:paraId="16245827" w16cid:durableId="26A645B6"/>
  <w16cid:commentId w16cid:paraId="5568F3D2" w16cid:durableId="26A72B2E"/>
  <w16cid:commentId w16cid:paraId="63737DE1" w16cid:durableId="26A64590"/>
  <w16cid:commentId w16cid:paraId="3F5A8EB9" w16cid:durableId="26A64598"/>
  <w16cid:commentId w16cid:paraId="1672C425" w16cid:durableId="26A72B42"/>
  <w16cid:commentId w16cid:paraId="2850E2A9" w16cid:durableId="26A64563"/>
  <w16cid:commentId w16cid:paraId="5E9909FC" w16cid:durableId="26A64857"/>
  <w16cid:commentId w16cid:paraId="3AEAEDE5" w16cid:durableId="26A72B55"/>
  <w16cid:commentId w16cid:paraId="6AC8BBA3" w16cid:durableId="26A648C1"/>
  <w16cid:commentId w16cid:paraId="49EB6EF6" w16cid:durableId="26A72B73"/>
  <w16cid:commentId w16cid:paraId="7F164BE5" w16cid:durableId="26A648D7"/>
  <w16cid:commentId w16cid:paraId="5F36B499" w16cid:durableId="26A72B81"/>
  <w16cid:commentId w16cid:paraId="77809D4D" w16cid:durableId="26A6497B"/>
  <w16cid:commentId w16cid:paraId="2439A4F8" w16cid:durableId="26A72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42C3" w14:textId="77777777" w:rsidR="00AA1678" w:rsidRDefault="00AA1678" w:rsidP="00070CF2">
      <w:r>
        <w:separator/>
      </w:r>
    </w:p>
  </w:endnote>
  <w:endnote w:type="continuationSeparator" w:id="0">
    <w:p w14:paraId="05074221" w14:textId="77777777" w:rsidR="00AA1678" w:rsidRDefault="00AA1678" w:rsidP="0007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864D" w14:textId="77777777" w:rsidR="00AA1678" w:rsidRDefault="00AA1678" w:rsidP="00070CF2">
      <w:r>
        <w:separator/>
      </w:r>
    </w:p>
  </w:footnote>
  <w:footnote w:type="continuationSeparator" w:id="0">
    <w:p w14:paraId="2ABAF444" w14:textId="77777777" w:rsidR="00AA1678" w:rsidRDefault="00AA1678" w:rsidP="00070CF2">
      <w:r>
        <w:continuationSeparator/>
      </w:r>
    </w:p>
  </w:footnote>
  <w:footnote w:id="1">
    <w:p w14:paraId="50A8BE5D" w14:textId="77777777" w:rsidR="00070CF2" w:rsidRPr="00B762E5" w:rsidRDefault="00070CF2" w:rsidP="00070CF2">
      <w:pPr>
        <w:pStyle w:val="Fodnotetekst"/>
        <w:rPr>
          <w:rFonts w:ascii="Times New Roman" w:hAnsi="Times New Roman" w:cs="Times New Roman"/>
          <w:lang w:val="en-US"/>
        </w:rPr>
      </w:pPr>
      <w:r w:rsidRPr="00B762E5">
        <w:rPr>
          <w:rStyle w:val="Fodnotehenvisning"/>
          <w:rFonts w:ascii="Times New Roman" w:hAnsi="Times New Roman" w:cs="Times New Roman"/>
        </w:rPr>
        <w:footnoteRef/>
      </w:r>
      <w:r w:rsidRPr="00B762E5">
        <w:rPr>
          <w:rFonts w:ascii="Times New Roman" w:hAnsi="Times New Roman" w:cs="Times New Roman"/>
          <w:lang w:val="en-US"/>
        </w:rPr>
        <w:t xml:space="preserve"> Eurostat</w:t>
      </w:r>
      <w:r>
        <w:rPr>
          <w:rFonts w:ascii="Times New Roman" w:hAnsi="Times New Roman" w:cs="Times New Roman"/>
          <w:lang w:val="en-US"/>
        </w:rPr>
        <w:t xml:space="preserve"> (</w:t>
      </w:r>
      <w:r w:rsidRPr="00B762E5">
        <w:rPr>
          <w:rFonts w:ascii="Times New Roman" w:hAnsi="Times New Roman" w:cs="Times New Roman"/>
          <w:lang w:val="en-US"/>
        </w:rPr>
        <w:t>2019</w:t>
      </w:r>
      <w:r>
        <w:rPr>
          <w:rFonts w:ascii="Times New Roman" w:hAnsi="Times New Roman" w:cs="Times New Roman"/>
          <w:lang w:val="en-US"/>
        </w:rPr>
        <w:t>).</w:t>
      </w:r>
    </w:p>
  </w:footnote>
  <w:footnote w:id="2">
    <w:p w14:paraId="749BDE9B" w14:textId="77777777" w:rsidR="00070CF2" w:rsidRPr="00B762E5" w:rsidRDefault="00070CF2" w:rsidP="00070CF2">
      <w:pPr>
        <w:pStyle w:val="Fodnotetekst"/>
        <w:rPr>
          <w:rFonts w:ascii="Times New Roman" w:hAnsi="Times New Roman" w:cs="Times New Roman"/>
          <w:lang w:val="en-US"/>
        </w:rPr>
      </w:pPr>
      <w:r w:rsidRPr="00B762E5">
        <w:rPr>
          <w:rStyle w:val="Fodnotehenvisning"/>
          <w:rFonts w:ascii="Times New Roman" w:hAnsi="Times New Roman" w:cs="Times New Roman"/>
        </w:rPr>
        <w:footnoteRef/>
      </w:r>
      <w:r w:rsidRPr="00B762E5">
        <w:rPr>
          <w:rFonts w:ascii="Times New Roman" w:hAnsi="Times New Roman" w:cs="Times New Roman"/>
          <w:lang w:val="en-US"/>
        </w:rPr>
        <w:t xml:space="preserve"> </w:t>
      </w:r>
      <w:r w:rsidRPr="00B762E5">
        <w:rPr>
          <w:rFonts w:ascii="Times New Roman" w:hAnsi="Times New Roman" w:cs="Times New Roman"/>
          <w:lang w:val="en-US"/>
        </w:rPr>
        <w:t>O</w:t>
      </w:r>
      <w:r>
        <w:rPr>
          <w:rFonts w:ascii="Times New Roman" w:hAnsi="Times New Roman" w:cs="Times New Roman"/>
          <w:lang w:val="en-US"/>
        </w:rPr>
        <w:t>rganisation for Economic Co-Operation and Development (</w:t>
      </w:r>
      <w:r w:rsidRPr="00B762E5">
        <w:rPr>
          <w:rFonts w:ascii="Times New Roman" w:hAnsi="Times New Roman" w:cs="Times New Roman"/>
          <w:lang w:val="en-US"/>
        </w:rPr>
        <w:t>2019</w:t>
      </w:r>
      <w:r>
        <w:rPr>
          <w:rFonts w:ascii="Times New Roman" w:hAnsi="Times New Roman" w:cs="Times New Roman"/>
          <w:lang w:val="en-US"/>
        </w:rPr>
        <w:t>).</w:t>
      </w:r>
    </w:p>
  </w:footnote>
  <w:footnote w:id="3">
    <w:p w14:paraId="54100917" w14:textId="77777777" w:rsidR="00A73F4C" w:rsidRPr="00B762E5" w:rsidRDefault="00A73F4C" w:rsidP="00A73F4C">
      <w:pPr>
        <w:pStyle w:val="Fodnotetekst"/>
        <w:rPr>
          <w:rFonts w:ascii="Times New Roman" w:hAnsi="Times New Roman" w:cs="Times New Roman"/>
          <w:lang w:val="en-US"/>
        </w:rPr>
      </w:pPr>
      <w:r w:rsidRPr="00B762E5">
        <w:rPr>
          <w:rStyle w:val="Fodnotehenvisning"/>
          <w:rFonts w:ascii="Times New Roman" w:hAnsi="Times New Roman" w:cs="Times New Roman"/>
        </w:rPr>
        <w:footnoteRef/>
      </w:r>
      <w:r w:rsidRPr="00B762E5">
        <w:rPr>
          <w:rFonts w:ascii="Times New Roman" w:hAnsi="Times New Roman" w:cs="Times New Roman"/>
          <w:lang w:val="en-US"/>
        </w:rPr>
        <w:t xml:space="preserve"> </w:t>
      </w:r>
      <w:r w:rsidRPr="00B762E5">
        <w:rPr>
          <w:rFonts w:ascii="Times New Roman" w:hAnsi="Times New Roman" w:cs="Times New Roman"/>
          <w:color w:val="00B050"/>
          <w:lang w:val="en-US"/>
        </w:rPr>
        <w:t>VIVE (2021)</w:t>
      </w:r>
      <w:r>
        <w:rPr>
          <w:rFonts w:ascii="Times New Roman" w:hAnsi="Times New Roman" w:cs="Times New Roman"/>
          <w:color w:val="00B050"/>
          <w:lang w:val="en-US"/>
        </w:rPr>
        <w:t>. For instance, the</w:t>
      </w:r>
      <w:r w:rsidRPr="00B762E5">
        <w:rPr>
          <w:rFonts w:ascii="Times New Roman" w:hAnsi="Times New Roman" w:cs="Times New Roman"/>
          <w:color w:val="00B050"/>
          <w:lang w:val="en-US"/>
        </w:rPr>
        <w:t xml:space="preserve"> Danish Center for Social Science Research</w:t>
      </w:r>
      <w:r>
        <w:rPr>
          <w:rFonts w:ascii="Times New Roman" w:hAnsi="Times New Roman" w:cs="Times New Roman"/>
          <w:color w:val="00B050"/>
          <w:lang w:val="en-US"/>
        </w:rPr>
        <w:t xml:space="preserve"> concluded that 57%</w:t>
      </w:r>
      <w:r w:rsidRPr="00B762E5">
        <w:rPr>
          <w:rFonts w:ascii="Times New Roman" w:hAnsi="Times New Roman" w:cs="Times New Roman"/>
          <w:color w:val="00B050"/>
          <w:lang w:val="en-US"/>
        </w:rPr>
        <w:t xml:space="preserve"> of the vulnerable claimants affiliated with </w:t>
      </w:r>
      <w:r>
        <w:rPr>
          <w:rFonts w:ascii="Times New Roman" w:hAnsi="Times New Roman" w:cs="Times New Roman"/>
          <w:color w:val="00B050"/>
          <w:lang w:val="en-US"/>
        </w:rPr>
        <w:t>Copenhagen</w:t>
      </w:r>
      <w:r w:rsidRPr="00B762E5">
        <w:rPr>
          <w:rFonts w:ascii="Times New Roman" w:hAnsi="Times New Roman" w:cs="Times New Roman"/>
          <w:color w:val="00B050"/>
          <w:lang w:val="en-US"/>
        </w:rPr>
        <w:t xml:space="preserve"> job</w:t>
      </w:r>
      <w:r>
        <w:rPr>
          <w:rFonts w:ascii="Times New Roman" w:hAnsi="Times New Roman" w:cs="Times New Roman"/>
          <w:color w:val="00B050"/>
          <w:lang w:val="en-US"/>
        </w:rPr>
        <w:t xml:space="preserve"> </w:t>
      </w:r>
      <w:r w:rsidRPr="00B762E5">
        <w:rPr>
          <w:rFonts w:ascii="Times New Roman" w:hAnsi="Times New Roman" w:cs="Times New Roman"/>
          <w:color w:val="00B050"/>
          <w:lang w:val="en-US"/>
        </w:rPr>
        <w:t xml:space="preserve">centres </w:t>
      </w:r>
      <w:r>
        <w:rPr>
          <w:rFonts w:ascii="Times New Roman" w:hAnsi="Times New Roman" w:cs="Times New Roman"/>
          <w:color w:val="00B050"/>
          <w:lang w:val="en-US"/>
        </w:rPr>
        <w:t>were</w:t>
      </w:r>
      <w:r w:rsidRPr="00B762E5">
        <w:rPr>
          <w:rFonts w:ascii="Times New Roman" w:hAnsi="Times New Roman" w:cs="Times New Roman"/>
          <w:color w:val="00B050"/>
          <w:lang w:val="en-US"/>
        </w:rPr>
        <w:t xml:space="preserve"> mostly satisfied with the processing of their case</w:t>
      </w:r>
      <w:r>
        <w:rPr>
          <w:rFonts w:ascii="Times New Roman" w:hAnsi="Times New Roman" w:cs="Times New Roman"/>
          <w:color w:val="00B050"/>
          <w:lang w:val="en-US"/>
        </w:rPr>
        <w:t>s</w:t>
      </w:r>
      <w:r w:rsidRPr="00B762E5">
        <w:rPr>
          <w:rFonts w:ascii="Times New Roman" w:hAnsi="Times New Roman" w:cs="Times New Roman"/>
          <w:color w:val="00B050"/>
          <w:lang w:val="en-US"/>
        </w:rPr>
        <w:t xml:space="preserve">. </w:t>
      </w:r>
      <w:r>
        <w:rPr>
          <w:rFonts w:ascii="Times New Roman" w:hAnsi="Times New Roman" w:cs="Times New Roman"/>
          <w:color w:val="00B050"/>
          <w:lang w:val="en-US"/>
        </w:rPr>
        <w:t>In a</w:t>
      </w:r>
      <w:r w:rsidRPr="00B762E5">
        <w:rPr>
          <w:rFonts w:ascii="Times New Roman" w:hAnsi="Times New Roman" w:cs="Times New Roman"/>
          <w:color w:val="00B050"/>
          <w:lang w:val="en-US"/>
        </w:rPr>
        <w:t>n assessment of all of our interviewees (</w:t>
      </w:r>
      <w:r>
        <w:rPr>
          <w:rFonts w:ascii="Times New Roman" w:hAnsi="Times New Roman" w:cs="Times New Roman"/>
          <w:color w:val="00B050"/>
          <w:lang w:val="en-US"/>
        </w:rPr>
        <w:t>carried out by</w:t>
      </w:r>
      <w:r w:rsidRPr="00B762E5">
        <w:rPr>
          <w:rFonts w:ascii="Times New Roman" w:hAnsi="Times New Roman" w:cs="Times New Roman"/>
          <w:color w:val="00B050"/>
          <w:lang w:val="en-US"/>
        </w:rPr>
        <w:t xml:space="preserve"> our student</w:t>
      </w:r>
      <w:r>
        <w:rPr>
          <w:rFonts w:ascii="Times New Roman" w:hAnsi="Times New Roman" w:cs="Times New Roman"/>
          <w:color w:val="00B050"/>
          <w:lang w:val="en-US"/>
        </w:rPr>
        <w:t>s</w:t>
      </w:r>
      <w:r w:rsidRPr="00B762E5">
        <w:rPr>
          <w:rFonts w:ascii="Times New Roman" w:hAnsi="Times New Roman" w:cs="Times New Roman"/>
          <w:color w:val="00B050"/>
          <w:lang w:val="en-US"/>
        </w:rPr>
        <w:t>)</w:t>
      </w:r>
      <w:r>
        <w:rPr>
          <w:rFonts w:ascii="Times New Roman" w:hAnsi="Times New Roman" w:cs="Times New Roman"/>
          <w:color w:val="00B050"/>
          <w:lang w:val="en-US"/>
        </w:rPr>
        <w:t>,</w:t>
      </w:r>
      <w:r w:rsidRPr="00B762E5">
        <w:rPr>
          <w:rFonts w:ascii="Times New Roman" w:hAnsi="Times New Roman" w:cs="Times New Roman"/>
          <w:color w:val="00B050"/>
          <w:lang w:val="en-US"/>
        </w:rPr>
        <w:t xml:space="preserve"> 23 out of the 42 </w:t>
      </w:r>
      <w:r>
        <w:rPr>
          <w:rFonts w:ascii="Times New Roman" w:hAnsi="Times New Roman" w:cs="Times New Roman"/>
          <w:color w:val="00B050"/>
          <w:lang w:val="en-US"/>
        </w:rPr>
        <w:t>stated</w:t>
      </w:r>
      <w:r w:rsidRPr="00B762E5">
        <w:rPr>
          <w:rFonts w:ascii="Times New Roman" w:hAnsi="Times New Roman" w:cs="Times New Roman"/>
          <w:color w:val="00B050"/>
          <w:lang w:val="en-US"/>
        </w:rPr>
        <w:t xml:space="preserve"> that they </w:t>
      </w:r>
      <w:r>
        <w:rPr>
          <w:rFonts w:ascii="Times New Roman" w:hAnsi="Times New Roman" w:cs="Times New Roman"/>
          <w:color w:val="00B050"/>
          <w:lang w:val="en-US"/>
        </w:rPr>
        <w:t>were</w:t>
      </w:r>
      <w:r w:rsidRPr="00B762E5">
        <w:rPr>
          <w:rFonts w:ascii="Times New Roman" w:hAnsi="Times New Roman" w:cs="Times New Roman"/>
          <w:color w:val="00B050"/>
          <w:lang w:val="en-US"/>
        </w:rPr>
        <w:t xml:space="preserve"> mostly satisfied with the processing of their case</w:t>
      </w:r>
      <w:r>
        <w:rPr>
          <w:rFonts w:ascii="Times New Roman" w:hAnsi="Times New Roman" w:cs="Times New Roman"/>
          <w:color w:val="00B050"/>
          <w:lang w:val="en-US"/>
        </w:rPr>
        <w:t>s</w:t>
      </w:r>
      <w:r w:rsidRPr="00B762E5">
        <w:rPr>
          <w:rFonts w:ascii="Times New Roman" w:hAnsi="Times New Roman" w:cs="Times New Roman"/>
          <w:color w:val="00B05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F5BBB"/>
    <w:multiLevelType w:val="hybridMultilevel"/>
    <w:tmpl w:val="C172C7A8"/>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401501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ja Dall">
    <w15:presenceInfo w15:providerId="AD" w15:userId="S::dall@id.aau.dk::3f98ece9-bee6-4d05-9eae-47dc5217c60f"/>
  </w15:person>
  <w15:person w15:author="Mikkel Bo Madsen">
    <w15:presenceInfo w15:providerId="AD" w15:userId="S-1-5-21-2266101958-3183317287-502182120-14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86"/>
    <w:rsid w:val="00035DD3"/>
    <w:rsid w:val="00070CF2"/>
    <w:rsid w:val="000B61C0"/>
    <w:rsid w:val="000E0751"/>
    <w:rsid w:val="000E5F99"/>
    <w:rsid w:val="000F7DB6"/>
    <w:rsid w:val="00103E7C"/>
    <w:rsid w:val="001A29EF"/>
    <w:rsid w:val="001B55E3"/>
    <w:rsid w:val="001C19FD"/>
    <w:rsid w:val="001C6B3A"/>
    <w:rsid w:val="001F32B2"/>
    <w:rsid w:val="002141A1"/>
    <w:rsid w:val="002673D2"/>
    <w:rsid w:val="00271438"/>
    <w:rsid w:val="00292BE8"/>
    <w:rsid w:val="002E65A0"/>
    <w:rsid w:val="0030656B"/>
    <w:rsid w:val="00364D1C"/>
    <w:rsid w:val="0037553B"/>
    <w:rsid w:val="00376AF3"/>
    <w:rsid w:val="003E6DEE"/>
    <w:rsid w:val="00402D4C"/>
    <w:rsid w:val="00416BD9"/>
    <w:rsid w:val="0043036A"/>
    <w:rsid w:val="004354B0"/>
    <w:rsid w:val="00465790"/>
    <w:rsid w:val="004B600D"/>
    <w:rsid w:val="00547827"/>
    <w:rsid w:val="00597E8B"/>
    <w:rsid w:val="005C1D42"/>
    <w:rsid w:val="005C1DA7"/>
    <w:rsid w:val="006242AB"/>
    <w:rsid w:val="00634527"/>
    <w:rsid w:val="00635DDB"/>
    <w:rsid w:val="006C653B"/>
    <w:rsid w:val="006D2269"/>
    <w:rsid w:val="006D49A5"/>
    <w:rsid w:val="006E7AD5"/>
    <w:rsid w:val="00741C27"/>
    <w:rsid w:val="00751C07"/>
    <w:rsid w:val="007C1CA9"/>
    <w:rsid w:val="007D4FB1"/>
    <w:rsid w:val="00960DFF"/>
    <w:rsid w:val="009673DE"/>
    <w:rsid w:val="00A11C4A"/>
    <w:rsid w:val="00A12008"/>
    <w:rsid w:val="00A720B7"/>
    <w:rsid w:val="00A73F4C"/>
    <w:rsid w:val="00A82DAE"/>
    <w:rsid w:val="00A85F68"/>
    <w:rsid w:val="00AA1678"/>
    <w:rsid w:val="00AF0583"/>
    <w:rsid w:val="00AF0F4A"/>
    <w:rsid w:val="00B173D9"/>
    <w:rsid w:val="00B2430C"/>
    <w:rsid w:val="00B54A02"/>
    <w:rsid w:val="00BC3780"/>
    <w:rsid w:val="00C47002"/>
    <w:rsid w:val="00CA36D7"/>
    <w:rsid w:val="00D24A09"/>
    <w:rsid w:val="00D27E48"/>
    <w:rsid w:val="00D61229"/>
    <w:rsid w:val="00DC6B23"/>
    <w:rsid w:val="00DF5BD2"/>
    <w:rsid w:val="00E22980"/>
    <w:rsid w:val="00E772AD"/>
    <w:rsid w:val="00E91317"/>
    <w:rsid w:val="00EA0A09"/>
    <w:rsid w:val="00EF69EF"/>
    <w:rsid w:val="00F83786"/>
    <w:rsid w:val="00F95F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A08EA"/>
  <w14:defaultImageDpi w14:val="300"/>
  <w15:chartTrackingRefBased/>
  <w15:docId w15:val="{B5727E8C-648E-DA4B-99BF-5D9B6047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0CF2"/>
    <w:rPr>
      <w:rFonts w:ascii="Times New Roman" w:eastAsia="Times New Roman" w:hAnsi="Times New Roman" w:cs="Times New Roman"/>
    </w:rPr>
  </w:style>
  <w:style w:type="paragraph" w:styleId="Overskrift1">
    <w:name w:val="heading 1"/>
    <w:basedOn w:val="Normal"/>
    <w:next w:val="Normal"/>
    <w:link w:val="Overskrift1Tegn"/>
    <w:uiPriority w:val="9"/>
    <w:qFormat/>
    <w:rsid w:val="002673D2"/>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6D49A5"/>
  </w:style>
  <w:style w:type="paragraph" w:styleId="Markeringsbobletekst">
    <w:name w:val="Balloon Text"/>
    <w:basedOn w:val="Normal"/>
    <w:link w:val="MarkeringsbobletekstTegn"/>
    <w:uiPriority w:val="99"/>
    <w:semiHidden/>
    <w:unhideWhenUsed/>
    <w:rsid w:val="00F83786"/>
    <w:rPr>
      <w:sz w:val="18"/>
      <w:szCs w:val="18"/>
    </w:rPr>
  </w:style>
  <w:style w:type="character" w:customStyle="1" w:styleId="MarkeringsbobletekstTegn">
    <w:name w:val="Markeringsbobletekst Tegn"/>
    <w:basedOn w:val="Standardskrifttypeiafsnit"/>
    <w:link w:val="Markeringsbobletekst"/>
    <w:uiPriority w:val="99"/>
    <w:semiHidden/>
    <w:rsid w:val="00F83786"/>
    <w:rPr>
      <w:rFonts w:ascii="Times New Roman" w:hAnsi="Times New Roman" w:cs="Times New Roman"/>
      <w:sz w:val="18"/>
      <w:szCs w:val="18"/>
    </w:rPr>
  </w:style>
  <w:style w:type="paragraph" w:styleId="Ingenafstand">
    <w:name w:val="No Spacing"/>
    <w:uiPriority w:val="1"/>
    <w:qFormat/>
    <w:rsid w:val="00070CF2"/>
    <w:rPr>
      <w:sz w:val="22"/>
      <w:szCs w:val="22"/>
      <w:lang w:val="da-DK"/>
    </w:rPr>
  </w:style>
  <w:style w:type="paragraph" w:styleId="Listeafsnit">
    <w:name w:val="List Paragraph"/>
    <w:basedOn w:val="Normal"/>
    <w:uiPriority w:val="34"/>
    <w:qFormat/>
    <w:rsid w:val="00070CF2"/>
    <w:pPr>
      <w:spacing w:after="160" w:line="259" w:lineRule="auto"/>
      <w:ind w:left="720"/>
      <w:contextualSpacing/>
    </w:pPr>
    <w:rPr>
      <w:rFonts w:asciiTheme="minorHAnsi" w:eastAsiaTheme="minorHAnsi" w:hAnsiTheme="minorHAnsi" w:cstheme="minorBidi"/>
      <w:sz w:val="22"/>
      <w:szCs w:val="22"/>
      <w:lang w:val="da-DK"/>
    </w:rPr>
  </w:style>
  <w:style w:type="paragraph" w:styleId="Fodnotetekst">
    <w:name w:val="footnote text"/>
    <w:basedOn w:val="Normal"/>
    <w:link w:val="FodnotetekstTegn"/>
    <w:uiPriority w:val="99"/>
    <w:semiHidden/>
    <w:unhideWhenUsed/>
    <w:rsid w:val="00070CF2"/>
    <w:rPr>
      <w:rFonts w:asciiTheme="minorHAnsi" w:eastAsiaTheme="minorHAnsi" w:hAnsiTheme="minorHAnsi" w:cstheme="minorBidi"/>
      <w:sz w:val="20"/>
      <w:szCs w:val="20"/>
      <w:lang w:val="da-DK"/>
    </w:rPr>
  </w:style>
  <w:style w:type="character" w:customStyle="1" w:styleId="FodnotetekstTegn">
    <w:name w:val="Fodnotetekst Tegn"/>
    <w:basedOn w:val="Standardskrifttypeiafsnit"/>
    <w:link w:val="Fodnotetekst"/>
    <w:uiPriority w:val="99"/>
    <w:semiHidden/>
    <w:rsid w:val="00070CF2"/>
    <w:rPr>
      <w:sz w:val="20"/>
      <w:szCs w:val="20"/>
      <w:lang w:val="da-DK"/>
    </w:rPr>
  </w:style>
  <w:style w:type="character" w:styleId="Fodnotehenvisning">
    <w:name w:val="footnote reference"/>
    <w:basedOn w:val="Standardskrifttypeiafsnit"/>
    <w:uiPriority w:val="99"/>
    <w:semiHidden/>
    <w:unhideWhenUsed/>
    <w:rsid w:val="00070CF2"/>
    <w:rPr>
      <w:vertAlign w:val="superscript"/>
    </w:rPr>
  </w:style>
  <w:style w:type="paragraph" w:styleId="NormalWeb">
    <w:name w:val="Normal (Web)"/>
    <w:basedOn w:val="Normal"/>
    <w:uiPriority w:val="99"/>
    <w:semiHidden/>
    <w:unhideWhenUsed/>
    <w:rsid w:val="00070CF2"/>
    <w:pPr>
      <w:spacing w:before="100" w:beforeAutospacing="1" w:after="100" w:afterAutospacing="1"/>
    </w:pPr>
    <w:rPr>
      <w:rFonts w:eastAsiaTheme="minorEastAsia"/>
      <w:lang w:val="da-DK" w:eastAsia="da-DK"/>
    </w:rPr>
  </w:style>
  <w:style w:type="character" w:styleId="Kommentarhenvisning">
    <w:name w:val="annotation reference"/>
    <w:basedOn w:val="Standardskrifttypeiafsnit"/>
    <w:uiPriority w:val="99"/>
    <w:semiHidden/>
    <w:unhideWhenUsed/>
    <w:rsid w:val="00070CF2"/>
    <w:rPr>
      <w:sz w:val="16"/>
      <w:szCs w:val="16"/>
    </w:rPr>
  </w:style>
  <w:style w:type="paragraph" w:styleId="Kommentartekst">
    <w:name w:val="annotation text"/>
    <w:basedOn w:val="Normal"/>
    <w:link w:val="KommentartekstTegn"/>
    <w:uiPriority w:val="99"/>
    <w:unhideWhenUsed/>
    <w:rsid w:val="00070CF2"/>
    <w:pPr>
      <w:spacing w:after="160"/>
    </w:pPr>
    <w:rPr>
      <w:rFonts w:eastAsiaTheme="minorHAnsi" w:cstheme="minorBidi"/>
      <w:sz w:val="20"/>
      <w:szCs w:val="20"/>
    </w:rPr>
  </w:style>
  <w:style w:type="character" w:customStyle="1" w:styleId="KommentartekstTegn">
    <w:name w:val="Kommentartekst Tegn"/>
    <w:basedOn w:val="Standardskrifttypeiafsnit"/>
    <w:link w:val="Kommentartekst"/>
    <w:uiPriority w:val="99"/>
    <w:rsid w:val="00070CF2"/>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070CF2"/>
    <w:rPr>
      <w:b/>
      <w:bCs/>
    </w:rPr>
  </w:style>
  <w:style w:type="character" w:customStyle="1" w:styleId="KommentaremneTegn">
    <w:name w:val="Kommentaremne Tegn"/>
    <w:basedOn w:val="KommentartekstTegn"/>
    <w:link w:val="Kommentaremne"/>
    <w:uiPriority w:val="99"/>
    <w:semiHidden/>
    <w:rsid w:val="00070CF2"/>
    <w:rPr>
      <w:rFonts w:ascii="Times New Roman" w:hAnsi="Times New Roman"/>
      <w:b/>
      <w:bCs/>
      <w:sz w:val="20"/>
      <w:szCs w:val="20"/>
    </w:rPr>
  </w:style>
  <w:style w:type="paragraph" w:styleId="Korrektur">
    <w:name w:val="Revision"/>
    <w:hidden/>
    <w:uiPriority w:val="99"/>
    <w:semiHidden/>
    <w:rsid w:val="00070CF2"/>
    <w:rPr>
      <w:sz w:val="22"/>
      <w:szCs w:val="22"/>
      <w:lang w:val="da-DK"/>
    </w:rPr>
  </w:style>
  <w:style w:type="character" w:styleId="Hyperlink">
    <w:name w:val="Hyperlink"/>
    <w:basedOn w:val="Standardskrifttypeiafsnit"/>
    <w:uiPriority w:val="99"/>
    <w:unhideWhenUsed/>
    <w:rsid w:val="00070CF2"/>
    <w:rPr>
      <w:color w:val="0563C1" w:themeColor="hyperlink"/>
      <w:u w:val="single"/>
    </w:rPr>
  </w:style>
  <w:style w:type="character" w:styleId="Ulstomtale">
    <w:name w:val="Unresolved Mention"/>
    <w:basedOn w:val="Standardskrifttypeiafsnit"/>
    <w:uiPriority w:val="99"/>
    <w:unhideWhenUsed/>
    <w:rsid w:val="00070CF2"/>
    <w:rPr>
      <w:color w:val="605E5C"/>
      <w:shd w:val="clear" w:color="auto" w:fill="E1DFDD"/>
    </w:rPr>
  </w:style>
  <w:style w:type="character" w:styleId="BesgtLink">
    <w:name w:val="FollowedHyperlink"/>
    <w:basedOn w:val="Standardskrifttypeiafsnit"/>
    <w:uiPriority w:val="99"/>
    <w:semiHidden/>
    <w:unhideWhenUsed/>
    <w:rsid w:val="00070CF2"/>
    <w:rPr>
      <w:color w:val="954F72" w:themeColor="followedHyperlink"/>
      <w:u w:val="single"/>
    </w:rPr>
  </w:style>
  <w:style w:type="character" w:customStyle="1" w:styleId="apple-converted-space">
    <w:name w:val="apple-converted-space"/>
    <w:basedOn w:val="Standardskrifttypeiafsnit"/>
    <w:rsid w:val="00070CF2"/>
  </w:style>
  <w:style w:type="character" w:styleId="Strk">
    <w:name w:val="Strong"/>
    <w:basedOn w:val="Standardskrifttypeiafsnit"/>
    <w:uiPriority w:val="22"/>
    <w:qFormat/>
    <w:rsid w:val="00070CF2"/>
    <w:rPr>
      <w:b/>
      <w:bCs/>
    </w:rPr>
  </w:style>
  <w:style w:type="paragraph" w:customStyle="1" w:styleId="Style1">
    <w:name w:val="Style1"/>
    <w:basedOn w:val="Kommentartekst"/>
    <w:qFormat/>
    <w:rsid w:val="00070CF2"/>
  </w:style>
  <w:style w:type="character" w:customStyle="1" w:styleId="Overskrift1Tegn">
    <w:name w:val="Overskrift 1 Tegn"/>
    <w:basedOn w:val="Standardskrifttypeiafsnit"/>
    <w:link w:val="Overskrift1"/>
    <w:uiPriority w:val="9"/>
    <w:rsid w:val="002673D2"/>
    <w:rPr>
      <w:rFonts w:asciiTheme="majorHAnsi" w:eastAsiaTheme="majorEastAsia" w:hAnsiTheme="majorHAnsi" w:cstheme="majorBidi"/>
      <w:color w:val="2F5496" w:themeColor="accent1" w:themeShade="BF"/>
      <w:sz w:val="32"/>
      <w:szCs w:val="3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7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hn@id.aau.d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D3B8F69851794693EAFEB7E702F4F3" ma:contentTypeVersion="13" ma:contentTypeDescription="Opret et nyt dokument." ma:contentTypeScope="" ma:versionID="821db0792a8f4698774ff3e8d74f247b">
  <xsd:schema xmlns:xsd="http://www.w3.org/2001/XMLSchema" xmlns:xs="http://www.w3.org/2001/XMLSchema" xmlns:p="http://schemas.microsoft.com/office/2006/metadata/properties" xmlns:ns3="936612f8-7dde-4866-b7ef-895626fea544" xmlns:ns4="da24e2eb-87aa-47f4-b798-b485513f3d93" targetNamespace="http://schemas.microsoft.com/office/2006/metadata/properties" ma:root="true" ma:fieldsID="b85fb85b00b46b231019ed1af09cab57" ns3:_="" ns4:_="">
    <xsd:import namespace="936612f8-7dde-4866-b7ef-895626fea544"/>
    <xsd:import namespace="da24e2eb-87aa-47f4-b798-b485513f3d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612f8-7dde-4866-b7ef-895626fea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24e2eb-87aa-47f4-b798-b485513f3d9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0BB24-8AF3-46A9-9DEE-76DA9971010A}">
  <ds:schemaRef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936612f8-7dde-4866-b7ef-895626fea544"/>
    <ds:schemaRef ds:uri="http://schemas.microsoft.com/office/2006/documentManagement/types"/>
    <ds:schemaRef ds:uri="da24e2eb-87aa-47f4-b798-b485513f3d9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4D92278-36F8-49F5-A5FE-0DDFCDEE6307}">
  <ds:schemaRefs>
    <ds:schemaRef ds:uri="http://schemas.microsoft.com/sharepoint/v3/contenttype/forms"/>
  </ds:schemaRefs>
</ds:datastoreItem>
</file>

<file path=customXml/itemProps3.xml><?xml version="1.0" encoding="utf-8"?>
<ds:datastoreItem xmlns:ds="http://schemas.openxmlformats.org/officeDocument/2006/customXml" ds:itemID="{430FEEFC-852B-4BFF-9BFE-501C7748E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612f8-7dde-4866-b7ef-895626fea544"/>
    <ds:schemaRef ds:uri="da24e2eb-87aa-47f4-b798-b485513f3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6243</Words>
  <Characters>38084</Characters>
  <Application>Microsoft Office Word</Application>
  <DocSecurity>4</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Mathias Herup Nielsen</cp:lastModifiedBy>
  <cp:revision>2</cp:revision>
  <dcterms:created xsi:type="dcterms:W3CDTF">2024-03-01T09:11:00Z</dcterms:created>
  <dcterms:modified xsi:type="dcterms:W3CDTF">2024-03-01T09:11:00Z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0x0101002FD3B8F69851794693EAFEB7E702F4F3</vt:lpwstr>
  </property>
</Properties>
</file>