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0D" w:rsidRDefault="00B7500D" w:rsidP="008D2C7D">
      <w:pPr>
        <w:pStyle w:val="Overskrift1"/>
        <w:rPr>
          <w:b w:val="0"/>
          <w:bCs w:val="0"/>
          <w:i/>
          <w:iCs/>
          <w:kern w:val="0"/>
          <w:sz w:val="24"/>
          <w:szCs w:val="24"/>
          <w:lang w:val="en-GB"/>
        </w:rPr>
      </w:pPr>
    </w:p>
    <w:p w:rsidR="00B7500D" w:rsidRPr="008D2C7D" w:rsidRDefault="00B7500D" w:rsidP="00B7500D">
      <w:pPr>
        <w:pStyle w:val="Overskrift1"/>
        <w:rPr>
          <w:sz w:val="24"/>
          <w:szCs w:val="24"/>
          <w:lang w:val="en-GB"/>
        </w:rPr>
      </w:pPr>
      <w:bookmarkStart w:id="0" w:name="_GoBack"/>
      <w:bookmarkEnd w:id="0"/>
      <w:proofErr w:type="gramStart"/>
      <w:r>
        <w:rPr>
          <w:sz w:val="24"/>
          <w:szCs w:val="24"/>
          <w:lang w:val="en-GB"/>
        </w:rPr>
        <w:t xml:space="preserve">The Special Importance of </w:t>
      </w:r>
      <w:r w:rsidRPr="008D2C7D">
        <w:rPr>
          <w:sz w:val="24"/>
          <w:szCs w:val="24"/>
          <w:lang w:val="en-GB"/>
        </w:rPr>
        <w:t xml:space="preserve">Housing </w:t>
      </w:r>
      <w:r>
        <w:rPr>
          <w:sz w:val="24"/>
          <w:szCs w:val="24"/>
          <w:lang w:val="en-GB"/>
        </w:rPr>
        <w:t>P</w:t>
      </w:r>
      <w:r w:rsidRPr="008D2C7D">
        <w:rPr>
          <w:sz w:val="24"/>
          <w:szCs w:val="24"/>
          <w:lang w:val="en-GB"/>
        </w:rPr>
        <w:t xml:space="preserve">olicy </w:t>
      </w:r>
      <w:r>
        <w:rPr>
          <w:sz w:val="24"/>
          <w:szCs w:val="24"/>
          <w:lang w:val="en-GB"/>
        </w:rPr>
        <w:t>for the Housing Situation of Ethnic Minorities.</w:t>
      </w:r>
      <w:proofErr w:type="gramEnd"/>
      <w:r>
        <w:rPr>
          <w:sz w:val="24"/>
          <w:szCs w:val="24"/>
          <w:lang w:val="en-GB"/>
        </w:rPr>
        <w:t xml:space="preserve"> Evidence from a Comparison of</w:t>
      </w:r>
      <w:r w:rsidR="006612A9">
        <w:rPr>
          <w:sz w:val="24"/>
          <w:szCs w:val="24"/>
          <w:lang w:val="en-GB"/>
        </w:rPr>
        <w:t xml:space="preserve"> </w:t>
      </w:r>
      <w:r>
        <w:rPr>
          <w:sz w:val="24"/>
          <w:szCs w:val="24"/>
          <w:lang w:val="en-GB"/>
        </w:rPr>
        <w:t xml:space="preserve">Four </w:t>
      </w:r>
      <w:r w:rsidRPr="008D2C7D">
        <w:rPr>
          <w:sz w:val="24"/>
          <w:szCs w:val="24"/>
          <w:lang w:val="en-GB"/>
        </w:rPr>
        <w:t xml:space="preserve">Nordic </w:t>
      </w:r>
      <w:r>
        <w:rPr>
          <w:sz w:val="24"/>
          <w:szCs w:val="24"/>
          <w:lang w:val="en-GB"/>
        </w:rPr>
        <w:t>C</w:t>
      </w:r>
      <w:r w:rsidRPr="008D2C7D">
        <w:rPr>
          <w:sz w:val="24"/>
          <w:szCs w:val="24"/>
          <w:lang w:val="en-GB"/>
        </w:rPr>
        <w:t>ountries</w:t>
      </w:r>
      <w:r w:rsidRPr="000919CD">
        <w:rPr>
          <w:sz w:val="24"/>
          <w:szCs w:val="24"/>
          <w:vertAlign w:val="superscript"/>
          <w:lang w:val="en-GB"/>
        </w:rPr>
        <w:t>1</w:t>
      </w:r>
      <w:r w:rsidR="00785179">
        <w:rPr>
          <w:sz w:val="24"/>
          <w:szCs w:val="24"/>
          <w:vertAlign w:val="superscript"/>
          <w:lang w:val="en-GB"/>
        </w:rPr>
        <w:t xml:space="preserve"> </w:t>
      </w:r>
    </w:p>
    <w:p w:rsidR="00B7500D" w:rsidRPr="008D2C7D" w:rsidRDefault="00B7500D" w:rsidP="00B7500D">
      <w:pPr>
        <w:rPr>
          <w:rFonts w:cs="Arial"/>
          <w:i/>
          <w:sz w:val="24"/>
          <w:szCs w:val="24"/>
          <w:lang w:val="en-GB"/>
        </w:rPr>
      </w:pPr>
    </w:p>
    <w:p w:rsidR="00B7500D" w:rsidRPr="00B7500D" w:rsidRDefault="00B7500D" w:rsidP="00B7500D">
      <w:pPr>
        <w:rPr>
          <w:sz w:val="24"/>
          <w:szCs w:val="24"/>
          <w:lang w:val="en-GB"/>
        </w:rPr>
      </w:pPr>
      <w:r w:rsidRPr="00B7500D">
        <w:rPr>
          <w:sz w:val="24"/>
          <w:szCs w:val="24"/>
          <w:lang w:val="en-GB"/>
        </w:rPr>
        <w:t>Hans Skifter Andersen</w:t>
      </w:r>
    </w:p>
    <w:p w:rsidR="00B7500D" w:rsidRDefault="00B7500D" w:rsidP="00B7500D">
      <w:pPr>
        <w:rPr>
          <w:sz w:val="24"/>
          <w:szCs w:val="24"/>
          <w:lang w:val="en-GB"/>
        </w:rPr>
      </w:pPr>
      <w:r w:rsidRPr="00B7500D">
        <w:rPr>
          <w:sz w:val="24"/>
          <w:szCs w:val="24"/>
          <w:lang w:val="en-GB"/>
        </w:rPr>
        <w:t xml:space="preserve">Danish Building Research Institute, </w:t>
      </w:r>
      <w:smartTag w:uri="urn:schemas-microsoft-com:office:smarttags" w:element="City">
        <w:smartTag w:uri="urn:schemas-microsoft-com:office:smarttags" w:element="place">
          <w:r w:rsidRPr="00B7500D">
            <w:rPr>
              <w:sz w:val="24"/>
              <w:szCs w:val="24"/>
              <w:lang w:val="en-GB"/>
            </w:rPr>
            <w:t>Aalborg University</w:t>
          </w:r>
        </w:smartTag>
        <w:r w:rsidRPr="00B7500D">
          <w:rPr>
            <w:sz w:val="24"/>
            <w:szCs w:val="24"/>
            <w:lang w:val="en-GB"/>
          </w:rPr>
          <w:t xml:space="preserve">, </w:t>
        </w:r>
        <w:smartTag w:uri="urn:schemas-microsoft-com:office:smarttags" w:element="country-region">
          <w:r w:rsidRPr="00B7500D">
            <w:rPr>
              <w:sz w:val="24"/>
              <w:szCs w:val="24"/>
              <w:lang w:val="en-GB"/>
            </w:rPr>
            <w:t>Denmark</w:t>
          </w:r>
        </w:smartTag>
      </w:smartTag>
    </w:p>
    <w:p w:rsidR="00B7500D" w:rsidRPr="00B7500D" w:rsidRDefault="00B7500D" w:rsidP="00B7500D">
      <w:pPr>
        <w:rPr>
          <w:sz w:val="24"/>
          <w:szCs w:val="24"/>
          <w:lang w:val="en-GB"/>
        </w:rPr>
      </w:pPr>
    </w:p>
    <w:p w:rsidR="00B7500D" w:rsidRDefault="00B7500D" w:rsidP="00B7500D">
      <w:pPr>
        <w:rPr>
          <w:sz w:val="24"/>
          <w:szCs w:val="24"/>
          <w:lang w:val="en-GB"/>
        </w:rPr>
      </w:pPr>
      <w:r w:rsidRPr="00B7500D">
        <w:rPr>
          <w:sz w:val="24"/>
          <w:szCs w:val="24"/>
          <w:lang w:val="en-GB"/>
        </w:rPr>
        <w:t>Lena Magnusson Turner</w:t>
      </w:r>
      <w:r>
        <w:rPr>
          <w:sz w:val="24"/>
          <w:szCs w:val="24"/>
          <w:lang w:val="en-GB"/>
        </w:rPr>
        <w:t xml:space="preserve">, Institute for Housing Research, </w:t>
      </w:r>
      <w:smartTag w:uri="urn:schemas-microsoft-com:office:smarttags" w:element="City">
        <w:r>
          <w:rPr>
            <w:sz w:val="24"/>
            <w:szCs w:val="24"/>
            <w:lang w:val="en-GB"/>
          </w:rPr>
          <w:t>Uppsala University</w:t>
        </w:r>
      </w:smartTag>
      <w:r>
        <w:rPr>
          <w:sz w:val="24"/>
          <w:szCs w:val="24"/>
          <w:lang w:val="en-GB"/>
        </w:rPr>
        <w:t xml:space="preserve"> </w:t>
      </w:r>
      <w:smartTag w:uri="urn:schemas-microsoft-com:office:smarttags" w:element="country-region">
        <w:r>
          <w:rPr>
            <w:sz w:val="24"/>
            <w:szCs w:val="24"/>
            <w:lang w:val="en-GB"/>
          </w:rPr>
          <w:t>Sweden</w:t>
        </w:r>
      </w:smartTag>
      <w:r>
        <w:rPr>
          <w:sz w:val="24"/>
          <w:szCs w:val="24"/>
          <w:lang w:val="en-GB"/>
        </w:rPr>
        <w:t xml:space="preserve"> and NOVA Institute </w:t>
      </w:r>
      <w:smartTag w:uri="urn:schemas-microsoft-com:office:smarttags" w:element="country-region">
        <w:smartTag w:uri="urn:schemas-microsoft-com:office:smarttags" w:element="place">
          <w:r>
            <w:rPr>
              <w:sz w:val="24"/>
              <w:szCs w:val="24"/>
              <w:lang w:val="en-GB"/>
            </w:rPr>
            <w:t>Norway</w:t>
          </w:r>
        </w:smartTag>
      </w:smartTag>
      <w:r>
        <w:rPr>
          <w:sz w:val="24"/>
          <w:szCs w:val="24"/>
          <w:lang w:val="en-GB"/>
        </w:rPr>
        <w:t xml:space="preserve"> </w:t>
      </w:r>
    </w:p>
    <w:p w:rsidR="00B7500D" w:rsidRDefault="00B7500D" w:rsidP="00B7500D">
      <w:pPr>
        <w:rPr>
          <w:sz w:val="24"/>
          <w:szCs w:val="24"/>
          <w:lang w:val="en-GB"/>
        </w:rPr>
      </w:pPr>
    </w:p>
    <w:p w:rsidR="00FE6B17" w:rsidRDefault="00B7500D" w:rsidP="00B7500D">
      <w:pPr>
        <w:rPr>
          <w:sz w:val="24"/>
          <w:szCs w:val="24"/>
          <w:lang w:val="en-GB"/>
        </w:rPr>
      </w:pPr>
      <w:r w:rsidRPr="00B7500D">
        <w:rPr>
          <w:sz w:val="24"/>
          <w:szCs w:val="24"/>
          <w:lang w:val="en-GB"/>
        </w:rPr>
        <w:t xml:space="preserve">Susanne </w:t>
      </w:r>
      <w:proofErr w:type="spellStart"/>
      <w:r w:rsidRPr="00B7500D">
        <w:rPr>
          <w:sz w:val="24"/>
          <w:szCs w:val="24"/>
          <w:lang w:val="en-GB"/>
        </w:rPr>
        <w:t>Søholt</w:t>
      </w:r>
      <w:proofErr w:type="spellEnd"/>
    </w:p>
    <w:p w:rsidR="00B7500D" w:rsidRPr="00B7500D" w:rsidRDefault="00FE6B17" w:rsidP="00B7500D">
      <w:pPr>
        <w:rPr>
          <w:sz w:val="24"/>
          <w:szCs w:val="24"/>
          <w:lang w:val="en-GB"/>
        </w:rPr>
      </w:pPr>
      <w:r>
        <w:rPr>
          <w:sz w:val="24"/>
          <w:szCs w:val="24"/>
          <w:lang w:val="en-GB"/>
        </w:rPr>
        <w:t>Norwegian Institute for Urban and Regional Research, Norway</w:t>
      </w:r>
      <w:r w:rsidR="00B7500D" w:rsidRPr="00B7500D">
        <w:rPr>
          <w:sz w:val="24"/>
          <w:szCs w:val="24"/>
          <w:vertAlign w:val="superscript"/>
          <w:lang w:val="en-GB"/>
        </w:rPr>
        <w:t>2</w:t>
      </w:r>
      <w:r w:rsidR="00B7500D" w:rsidRPr="00B7500D">
        <w:rPr>
          <w:sz w:val="24"/>
          <w:szCs w:val="24"/>
          <w:lang w:val="en-GB"/>
        </w:rPr>
        <w:t xml:space="preserve"> </w:t>
      </w:r>
    </w:p>
    <w:p w:rsidR="00B7500D" w:rsidRDefault="00B7500D" w:rsidP="00B7500D">
      <w:pPr>
        <w:pStyle w:val="Overskrift1"/>
        <w:rPr>
          <w:i/>
          <w:sz w:val="24"/>
          <w:szCs w:val="24"/>
          <w:lang w:val="en-GB"/>
        </w:rPr>
      </w:pPr>
    </w:p>
    <w:p w:rsidR="00F25FCD" w:rsidRDefault="00F25FCD" w:rsidP="00F25FCD">
      <w:pPr>
        <w:pStyle w:val="Overskrift3"/>
        <w:rPr>
          <w:lang w:val="en-GB"/>
        </w:rPr>
      </w:pPr>
      <w:r>
        <w:rPr>
          <w:lang w:val="en-GB"/>
        </w:rPr>
        <w:t>Notes</w:t>
      </w:r>
    </w:p>
    <w:p w:rsidR="00F25FCD" w:rsidRPr="000919CD" w:rsidRDefault="00F25FCD" w:rsidP="00F25FCD">
      <w:pPr>
        <w:numPr>
          <w:ilvl w:val="0"/>
          <w:numId w:val="2"/>
        </w:numPr>
        <w:tabs>
          <w:tab w:val="clear" w:pos="720"/>
          <w:tab w:val="num" w:pos="360"/>
        </w:tabs>
        <w:ind w:left="360"/>
        <w:rPr>
          <w:rFonts w:cs="Arial"/>
          <w:sz w:val="24"/>
          <w:szCs w:val="24"/>
          <w:lang w:val="en-GB"/>
        </w:rPr>
      </w:pPr>
      <w:r w:rsidRPr="00461F39">
        <w:rPr>
          <w:lang w:val="en-GB"/>
        </w:rPr>
        <w:t xml:space="preserve">This article </w:t>
      </w:r>
      <w:r w:rsidR="009E7659">
        <w:rPr>
          <w:lang w:val="en-GB"/>
        </w:rPr>
        <w:t>was</w:t>
      </w:r>
      <w:r w:rsidRPr="00461F39">
        <w:rPr>
          <w:lang w:val="en-GB"/>
        </w:rPr>
        <w:t xml:space="preserve"> </w:t>
      </w:r>
      <w:proofErr w:type="gramStart"/>
      <w:r w:rsidR="00785179">
        <w:rPr>
          <w:lang w:val="en-GB"/>
        </w:rPr>
        <w:t xml:space="preserve">elaborated  </w:t>
      </w:r>
      <w:r w:rsidRPr="00461F39">
        <w:rPr>
          <w:lang w:val="en-GB"/>
        </w:rPr>
        <w:t>as</w:t>
      </w:r>
      <w:proofErr w:type="gramEnd"/>
      <w:r w:rsidRPr="00461F39">
        <w:rPr>
          <w:lang w:val="en-GB"/>
        </w:rPr>
        <w:t xml:space="preserve"> a part of the NODES project (Nordic welf</w:t>
      </w:r>
      <w:r>
        <w:rPr>
          <w:lang w:val="en-GB"/>
        </w:rPr>
        <w:t>are states and the dynamics and e</w:t>
      </w:r>
      <w:r w:rsidRPr="00461F39">
        <w:rPr>
          <w:lang w:val="en-GB"/>
        </w:rPr>
        <w:t>ffects of</w:t>
      </w:r>
      <w:r>
        <w:rPr>
          <w:lang w:val="en-GB"/>
        </w:rPr>
        <w:t xml:space="preserve"> </w:t>
      </w:r>
      <w:r w:rsidRPr="00461F39">
        <w:rPr>
          <w:lang w:val="en-GB"/>
        </w:rPr>
        <w:t>ethnic residential segregation</w:t>
      </w:r>
      <w:r>
        <w:rPr>
          <w:lang w:val="en-GB"/>
        </w:rPr>
        <w:t xml:space="preserve"> </w:t>
      </w:r>
      <w:hyperlink r:id="rId9" w:history="1">
        <w:r w:rsidRPr="00461F39">
          <w:rPr>
            <w:rFonts w:ascii="Courier New" w:hAnsi="Courier New" w:cs="Courier New"/>
            <w:color w:val="0000FF"/>
            <w:u w:val="single"/>
            <w:lang w:val="en-GB"/>
          </w:rPr>
          <w:t>http://blogs.helsinki.fi/nodesproject/</w:t>
        </w:r>
      </w:hyperlink>
      <w:r>
        <w:rPr>
          <w:lang w:val="en-GB"/>
        </w:rPr>
        <w:t xml:space="preserve">) financed by NORFACE. The article is based on material in a report comparing </w:t>
      </w:r>
      <w:r w:rsidRPr="0056623C">
        <w:rPr>
          <w:lang w:val="en-GB"/>
        </w:rPr>
        <w:t>four</w:t>
      </w:r>
      <w:r>
        <w:rPr>
          <w:lang w:val="en-GB"/>
        </w:rPr>
        <w:t xml:space="preserve"> countries (</w:t>
      </w:r>
      <w:proofErr w:type="spellStart"/>
      <w:r>
        <w:rPr>
          <w:lang w:val="en-GB"/>
        </w:rPr>
        <w:t>Andersson</w:t>
      </w:r>
      <w:proofErr w:type="spellEnd"/>
      <w:r>
        <w:rPr>
          <w:lang w:val="en-GB"/>
        </w:rPr>
        <w:t xml:space="preserve"> et al. 2010) and a special paper on housing</w:t>
      </w:r>
      <w:r w:rsidR="00C13B73">
        <w:rPr>
          <w:lang w:val="en-GB"/>
        </w:rPr>
        <w:t xml:space="preserve"> policies (Skifter Andersen 2012</w:t>
      </w:r>
      <w:r>
        <w:rPr>
          <w:lang w:val="en-GB"/>
        </w:rPr>
        <w:t xml:space="preserve">). It will be followed by another article </w:t>
      </w:r>
      <w:r w:rsidRPr="003C055D">
        <w:rPr>
          <w:lang w:val="en-GB"/>
        </w:rPr>
        <w:t>illuminat</w:t>
      </w:r>
      <w:r>
        <w:rPr>
          <w:lang w:val="en-GB"/>
        </w:rPr>
        <w:t xml:space="preserve">ing the consequences for segregation in </w:t>
      </w:r>
      <w:r w:rsidRPr="00661B7C">
        <w:rPr>
          <w:lang w:val="en-GB"/>
        </w:rPr>
        <w:t>the</w:t>
      </w:r>
      <w:r>
        <w:rPr>
          <w:lang w:val="en-GB"/>
        </w:rPr>
        <w:t xml:space="preserve"> </w:t>
      </w:r>
      <w:r w:rsidR="00DC683F">
        <w:rPr>
          <w:lang w:val="en-GB"/>
        </w:rPr>
        <w:t>four capitals</w:t>
      </w:r>
      <w:r>
        <w:rPr>
          <w:lang w:val="en-GB"/>
        </w:rPr>
        <w:t>.</w:t>
      </w:r>
    </w:p>
    <w:p w:rsidR="00F25FCD" w:rsidRPr="006D5239" w:rsidRDefault="00F25FCD" w:rsidP="00F25FCD">
      <w:pPr>
        <w:numPr>
          <w:ilvl w:val="0"/>
          <w:numId w:val="2"/>
        </w:numPr>
        <w:tabs>
          <w:tab w:val="clear" w:pos="720"/>
          <w:tab w:val="num" w:pos="360"/>
        </w:tabs>
        <w:ind w:left="360"/>
        <w:rPr>
          <w:rFonts w:cs="Arial"/>
          <w:sz w:val="24"/>
          <w:szCs w:val="24"/>
          <w:lang w:val="en-GB"/>
        </w:rPr>
      </w:pPr>
      <w:r w:rsidRPr="0082108E">
        <w:rPr>
          <w:lang w:val="en-GB"/>
        </w:rPr>
        <w:t>The description of Finnish hou</w:t>
      </w:r>
      <w:r>
        <w:rPr>
          <w:lang w:val="en-GB"/>
        </w:rPr>
        <w:t xml:space="preserve">sing policy is based </w:t>
      </w:r>
      <w:r w:rsidRPr="0082108E">
        <w:rPr>
          <w:lang w:val="en-GB"/>
        </w:rPr>
        <w:t xml:space="preserve">on a </w:t>
      </w:r>
      <w:r>
        <w:rPr>
          <w:lang w:val="en-GB"/>
        </w:rPr>
        <w:t xml:space="preserve">section in </w:t>
      </w:r>
      <w:proofErr w:type="spellStart"/>
      <w:r>
        <w:rPr>
          <w:lang w:val="en-GB"/>
        </w:rPr>
        <w:t>Andersson</w:t>
      </w:r>
      <w:proofErr w:type="spellEnd"/>
      <w:r>
        <w:rPr>
          <w:lang w:val="en-GB"/>
        </w:rPr>
        <w:t xml:space="preserve"> et al. </w:t>
      </w:r>
      <w:r w:rsidRPr="009E5AC7">
        <w:rPr>
          <w:lang w:val="fi-FI"/>
        </w:rPr>
        <w:t>(2010) written by Saara Yousfi</w:t>
      </w:r>
      <w:r w:rsidR="0049521B">
        <w:rPr>
          <w:lang w:val="fi-FI"/>
        </w:rPr>
        <w:t>,</w:t>
      </w:r>
      <w:r w:rsidRPr="009E5AC7">
        <w:rPr>
          <w:lang w:val="fi-FI"/>
        </w:rPr>
        <w:t xml:space="preserve"> Katja Vilkama and Mari Vaattovaara, </w:t>
      </w:r>
      <w:smartTag w:uri="urn:schemas-microsoft-com:office:smarttags" w:element="place">
        <w:smartTag w:uri="urn:schemas-microsoft-com:office:smarttags" w:element="PlaceType">
          <w:r w:rsidRPr="009E5AC7">
            <w:rPr>
              <w:lang w:val="fi-FI"/>
            </w:rPr>
            <w:t>University</w:t>
          </w:r>
        </w:smartTag>
        <w:r w:rsidRPr="009E5AC7">
          <w:rPr>
            <w:lang w:val="fi-FI"/>
          </w:rPr>
          <w:t xml:space="preserve"> of </w:t>
        </w:r>
        <w:smartTag w:uri="urn:schemas-microsoft-com:office:smarttags" w:element="PlaceName">
          <w:r w:rsidRPr="009E5AC7">
            <w:rPr>
              <w:lang w:val="fi-FI"/>
            </w:rPr>
            <w:t>Helsinki</w:t>
          </w:r>
        </w:smartTag>
      </w:smartTag>
      <w:r w:rsidRPr="009E5AC7">
        <w:rPr>
          <w:lang w:val="fi-FI"/>
        </w:rPr>
        <w:t xml:space="preserve">. </w:t>
      </w:r>
      <w:proofErr w:type="spellStart"/>
      <w:r>
        <w:rPr>
          <w:lang w:val="en-GB"/>
        </w:rPr>
        <w:t>Katja</w:t>
      </w:r>
      <w:proofErr w:type="spellEnd"/>
      <w:r>
        <w:rPr>
          <w:lang w:val="en-GB"/>
        </w:rPr>
        <w:t xml:space="preserve"> </w:t>
      </w:r>
      <w:proofErr w:type="spellStart"/>
      <w:r>
        <w:rPr>
          <w:lang w:val="en-GB"/>
        </w:rPr>
        <w:t>Vilkama</w:t>
      </w:r>
      <w:proofErr w:type="spellEnd"/>
      <w:r>
        <w:rPr>
          <w:lang w:val="en-GB"/>
        </w:rPr>
        <w:t xml:space="preserve"> has also contributed with comments to this article and some data. Furthermore Rolf </w:t>
      </w:r>
      <w:proofErr w:type="spellStart"/>
      <w:r>
        <w:rPr>
          <w:lang w:val="en-GB"/>
        </w:rPr>
        <w:t>Barlinghaug</w:t>
      </w:r>
      <w:proofErr w:type="spellEnd"/>
      <w:r>
        <w:rPr>
          <w:lang w:val="en-GB"/>
        </w:rPr>
        <w:t>, Norwegian Institute for Urban and Regional Research has contributed with some Norwegian data.</w:t>
      </w:r>
    </w:p>
    <w:p w:rsidR="00C81166" w:rsidRPr="008D2C7D" w:rsidRDefault="00B7500D" w:rsidP="00B7500D">
      <w:pPr>
        <w:pStyle w:val="Overskrift1"/>
        <w:rPr>
          <w:b w:val="0"/>
          <w:bCs w:val="0"/>
          <w:i/>
          <w:iCs/>
          <w:kern w:val="0"/>
          <w:sz w:val="24"/>
          <w:szCs w:val="24"/>
          <w:lang w:val="en-GB"/>
        </w:rPr>
      </w:pPr>
      <w:r>
        <w:rPr>
          <w:b w:val="0"/>
          <w:bCs w:val="0"/>
          <w:i/>
          <w:iCs/>
          <w:kern w:val="0"/>
          <w:sz w:val="24"/>
          <w:szCs w:val="24"/>
          <w:lang w:val="en-GB"/>
        </w:rPr>
        <w:br w:type="page"/>
      </w:r>
    </w:p>
    <w:p w:rsidR="00C81166" w:rsidRPr="008D2C7D" w:rsidRDefault="00C81166" w:rsidP="008D2C7D">
      <w:pPr>
        <w:rPr>
          <w:rFonts w:cs="Arial"/>
          <w:i/>
          <w:sz w:val="24"/>
          <w:szCs w:val="24"/>
          <w:lang w:val="en-GB"/>
        </w:rPr>
      </w:pPr>
    </w:p>
    <w:p w:rsidR="00C81166" w:rsidRPr="005D34B5" w:rsidRDefault="00C81166" w:rsidP="008D2C7D">
      <w:pPr>
        <w:rPr>
          <w:rFonts w:cs="Arial"/>
          <w:sz w:val="24"/>
          <w:szCs w:val="24"/>
          <w:lang w:val="en-GB"/>
        </w:rPr>
      </w:pPr>
    </w:p>
    <w:p w:rsidR="00C81166" w:rsidRPr="008D2C7D" w:rsidRDefault="00C81166" w:rsidP="008D2C7D">
      <w:pPr>
        <w:rPr>
          <w:rFonts w:cs="Arial"/>
          <w:i/>
          <w:sz w:val="24"/>
          <w:szCs w:val="24"/>
          <w:lang w:val="en-GB"/>
        </w:rPr>
      </w:pPr>
      <w:r w:rsidRPr="008D2C7D">
        <w:rPr>
          <w:rFonts w:cs="Arial"/>
          <w:i/>
          <w:sz w:val="24"/>
          <w:szCs w:val="24"/>
          <w:lang w:val="en-GB"/>
        </w:rPr>
        <w:t>Abstract</w:t>
      </w:r>
    </w:p>
    <w:p w:rsidR="00C81166" w:rsidRPr="002377D2" w:rsidRDefault="002377D2" w:rsidP="002377D2">
      <w:pPr>
        <w:spacing w:after="200" w:line="276" w:lineRule="auto"/>
        <w:rPr>
          <w:rFonts w:cs="Arial"/>
          <w:i/>
          <w:sz w:val="24"/>
          <w:szCs w:val="24"/>
          <w:lang w:val="nb-NO"/>
        </w:rPr>
      </w:pPr>
      <w:r w:rsidRPr="002377D2">
        <w:rPr>
          <w:rFonts w:cs="Arial"/>
          <w:i/>
          <w:sz w:val="24"/>
          <w:szCs w:val="24"/>
          <w:lang w:val="en-GB"/>
        </w:rPr>
        <w:t>The purpose of this article is to uncover</w:t>
      </w:r>
      <w:r w:rsidR="00525950">
        <w:rPr>
          <w:rFonts w:cs="Arial"/>
          <w:i/>
          <w:sz w:val="24"/>
          <w:szCs w:val="24"/>
          <w:lang w:val="en-GB"/>
        </w:rPr>
        <w:t>, whether</w:t>
      </w:r>
      <w:r w:rsidRPr="002377D2">
        <w:rPr>
          <w:rFonts w:cs="Arial"/>
          <w:i/>
          <w:sz w:val="24"/>
          <w:szCs w:val="24"/>
          <w:lang w:val="en-GB"/>
        </w:rPr>
        <w:t xml:space="preserve"> housing policy has a special importance for immigrants</w:t>
      </w:r>
      <w:r w:rsidR="00BE2081">
        <w:rPr>
          <w:rFonts w:cs="Arial"/>
          <w:i/>
          <w:sz w:val="24"/>
          <w:szCs w:val="24"/>
          <w:lang w:val="en-GB"/>
        </w:rPr>
        <w:t>,</w:t>
      </w:r>
      <w:r w:rsidRPr="002377D2">
        <w:rPr>
          <w:rFonts w:cs="Arial"/>
          <w:i/>
          <w:sz w:val="24"/>
          <w:szCs w:val="24"/>
          <w:lang w:val="en-GB"/>
        </w:rPr>
        <w:t xml:space="preserve"> compared</w:t>
      </w:r>
      <w:r w:rsidR="00525950">
        <w:rPr>
          <w:rFonts w:cs="Arial"/>
          <w:i/>
          <w:sz w:val="24"/>
          <w:szCs w:val="24"/>
          <w:lang w:val="en-GB"/>
        </w:rPr>
        <w:t xml:space="preserve"> with</w:t>
      </w:r>
      <w:r w:rsidRPr="002377D2">
        <w:rPr>
          <w:rFonts w:cs="Arial"/>
          <w:i/>
          <w:sz w:val="24"/>
          <w:szCs w:val="24"/>
          <w:lang w:val="en-GB"/>
        </w:rPr>
        <w:t xml:space="preserve"> the whole population</w:t>
      </w:r>
      <w:r w:rsidR="00BE2081">
        <w:rPr>
          <w:rFonts w:cs="Arial"/>
          <w:i/>
          <w:sz w:val="24"/>
          <w:szCs w:val="24"/>
          <w:lang w:val="en-GB"/>
        </w:rPr>
        <w:t>,</w:t>
      </w:r>
      <w:r w:rsidRPr="002377D2">
        <w:rPr>
          <w:rFonts w:cs="Arial"/>
          <w:i/>
          <w:sz w:val="24"/>
          <w:szCs w:val="24"/>
          <w:lang w:val="en-GB"/>
        </w:rPr>
        <w:t xml:space="preserve"> by comparing housing policies and </w:t>
      </w:r>
      <w:r w:rsidR="00BE2081">
        <w:rPr>
          <w:rFonts w:cs="Arial"/>
          <w:i/>
          <w:sz w:val="24"/>
          <w:szCs w:val="24"/>
          <w:lang w:val="en-GB"/>
        </w:rPr>
        <w:t xml:space="preserve">immigrants’ </w:t>
      </w:r>
      <w:r w:rsidRPr="002377D2">
        <w:rPr>
          <w:rFonts w:cs="Arial"/>
          <w:i/>
          <w:sz w:val="24"/>
          <w:szCs w:val="24"/>
          <w:lang w:val="en-GB"/>
        </w:rPr>
        <w:t>housing outcomes in four Nordic countries</w:t>
      </w:r>
      <w:r w:rsidR="00525950">
        <w:rPr>
          <w:rFonts w:cs="Arial"/>
          <w:i/>
          <w:sz w:val="24"/>
          <w:szCs w:val="24"/>
          <w:lang w:val="en-GB"/>
        </w:rPr>
        <w:t>:</w:t>
      </w:r>
      <w:r w:rsidRPr="002377D2">
        <w:rPr>
          <w:rFonts w:cs="Arial"/>
          <w:i/>
          <w:sz w:val="24"/>
          <w:szCs w:val="24"/>
          <w:lang w:val="en-GB"/>
        </w:rPr>
        <w:t xml:space="preserve"> Denmark, Finland, Norway and Sweden. </w:t>
      </w:r>
      <w:r w:rsidR="00BE2081" w:rsidRPr="002377D2">
        <w:rPr>
          <w:rFonts w:cs="Arial"/>
          <w:i/>
          <w:sz w:val="24"/>
          <w:szCs w:val="24"/>
          <w:lang w:val="en-GB"/>
        </w:rPr>
        <w:t xml:space="preserve">There are substantial differences between housing policies and housing outcomes in Nordic countries, </w:t>
      </w:r>
      <w:r w:rsidR="00BE2081" w:rsidRPr="002377D2">
        <w:rPr>
          <w:rFonts w:cs="Arial"/>
          <w:i/>
          <w:sz w:val="24"/>
          <w:szCs w:val="24"/>
          <w:lang w:val="en-US"/>
        </w:rPr>
        <w:t>despite their common background as welfare states.</w:t>
      </w:r>
      <w:r w:rsidR="00BE2081">
        <w:rPr>
          <w:rFonts w:cs="Arial"/>
          <w:i/>
          <w:sz w:val="24"/>
          <w:szCs w:val="24"/>
          <w:lang w:val="en-US"/>
        </w:rPr>
        <w:t xml:space="preserve"> </w:t>
      </w:r>
      <w:r w:rsidR="00BE2081">
        <w:rPr>
          <w:rFonts w:cs="Arial"/>
          <w:i/>
          <w:sz w:val="24"/>
          <w:szCs w:val="24"/>
          <w:lang w:val="en-GB"/>
        </w:rPr>
        <w:t>The study shows that immigrants have very different</w:t>
      </w:r>
      <w:r w:rsidR="00BE2081" w:rsidRPr="002377D2">
        <w:rPr>
          <w:rFonts w:cs="Arial"/>
          <w:i/>
          <w:sz w:val="24"/>
          <w:szCs w:val="24"/>
          <w:lang w:val="en-GB"/>
        </w:rPr>
        <w:t xml:space="preserve"> position</w:t>
      </w:r>
      <w:r w:rsidR="00BE2081">
        <w:rPr>
          <w:rFonts w:cs="Arial"/>
          <w:i/>
          <w:sz w:val="24"/>
          <w:szCs w:val="24"/>
          <w:lang w:val="en-GB"/>
        </w:rPr>
        <w:t>s</w:t>
      </w:r>
      <w:r w:rsidR="00BE2081" w:rsidRPr="002377D2">
        <w:rPr>
          <w:rFonts w:cs="Arial"/>
          <w:i/>
          <w:sz w:val="24"/>
          <w:szCs w:val="24"/>
          <w:lang w:val="en-GB"/>
        </w:rPr>
        <w:t xml:space="preserve"> on the housing market</w:t>
      </w:r>
      <w:r w:rsidR="00BE2081">
        <w:rPr>
          <w:rFonts w:cs="Arial"/>
          <w:i/>
          <w:sz w:val="24"/>
          <w:szCs w:val="24"/>
          <w:lang w:val="en-GB"/>
        </w:rPr>
        <w:t xml:space="preserve">s in the countries and that the </w:t>
      </w:r>
      <w:r w:rsidRPr="002377D2">
        <w:rPr>
          <w:rFonts w:cs="Arial"/>
          <w:i/>
          <w:sz w:val="24"/>
          <w:szCs w:val="24"/>
          <w:lang w:val="en-GB"/>
        </w:rPr>
        <w:t>degree of overcrowding among immigrants co</w:t>
      </w:r>
      <w:r w:rsidR="00BE2081">
        <w:rPr>
          <w:rFonts w:cs="Arial"/>
          <w:i/>
          <w:sz w:val="24"/>
          <w:szCs w:val="24"/>
          <w:lang w:val="en-GB"/>
        </w:rPr>
        <w:t xml:space="preserve">mpared </w:t>
      </w:r>
      <w:r w:rsidR="00525950">
        <w:rPr>
          <w:rFonts w:cs="Arial"/>
          <w:i/>
          <w:sz w:val="24"/>
          <w:szCs w:val="24"/>
          <w:lang w:val="en-GB"/>
        </w:rPr>
        <w:t>with</w:t>
      </w:r>
      <w:r w:rsidR="00BE2081">
        <w:rPr>
          <w:rFonts w:cs="Arial"/>
          <w:i/>
          <w:sz w:val="24"/>
          <w:szCs w:val="24"/>
          <w:lang w:val="en-GB"/>
        </w:rPr>
        <w:t xml:space="preserve"> the whole population varies much. These differences can only to </w:t>
      </w:r>
      <w:r w:rsidRPr="002377D2">
        <w:rPr>
          <w:rFonts w:cs="Arial"/>
          <w:i/>
          <w:sz w:val="24"/>
          <w:szCs w:val="24"/>
          <w:lang w:val="en-GB"/>
        </w:rPr>
        <w:t>some extent be explained by income inequalities</w:t>
      </w:r>
      <w:r w:rsidR="00BE2081">
        <w:rPr>
          <w:rFonts w:cs="Arial"/>
          <w:i/>
          <w:sz w:val="24"/>
          <w:szCs w:val="24"/>
          <w:lang w:val="en-GB"/>
        </w:rPr>
        <w:t xml:space="preserve"> on the housing markets in </w:t>
      </w:r>
      <w:r w:rsidR="00BE2081" w:rsidRPr="005151D7">
        <w:rPr>
          <w:rFonts w:cs="Arial"/>
          <w:i/>
          <w:sz w:val="24"/>
          <w:szCs w:val="24"/>
          <w:lang w:val="en-GB"/>
        </w:rPr>
        <w:t xml:space="preserve">the countries, </w:t>
      </w:r>
      <w:r w:rsidR="00025180" w:rsidRPr="006612A9">
        <w:rPr>
          <w:rFonts w:cs="Arial"/>
          <w:i/>
          <w:sz w:val="24"/>
          <w:szCs w:val="24"/>
          <w:lang w:val="en-GB"/>
        </w:rPr>
        <w:t>inequalities that</w:t>
      </w:r>
      <w:r w:rsidR="00BE2081" w:rsidRPr="005151D7">
        <w:rPr>
          <w:rFonts w:cs="Arial"/>
          <w:i/>
          <w:sz w:val="24"/>
          <w:szCs w:val="24"/>
          <w:lang w:val="en-GB"/>
        </w:rPr>
        <w:t xml:space="preserve"> affe</w:t>
      </w:r>
      <w:r w:rsidR="00BE2081">
        <w:rPr>
          <w:rFonts w:cs="Arial"/>
          <w:i/>
          <w:sz w:val="24"/>
          <w:szCs w:val="24"/>
          <w:lang w:val="en-GB"/>
        </w:rPr>
        <w:t>ct immigrants.</w:t>
      </w:r>
      <w:r w:rsidRPr="002377D2">
        <w:rPr>
          <w:rFonts w:cs="Arial"/>
          <w:i/>
          <w:sz w:val="24"/>
          <w:szCs w:val="24"/>
          <w:lang w:val="en-GB"/>
        </w:rPr>
        <w:t xml:space="preserve"> </w:t>
      </w:r>
      <w:r w:rsidR="00BE2081">
        <w:rPr>
          <w:rFonts w:cs="Arial"/>
          <w:i/>
          <w:sz w:val="24"/>
          <w:szCs w:val="24"/>
          <w:lang w:val="en-GB"/>
        </w:rPr>
        <w:t>Other i</w:t>
      </w:r>
      <w:r w:rsidRPr="002377D2">
        <w:rPr>
          <w:rFonts w:cs="Arial"/>
          <w:i/>
          <w:sz w:val="24"/>
          <w:szCs w:val="24"/>
          <w:lang w:val="en-GB"/>
        </w:rPr>
        <w:t xml:space="preserve">mportant explanations </w:t>
      </w:r>
      <w:r w:rsidR="00CE6983">
        <w:rPr>
          <w:rFonts w:cs="Arial"/>
          <w:i/>
          <w:sz w:val="24"/>
          <w:szCs w:val="24"/>
          <w:lang w:val="en-GB"/>
        </w:rPr>
        <w:t>of</w:t>
      </w:r>
      <w:r w:rsidRPr="002377D2">
        <w:rPr>
          <w:rFonts w:cs="Arial"/>
          <w:i/>
          <w:sz w:val="24"/>
          <w:szCs w:val="24"/>
          <w:lang w:val="en-GB"/>
        </w:rPr>
        <w:t xml:space="preserve"> why immigrants perform </w:t>
      </w:r>
      <w:r w:rsidRPr="00661B7C">
        <w:rPr>
          <w:rFonts w:cs="Arial"/>
          <w:i/>
          <w:sz w:val="24"/>
          <w:szCs w:val="24"/>
          <w:lang w:val="en-GB"/>
        </w:rPr>
        <w:t>worse</w:t>
      </w:r>
      <w:r w:rsidRPr="002377D2">
        <w:rPr>
          <w:rFonts w:cs="Arial"/>
          <w:i/>
          <w:sz w:val="24"/>
          <w:szCs w:val="24"/>
          <w:lang w:val="en-GB"/>
        </w:rPr>
        <w:t xml:space="preserve"> on the housing market </w:t>
      </w:r>
      <w:r w:rsidR="00CE6983">
        <w:rPr>
          <w:rFonts w:cs="Arial"/>
          <w:i/>
          <w:sz w:val="24"/>
          <w:szCs w:val="24"/>
          <w:lang w:val="en-GB"/>
        </w:rPr>
        <w:t>is the</w:t>
      </w:r>
      <w:r w:rsidRPr="002377D2">
        <w:rPr>
          <w:rFonts w:cs="Arial"/>
          <w:i/>
          <w:sz w:val="24"/>
          <w:szCs w:val="24"/>
          <w:lang w:val="en-GB"/>
        </w:rPr>
        <w:t xml:space="preserve"> shortage of rental housing</w:t>
      </w:r>
      <w:r w:rsidR="00BE2081">
        <w:rPr>
          <w:rFonts w:cs="Arial"/>
          <w:i/>
          <w:sz w:val="24"/>
          <w:szCs w:val="24"/>
          <w:lang w:val="en-GB"/>
        </w:rPr>
        <w:t xml:space="preserve"> (Norway)</w:t>
      </w:r>
      <w:r w:rsidRPr="002377D2">
        <w:rPr>
          <w:rFonts w:cs="Arial"/>
          <w:i/>
          <w:sz w:val="24"/>
          <w:szCs w:val="24"/>
          <w:lang w:val="en-GB"/>
        </w:rPr>
        <w:t>, which increase</w:t>
      </w:r>
      <w:r w:rsidR="00CE6983">
        <w:rPr>
          <w:rFonts w:cs="Arial"/>
          <w:i/>
          <w:sz w:val="24"/>
          <w:szCs w:val="24"/>
          <w:lang w:val="en-GB"/>
        </w:rPr>
        <w:t>s</w:t>
      </w:r>
      <w:r w:rsidRPr="002377D2">
        <w:rPr>
          <w:rFonts w:cs="Arial"/>
          <w:i/>
          <w:sz w:val="24"/>
          <w:szCs w:val="24"/>
          <w:lang w:val="en-GB"/>
        </w:rPr>
        <w:t xml:space="preserve"> the room for discrimination and forces immigrants into overcrowded owner-occupied housing, </w:t>
      </w:r>
      <w:r w:rsidRPr="005151D7">
        <w:rPr>
          <w:rFonts w:cs="Arial"/>
          <w:i/>
          <w:sz w:val="24"/>
          <w:szCs w:val="24"/>
          <w:lang w:val="en-GB"/>
        </w:rPr>
        <w:t>and</w:t>
      </w:r>
      <w:r w:rsidRPr="002377D2">
        <w:rPr>
          <w:rFonts w:cs="Arial"/>
          <w:i/>
          <w:sz w:val="24"/>
          <w:szCs w:val="24"/>
          <w:lang w:val="en-GB"/>
        </w:rPr>
        <w:t xml:space="preserve"> </w:t>
      </w:r>
      <w:r w:rsidR="00615E78">
        <w:rPr>
          <w:rFonts w:cs="Arial"/>
          <w:i/>
          <w:sz w:val="24"/>
          <w:szCs w:val="24"/>
          <w:lang w:val="en-GB"/>
        </w:rPr>
        <w:t xml:space="preserve">also </w:t>
      </w:r>
      <w:r w:rsidRPr="00661B7C">
        <w:rPr>
          <w:rFonts w:cs="Arial"/>
          <w:i/>
          <w:sz w:val="24"/>
          <w:szCs w:val="24"/>
          <w:lang w:val="en-GB"/>
        </w:rPr>
        <w:t>rent and price control</w:t>
      </w:r>
      <w:r w:rsidRPr="002377D2">
        <w:rPr>
          <w:rFonts w:cs="Arial"/>
          <w:i/>
          <w:sz w:val="24"/>
          <w:szCs w:val="24"/>
          <w:lang w:val="en-GB"/>
        </w:rPr>
        <w:t xml:space="preserve"> that make</w:t>
      </w:r>
      <w:r w:rsidR="00DC683F">
        <w:rPr>
          <w:rFonts w:cs="Arial"/>
          <w:i/>
          <w:sz w:val="24"/>
          <w:szCs w:val="24"/>
          <w:lang w:val="en-GB"/>
        </w:rPr>
        <w:t>s</w:t>
      </w:r>
      <w:r w:rsidRPr="002377D2">
        <w:rPr>
          <w:rFonts w:cs="Arial"/>
          <w:i/>
          <w:sz w:val="24"/>
          <w:szCs w:val="24"/>
          <w:lang w:val="en-GB"/>
        </w:rPr>
        <w:t xml:space="preserve"> room for discrimination and reduce</w:t>
      </w:r>
      <w:r w:rsidR="00CE6983">
        <w:rPr>
          <w:rFonts w:cs="Arial"/>
          <w:i/>
          <w:sz w:val="24"/>
          <w:szCs w:val="24"/>
          <w:lang w:val="en-GB"/>
        </w:rPr>
        <w:t>s</w:t>
      </w:r>
      <w:r w:rsidRPr="002377D2">
        <w:rPr>
          <w:rFonts w:cs="Arial"/>
          <w:i/>
          <w:sz w:val="24"/>
          <w:szCs w:val="24"/>
          <w:lang w:val="en-GB"/>
        </w:rPr>
        <w:t xml:space="preserve"> immigrants’ access to private renting</w:t>
      </w:r>
      <w:r w:rsidR="00BE2081">
        <w:rPr>
          <w:rFonts w:cs="Arial"/>
          <w:i/>
          <w:sz w:val="24"/>
          <w:szCs w:val="24"/>
          <w:lang w:val="en-GB"/>
        </w:rPr>
        <w:t xml:space="preserve"> </w:t>
      </w:r>
      <w:r w:rsidR="00CE6983">
        <w:rPr>
          <w:rFonts w:cs="Arial"/>
          <w:i/>
          <w:sz w:val="24"/>
          <w:szCs w:val="24"/>
          <w:lang w:val="en-GB"/>
        </w:rPr>
        <w:t xml:space="preserve">in particular </w:t>
      </w:r>
      <w:r w:rsidR="00BE2081">
        <w:rPr>
          <w:rFonts w:cs="Arial"/>
          <w:i/>
          <w:sz w:val="24"/>
          <w:szCs w:val="24"/>
          <w:lang w:val="en-GB"/>
        </w:rPr>
        <w:t>(Denmark)</w:t>
      </w:r>
      <w:r w:rsidRPr="002377D2">
        <w:rPr>
          <w:rFonts w:cs="Arial"/>
          <w:i/>
          <w:sz w:val="24"/>
          <w:szCs w:val="24"/>
          <w:lang w:val="en-GB"/>
        </w:rPr>
        <w:t xml:space="preserve">. Housing policy initiatives </w:t>
      </w:r>
      <w:r w:rsidR="00CE6983">
        <w:rPr>
          <w:rFonts w:cs="Arial"/>
          <w:i/>
          <w:sz w:val="24"/>
          <w:szCs w:val="24"/>
          <w:lang w:val="en-GB"/>
        </w:rPr>
        <w:t>that</w:t>
      </w:r>
      <w:r w:rsidRPr="002377D2">
        <w:rPr>
          <w:rFonts w:cs="Arial"/>
          <w:i/>
          <w:sz w:val="24"/>
          <w:szCs w:val="24"/>
          <w:lang w:val="en-GB"/>
        </w:rPr>
        <w:t xml:space="preserve"> improve immigrants’ housing options are </w:t>
      </w:r>
      <w:r w:rsidR="00DC683F">
        <w:rPr>
          <w:rFonts w:cs="Arial"/>
          <w:i/>
          <w:sz w:val="24"/>
          <w:szCs w:val="24"/>
          <w:lang w:val="en-GB"/>
        </w:rPr>
        <w:t>strict</w:t>
      </w:r>
      <w:r w:rsidR="00CE6983">
        <w:rPr>
          <w:rFonts w:cs="Arial"/>
          <w:i/>
          <w:sz w:val="24"/>
          <w:szCs w:val="24"/>
          <w:lang w:val="en-GB"/>
        </w:rPr>
        <w:t xml:space="preserve"> </w:t>
      </w:r>
      <w:r w:rsidRPr="002377D2">
        <w:rPr>
          <w:rFonts w:cs="Arial"/>
          <w:i/>
          <w:sz w:val="24"/>
          <w:szCs w:val="24"/>
          <w:lang w:val="en-GB"/>
        </w:rPr>
        <w:t xml:space="preserve">needs test for social/public housing </w:t>
      </w:r>
      <w:r w:rsidR="00BE2081">
        <w:rPr>
          <w:rFonts w:cs="Arial"/>
          <w:i/>
          <w:sz w:val="24"/>
          <w:szCs w:val="24"/>
          <w:lang w:val="en-GB"/>
        </w:rPr>
        <w:t xml:space="preserve">(Finland). </w:t>
      </w:r>
    </w:p>
    <w:p w:rsidR="00C81166" w:rsidRPr="0061433A" w:rsidRDefault="00C81166" w:rsidP="008D2C7D">
      <w:pPr>
        <w:rPr>
          <w:rFonts w:cs="Arial"/>
          <w:sz w:val="24"/>
          <w:szCs w:val="24"/>
          <w:lang w:val="en-GB"/>
        </w:rPr>
      </w:pPr>
      <w:r>
        <w:rPr>
          <w:rFonts w:cs="Arial"/>
          <w:sz w:val="24"/>
          <w:szCs w:val="24"/>
          <w:lang w:val="en-GB"/>
        </w:rPr>
        <w:t>Key words: Immigrants’ housing situation, housing policies, Nordic countries</w:t>
      </w:r>
    </w:p>
    <w:p w:rsidR="00C81166" w:rsidRPr="00EA1C82" w:rsidRDefault="00C81166" w:rsidP="008D2C7D">
      <w:pPr>
        <w:pStyle w:val="Overskrift3"/>
        <w:rPr>
          <w:sz w:val="24"/>
          <w:szCs w:val="24"/>
          <w:lang w:val="en-US"/>
        </w:rPr>
      </w:pPr>
      <w:r w:rsidRPr="00EA1C82">
        <w:rPr>
          <w:sz w:val="24"/>
          <w:szCs w:val="24"/>
          <w:lang w:val="en-US"/>
        </w:rPr>
        <w:t xml:space="preserve">Introduction </w:t>
      </w:r>
      <w:r w:rsidR="0028005F">
        <w:rPr>
          <w:sz w:val="24"/>
          <w:szCs w:val="24"/>
          <w:lang w:val="en-US"/>
        </w:rPr>
        <w:t>and research question</w:t>
      </w:r>
    </w:p>
    <w:p w:rsidR="00C81166" w:rsidRDefault="00615E78" w:rsidP="008D2C7D">
      <w:pPr>
        <w:rPr>
          <w:rFonts w:cs="Arial"/>
          <w:sz w:val="24"/>
          <w:szCs w:val="24"/>
          <w:lang w:val="en-GB"/>
        </w:rPr>
      </w:pPr>
      <w:r>
        <w:rPr>
          <w:sz w:val="24"/>
          <w:szCs w:val="24"/>
          <w:lang w:val="en-GB"/>
        </w:rPr>
        <w:t>I</w:t>
      </w:r>
      <w:r w:rsidRPr="00DF5A91">
        <w:rPr>
          <w:sz w:val="24"/>
          <w:szCs w:val="24"/>
          <w:lang w:val="en-GB"/>
        </w:rPr>
        <w:t>n the European literature</w:t>
      </w:r>
      <w:r>
        <w:rPr>
          <w:sz w:val="24"/>
          <w:szCs w:val="24"/>
          <w:lang w:val="en-GB"/>
        </w:rPr>
        <w:t>,</w:t>
      </w:r>
      <w:r w:rsidRPr="00DF5A91">
        <w:rPr>
          <w:sz w:val="24"/>
          <w:szCs w:val="24"/>
          <w:lang w:val="en-GB"/>
        </w:rPr>
        <w:t xml:space="preserve"> </w:t>
      </w:r>
      <w:r>
        <w:rPr>
          <w:sz w:val="24"/>
          <w:szCs w:val="24"/>
          <w:lang w:val="en-GB"/>
        </w:rPr>
        <w:t>t</w:t>
      </w:r>
      <w:r w:rsidR="00C81166" w:rsidRPr="00DF5A91">
        <w:rPr>
          <w:sz w:val="24"/>
          <w:szCs w:val="24"/>
          <w:lang w:val="en-GB"/>
        </w:rPr>
        <w:t xml:space="preserve">here is a general consensus </w:t>
      </w:r>
      <w:r w:rsidR="00CE6983">
        <w:rPr>
          <w:sz w:val="24"/>
          <w:szCs w:val="24"/>
          <w:lang w:val="en-GB"/>
        </w:rPr>
        <w:t>th</w:t>
      </w:r>
      <w:r w:rsidR="0011480D">
        <w:rPr>
          <w:sz w:val="24"/>
          <w:szCs w:val="24"/>
          <w:lang w:val="en-GB"/>
        </w:rPr>
        <w:t>at</w:t>
      </w:r>
      <w:r w:rsidR="00CE6983">
        <w:rPr>
          <w:sz w:val="24"/>
          <w:szCs w:val="24"/>
          <w:lang w:val="en-GB"/>
        </w:rPr>
        <w:t xml:space="preserve"> </w:t>
      </w:r>
      <w:r w:rsidR="00C81166" w:rsidRPr="00DF5A91">
        <w:rPr>
          <w:sz w:val="24"/>
          <w:szCs w:val="24"/>
          <w:lang w:val="en-GB"/>
        </w:rPr>
        <w:t>verif</w:t>
      </w:r>
      <w:r w:rsidR="00CE6983">
        <w:rPr>
          <w:sz w:val="24"/>
          <w:szCs w:val="24"/>
          <w:lang w:val="en-GB"/>
        </w:rPr>
        <w:t>ies</w:t>
      </w:r>
      <w:r w:rsidR="00C81166" w:rsidRPr="00DF5A91">
        <w:rPr>
          <w:sz w:val="24"/>
          <w:szCs w:val="24"/>
          <w:lang w:val="en-GB"/>
        </w:rPr>
        <w:t xml:space="preserve"> the disadvantage faced by immigrants an</w:t>
      </w:r>
      <w:r w:rsidR="00C81166">
        <w:rPr>
          <w:sz w:val="24"/>
          <w:szCs w:val="24"/>
          <w:lang w:val="en-GB"/>
        </w:rPr>
        <w:t>d minority groups o</w:t>
      </w:r>
      <w:r w:rsidR="00C81166" w:rsidRPr="00DF5A91">
        <w:rPr>
          <w:sz w:val="24"/>
          <w:szCs w:val="24"/>
          <w:lang w:val="en-GB"/>
        </w:rPr>
        <w:t xml:space="preserve">n the housing market (Fonseca et al 2010). </w:t>
      </w:r>
      <w:r w:rsidR="00C81166" w:rsidRPr="00DF5A91">
        <w:rPr>
          <w:rFonts w:cs="Minion"/>
          <w:color w:val="000000"/>
          <w:sz w:val="24"/>
          <w:szCs w:val="24"/>
          <w:lang w:val="en-GB"/>
        </w:rPr>
        <w:t xml:space="preserve">The literature on segregation and housing market position of ethnic minorities in </w:t>
      </w:r>
      <w:r w:rsidR="0011480D">
        <w:rPr>
          <w:rFonts w:cs="Minion"/>
          <w:color w:val="000000"/>
          <w:sz w:val="24"/>
          <w:szCs w:val="24"/>
          <w:lang w:val="en-GB"/>
        </w:rPr>
        <w:t>W</w:t>
      </w:r>
      <w:r w:rsidR="00C81166" w:rsidRPr="00DF5A91">
        <w:rPr>
          <w:rFonts w:cs="Minion"/>
          <w:color w:val="000000"/>
          <w:sz w:val="24"/>
          <w:szCs w:val="24"/>
          <w:lang w:val="en-GB"/>
        </w:rPr>
        <w:t>estern European cities has shown that minorities have typically been confined to the least desirable private or social</w:t>
      </w:r>
      <w:r w:rsidR="00E0342A">
        <w:rPr>
          <w:rFonts w:cs="Minion"/>
          <w:color w:val="000000"/>
          <w:sz w:val="24"/>
          <w:szCs w:val="24"/>
          <w:lang w:val="en-GB"/>
        </w:rPr>
        <w:t>/public</w:t>
      </w:r>
      <w:r w:rsidR="00C81166" w:rsidRPr="00DF5A91">
        <w:rPr>
          <w:rFonts w:cs="Minion"/>
          <w:color w:val="000000"/>
          <w:sz w:val="24"/>
          <w:szCs w:val="24"/>
          <w:lang w:val="en-GB"/>
        </w:rPr>
        <w:t xml:space="preserve"> rented housing in </w:t>
      </w:r>
      <w:r w:rsidR="00C81166" w:rsidRPr="00661B7C">
        <w:rPr>
          <w:rFonts w:cs="Minion"/>
          <w:color w:val="000000"/>
          <w:sz w:val="24"/>
          <w:szCs w:val="24"/>
          <w:lang w:val="en-GB"/>
        </w:rPr>
        <w:t>the</w:t>
      </w:r>
      <w:r w:rsidR="00C81166" w:rsidRPr="00DF5A91">
        <w:rPr>
          <w:rFonts w:cs="Minion"/>
          <w:color w:val="000000"/>
          <w:sz w:val="24"/>
          <w:szCs w:val="24"/>
          <w:lang w:val="en-GB"/>
        </w:rPr>
        <w:t xml:space="preserve"> inner city or in peripheral estates (</w:t>
      </w:r>
      <w:proofErr w:type="spellStart"/>
      <w:r w:rsidR="00C81166" w:rsidRPr="00DF5A91">
        <w:rPr>
          <w:rFonts w:cs="Minion"/>
          <w:color w:val="000000"/>
          <w:sz w:val="24"/>
          <w:szCs w:val="24"/>
          <w:lang w:val="en-GB"/>
        </w:rPr>
        <w:t>Hamnett</w:t>
      </w:r>
      <w:proofErr w:type="spellEnd"/>
      <w:r w:rsidR="00C81166" w:rsidRPr="00DF5A91">
        <w:rPr>
          <w:rFonts w:cs="Minion"/>
          <w:color w:val="000000"/>
          <w:sz w:val="24"/>
          <w:szCs w:val="24"/>
          <w:lang w:val="en-GB"/>
        </w:rPr>
        <w:t xml:space="preserve"> and Butler 2008). But </w:t>
      </w:r>
      <w:r w:rsidR="00C81166">
        <w:rPr>
          <w:rFonts w:cs="Arial"/>
          <w:sz w:val="24"/>
          <w:szCs w:val="24"/>
          <w:lang w:val="en-GB"/>
        </w:rPr>
        <w:t>i</w:t>
      </w:r>
      <w:r w:rsidR="00C81166" w:rsidRPr="00DF5A91">
        <w:rPr>
          <w:rFonts w:cs="Arial"/>
          <w:sz w:val="24"/>
          <w:szCs w:val="24"/>
          <w:lang w:val="en-GB"/>
        </w:rPr>
        <w:t>mmigrants perform very differently on the housing markets in different countries.</w:t>
      </w:r>
      <w:r w:rsidR="00C81166">
        <w:rPr>
          <w:rFonts w:cs="Arial"/>
          <w:sz w:val="24"/>
          <w:szCs w:val="24"/>
          <w:lang w:val="en-GB"/>
        </w:rPr>
        <w:t xml:space="preserve"> </w:t>
      </w:r>
    </w:p>
    <w:p w:rsidR="00C81166" w:rsidRDefault="00C81166" w:rsidP="008D2C7D">
      <w:pPr>
        <w:rPr>
          <w:rFonts w:cs="Arial"/>
          <w:sz w:val="24"/>
          <w:szCs w:val="24"/>
          <w:lang w:val="en-GB"/>
        </w:rPr>
      </w:pPr>
    </w:p>
    <w:p w:rsidR="0028005F" w:rsidRDefault="00C81166" w:rsidP="008D2C7D">
      <w:pPr>
        <w:rPr>
          <w:rFonts w:cs="Arial"/>
          <w:sz w:val="24"/>
          <w:szCs w:val="24"/>
          <w:lang w:val="en-GB"/>
        </w:rPr>
      </w:pPr>
      <w:r>
        <w:rPr>
          <w:rFonts w:cs="Arial"/>
          <w:sz w:val="24"/>
          <w:szCs w:val="24"/>
          <w:lang w:val="en-GB"/>
        </w:rPr>
        <w:t xml:space="preserve">This is also the case in </w:t>
      </w:r>
      <w:r w:rsidRPr="008D2C7D">
        <w:rPr>
          <w:rFonts w:cs="Arial"/>
          <w:sz w:val="24"/>
          <w:szCs w:val="24"/>
          <w:lang w:val="en-GB"/>
        </w:rPr>
        <w:t xml:space="preserve">four Nordic countries, </w:t>
      </w:r>
      <w:smartTag w:uri="urn:schemas-microsoft-com:office:smarttags" w:element="City">
        <w:smartTag w:uri="urn:schemas-microsoft-com:office:smarttags" w:element="country-region">
          <w:r w:rsidRPr="008D2C7D">
            <w:rPr>
              <w:rFonts w:cs="Arial"/>
              <w:sz w:val="24"/>
              <w:szCs w:val="24"/>
              <w:lang w:val="en-GB"/>
            </w:rPr>
            <w:t>Denmark</w:t>
          </w:r>
        </w:smartTag>
      </w:smartTag>
      <w:r w:rsidRPr="008D2C7D">
        <w:rPr>
          <w:rFonts w:cs="Arial"/>
          <w:sz w:val="24"/>
          <w:szCs w:val="24"/>
          <w:lang w:val="en-GB"/>
        </w:rPr>
        <w:t xml:space="preserve">, </w:t>
      </w:r>
      <w:smartTag w:uri="urn:schemas-microsoft-com:office:smarttags" w:element="City">
        <w:smartTag w:uri="urn:schemas-microsoft-com:office:smarttags" w:element="country-region">
          <w:r w:rsidRPr="008D2C7D">
            <w:rPr>
              <w:rFonts w:cs="Arial"/>
              <w:sz w:val="24"/>
              <w:szCs w:val="24"/>
              <w:lang w:val="en-GB"/>
            </w:rPr>
            <w:t>Finland</w:t>
          </w:r>
        </w:smartTag>
      </w:smartTag>
      <w:r w:rsidRPr="008D2C7D">
        <w:rPr>
          <w:rFonts w:cs="Arial"/>
          <w:sz w:val="24"/>
          <w:szCs w:val="24"/>
          <w:lang w:val="en-GB"/>
        </w:rPr>
        <w:t xml:space="preserve">, </w:t>
      </w:r>
      <w:smartTag w:uri="urn:schemas-microsoft-com:office:smarttags" w:element="City">
        <w:smartTag w:uri="urn:schemas-microsoft-com:office:smarttags" w:element="country-region">
          <w:r w:rsidRPr="008D2C7D">
            <w:rPr>
              <w:rFonts w:cs="Arial"/>
              <w:sz w:val="24"/>
              <w:szCs w:val="24"/>
              <w:lang w:val="en-GB"/>
            </w:rPr>
            <w:t>Norway</w:t>
          </w:r>
        </w:smartTag>
      </w:smartTag>
      <w:r w:rsidRPr="008D2C7D">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sidRPr="008D2C7D">
              <w:rPr>
                <w:rFonts w:cs="Arial"/>
                <w:sz w:val="24"/>
                <w:szCs w:val="24"/>
                <w:lang w:val="en-GB"/>
              </w:rPr>
              <w:t>Sweden</w:t>
            </w:r>
          </w:smartTag>
        </w:smartTag>
      </w:smartTag>
      <w:r>
        <w:rPr>
          <w:rFonts w:cs="Arial"/>
          <w:sz w:val="24"/>
          <w:szCs w:val="24"/>
          <w:lang w:val="en-GB"/>
        </w:rPr>
        <w:t>. These welfare states all belong to what is c</w:t>
      </w:r>
      <w:r w:rsidR="00E0342A">
        <w:rPr>
          <w:rFonts w:cs="Arial"/>
          <w:sz w:val="24"/>
          <w:szCs w:val="24"/>
          <w:lang w:val="en-GB"/>
        </w:rPr>
        <w:t>alled the Scandinavian social democratic</w:t>
      </w:r>
      <w:r>
        <w:rPr>
          <w:rFonts w:cs="Arial"/>
          <w:sz w:val="24"/>
          <w:szCs w:val="24"/>
          <w:lang w:val="en-GB"/>
        </w:rPr>
        <w:t xml:space="preserve"> welfare model (</w:t>
      </w:r>
      <w:proofErr w:type="spellStart"/>
      <w:r>
        <w:rPr>
          <w:rFonts w:cs="Arial"/>
          <w:sz w:val="24"/>
          <w:szCs w:val="24"/>
          <w:lang w:val="en-GB"/>
        </w:rPr>
        <w:t>Esping</w:t>
      </w:r>
      <w:proofErr w:type="spellEnd"/>
      <w:r>
        <w:rPr>
          <w:rFonts w:cs="Arial"/>
          <w:sz w:val="24"/>
          <w:szCs w:val="24"/>
          <w:lang w:val="en-GB"/>
        </w:rPr>
        <w:t>-Andersen 1990)</w:t>
      </w:r>
      <w:r w:rsidR="00025180">
        <w:rPr>
          <w:rFonts w:cs="Arial"/>
          <w:sz w:val="24"/>
          <w:szCs w:val="24"/>
          <w:lang w:val="en-GB"/>
        </w:rPr>
        <w:t xml:space="preserve"> and</w:t>
      </w:r>
      <w:r>
        <w:rPr>
          <w:rFonts w:cs="Arial"/>
          <w:sz w:val="24"/>
          <w:szCs w:val="24"/>
          <w:lang w:val="en-GB"/>
        </w:rPr>
        <w:t xml:space="preserve"> </w:t>
      </w:r>
      <w:r w:rsidR="0011480D">
        <w:rPr>
          <w:rFonts w:cs="Arial"/>
          <w:sz w:val="24"/>
          <w:szCs w:val="24"/>
          <w:lang w:val="en-GB"/>
        </w:rPr>
        <w:t xml:space="preserve">they </w:t>
      </w:r>
      <w:r>
        <w:rPr>
          <w:rFonts w:cs="Arial"/>
          <w:sz w:val="24"/>
          <w:szCs w:val="24"/>
          <w:lang w:val="en-GB"/>
        </w:rPr>
        <w:t xml:space="preserve">are distinguished by greater equality than other </w:t>
      </w:r>
      <w:r w:rsidRPr="0056623C">
        <w:rPr>
          <w:rFonts w:cs="Arial"/>
          <w:sz w:val="24"/>
          <w:szCs w:val="24"/>
          <w:lang w:val="en-GB"/>
        </w:rPr>
        <w:t>models</w:t>
      </w:r>
      <w:r>
        <w:rPr>
          <w:rFonts w:cs="Arial"/>
          <w:sz w:val="24"/>
          <w:szCs w:val="24"/>
          <w:lang w:val="en-GB"/>
        </w:rPr>
        <w:t>. However</w:t>
      </w:r>
      <w:r w:rsidR="00D1125E">
        <w:rPr>
          <w:rFonts w:cs="Arial"/>
          <w:sz w:val="24"/>
          <w:szCs w:val="24"/>
          <w:lang w:val="en-GB"/>
        </w:rPr>
        <w:t>,</w:t>
      </w:r>
      <w:r>
        <w:rPr>
          <w:rFonts w:cs="Arial"/>
          <w:sz w:val="24"/>
          <w:szCs w:val="24"/>
          <w:lang w:val="en-GB"/>
        </w:rPr>
        <w:t xml:space="preserve"> these states differ from each other by having quite different housing policies and housing markets (</w:t>
      </w:r>
      <w:proofErr w:type="spellStart"/>
      <w:r>
        <w:rPr>
          <w:rFonts w:cs="Arial"/>
          <w:sz w:val="24"/>
          <w:szCs w:val="24"/>
          <w:lang w:val="en-GB"/>
        </w:rPr>
        <w:t>Bengtsson</w:t>
      </w:r>
      <w:proofErr w:type="spellEnd"/>
      <w:r>
        <w:rPr>
          <w:rFonts w:cs="Arial"/>
          <w:sz w:val="24"/>
          <w:szCs w:val="24"/>
          <w:lang w:val="en-GB"/>
        </w:rPr>
        <w:t xml:space="preserve"> et al</w:t>
      </w:r>
      <w:r w:rsidR="00D1125E">
        <w:rPr>
          <w:rFonts w:cs="Arial"/>
          <w:sz w:val="24"/>
          <w:szCs w:val="24"/>
          <w:lang w:val="en-GB"/>
        </w:rPr>
        <w:t>.</w:t>
      </w:r>
      <w:r>
        <w:rPr>
          <w:rFonts w:cs="Arial"/>
          <w:sz w:val="24"/>
          <w:szCs w:val="24"/>
          <w:lang w:val="en-GB"/>
        </w:rPr>
        <w:t xml:space="preserve"> 2006)</w:t>
      </w:r>
      <w:r w:rsidRPr="008D2C7D">
        <w:rPr>
          <w:rFonts w:cs="Arial"/>
          <w:sz w:val="24"/>
          <w:szCs w:val="24"/>
          <w:lang w:val="en-GB"/>
        </w:rPr>
        <w:t xml:space="preserve">. </w:t>
      </w:r>
      <w:r w:rsidR="00791C89" w:rsidRPr="00781DE7">
        <w:rPr>
          <w:rFonts w:cs="Arial"/>
          <w:sz w:val="24"/>
          <w:szCs w:val="24"/>
          <w:lang w:val="en-GB"/>
        </w:rPr>
        <w:t>The</w:t>
      </w:r>
      <w:r w:rsidR="0056623C" w:rsidRPr="006612A9">
        <w:rPr>
          <w:rFonts w:cs="Arial"/>
          <w:sz w:val="24"/>
          <w:szCs w:val="24"/>
          <w:lang w:val="en-GB"/>
        </w:rPr>
        <w:t>se</w:t>
      </w:r>
      <w:r w:rsidR="00791C89" w:rsidRPr="00781DE7">
        <w:rPr>
          <w:rFonts w:cs="Arial"/>
          <w:sz w:val="24"/>
          <w:szCs w:val="24"/>
          <w:lang w:val="en-GB"/>
        </w:rPr>
        <w:t xml:space="preserve"> fou</w:t>
      </w:r>
      <w:r w:rsidR="00791C89">
        <w:rPr>
          <w:rFonts w:cs="Arial"/>
          <w:sz w:val="24"/>
          <w:szCs w:val="24"/>
          <w:lang w:val="en-GB"/>
        </w:rPr>
        <w:t xml:space="preserve">r Nordic </w:t>
      </w:r>
      <w:r w:rsidR="00791C89" w:rsidRPr="008D2C7D">
        <w:rPr>
          <w:rFonts w:cs="Arial"/>
          <w:sz w:val="24"/>
          <w:szCs w:val="24"/>
          <w:lang w:val="en-GB"/>
        </w:rPr>
        <w:t xml:space="preserve">countries have experienced substantial immigration for years, </w:t>
      </w:r>
      <w:r w:rsidR="0011480D">
        <w:rPr>
          <w:rFonts w:cs="Arial"/>
          <w:sz w:val="24"/>
          <w:szCs w:val="24"/>
          <w:lang w:val="en-GB"/>
        </w:rPr>
        <w:t xml:space="preserve">which has </w:t>
      </w:r>
      <w:r w:rsidR="00791C89" w:rsidRPr="008D2C7D">
        <w:rPr>
          <w:rFonts w:cs="Arial"/>
          <w:sz w:val="24"/>
          <w:szCs w:val="24"/>
          <w:lang w:val="en-GB"/>
        </w:rPr>
        <w:t>chang</w:t>
      </w:r>
      <w:r w:rsidR="0011480D">
        <w:rPr>
          <w:rFonts w:cs="Arial"/>
          <w:sz w:val="24"/>
          <w:szCs w:val="24"/>
          <w:lang w:val="en-GB"/>
        </w:rPr>
        <w:t>ed</w:t>
      </w:r>
      <w:r w:rsidR="00791C89" w:rsidRPr="008D2C7D">
        <w:rPr>
          <w:rFonts w:cs="Arial"/>
          <w:sz w:val="24"/>
          <w:szCs w:val="24"/>
          <w:lang w:val="en-GB"/>
        </w:rPr>
        <w:t xml:space="preserve"> the composition of the population. All the countries have developed policies for integration of new residents alongside with and interwoven with the</w:t>
      </w:r>
      <w:r w:rsidR="005176FA">
        <w:rPr>
          <w:rFonts w:cs="Arial"/>
          <w:sz w:val="24"/>
          <w:szCs w:val="24"/>
          <w:lang w:val="en-GB"/>
        </w:rPr>
        <w:t>ir</w:t>
      </w:r>
      <w:r w:rsidR="00791C89" w:rsidRPr="008D2C7D">
        <w:rPr>
          <w:rFonts w:cs="Arial"/>
          <w:sz w:val="24"/>
          <w:szCs w:val="24"/>
          <w:lang w:val="en-GB"/>
        </w:rPr>
        <w:t xml:space="preserve"> universal welfare policies. Despite universal welfare policies, the majority of the immigrants </w:t>
      </w:r>
      <w:r w:rsidR="0028005F">
        <w:rPr>
          <w:rFonts w:cs="Arial"/>
          <w:sz w:val="24"/>
          <w:szCs w:val="24"/>
          <w:lang w:val="en-GB"/>
        </w:rPr>
        <w:t xml:space="preserve">in all four countries </w:t>
      </w:r>
      <w:r w:rsidR="00791C89" w:rsidRPr="008D2C7D">
        <w:rPr>
          <w:rFonts w:cs="Arial"/>
          <w:sz w:val="24"/>
          <w:szCs w:val="24"/>
          <w:lang w:val="en-GB"/>
        </w:rPr>
        <w:t xml:space="preserve">find themselves in different housing </w:t>
      </w:r>
      <w:r w:rsidR="00791C89" w:rsidRPr="005151D7">
        <w:rPr>
          <w:rFonts w:cs="Arial"/>
          <w:sz w:val="24"/>
          <w:szCs w:val="24"/>
          <w:lang w:val="en-GB"/>
        </w:rPr>
        <w:t>positions</w:t>
      </w:r>
      <w:r w:rsidR="00791C89" w:rsidRPr="008D2C7D">
        <w:rPr>
          <w:rFonts w:cs="Arial"/>
          <w:sz w:val="24"/>
          <w:szCs w:val="24"/>
          <w:lang w:val="en-GB"/>
        </w:rPr>
        <w:t xml:space="preserve"> than the native majority</w:t>
      </w:r>
      <w:r w:rsidR="0028005F">
        <w:rPr>
          <w:rFonts w:cs="Arial"/>
          <w:sz w:val="24"/>
          <w:szCs w:val="24"/>
          <w:lang w:val="en-GB"/>
        </w:rPr>
        <w:t xml:space="preserve">. But immigrants’ housing </w:t>
      </w:r>
      <w:r w:rsidR="0028005F" w:rsidRPr="005151D7">
        <w:rPr>
          <w:rFonts w:cs="Arial"/>
          <w:sz w:val="24"/>
          <w:szCs w:val="24"/>
          <w:lang w:val="en-GB"/>
        </w:rPr>
        <w:t>position</w:t>
      </w:r>
      <w:r w:rsidR="0028005F">
        <w:rPr>
          <w:rFonts w:cs="Arial"/>
          <w:sz w:val="24"/>
          <w:szCs w:val="24"/>
          <w:lang w:val="en-GB"/>
        </w:rPr>
        <w:t xml:space="preserve"> differs much between the countries, both in absolute terms and compared with </w:t>
      </w:r>
      <w:r w:rsidR="008A0689">
        <w:rPr>
          <w:rFonts w:cs="Arial"/>
          <w:sz w:val="24"/>
          <w:szCs w:val="24"/>
          <w:lang w:val="en-GB"/>
        </w:rPr>
        <w:t xml:space="preserve">that of the </w:t>
      </w:r>
      <w:r w:rsidR="0028005F">
        <w:rPr>
          <w:rFonts w:cs="Arial"/>
          <w:sz w:val="24"/>
          <w:szCs w:val="24"/>
          <w:lang w:val="en-GB"/>
        </w:rPr>
        <w:t xml:space="preserve">natives. </w:t>
      </w:r>
    </w:p>
    <w:p w:rsidR="0028005F" w:rsidRDefault="0028005F" w:rsidP="008D2C7D">
      <w:pPr>
        <w:rPr>
          <w:rFonts w:cs="Arial"/>
          <w:sz w:val="24"/>
          <w:szCs w:val="24"/>
          <w:lang w:val="en-GB"/>
        </w:rPr>
      </w:pPr>
    </w:p>
    <w:p w:rsidR="00A234AC" w:rsidRDefault="0028005F" w:rsidP="008D2C7D">
      <w:pPr>
        <w:rPr>
          <w:rFonts w:cs="Arial"/>
          <w:sz w:val="24"/>
          <w:szCs w:val="24"/>
          <w:lang w:val="en-GB"/>
        </w:rPr>
      </w:pPr>
      <w:r>
        <w:rPr>
          <w:rFonts w:cs="Arial"/>
          <w:sz w:val="24"/>
          <w:szCs w:val="24"/>
          <w:lang w:val="en-GB"/>
        </w:rPr>
        <w:t xml:space="preserve">The </w:t>
      </w:r>
      <w:r w:rsidR="00A234AC">
        <w:rPr>
          <w:rFonts w:cs="Arial"/>
          <w:sz w:val="24"/>
          <w:szCs w:val="24"/>
          <w:lang w:val="en-GB"/>
        </w:rPr>
        <w:t>purpose</w:t>
      </w:r>
      <w:r>
        <w:rPr>
          <w:rFonts w:cs="Arial"/>
          <w:sz w:val="24"/>
          <w:szCs w:val="24"/>
          <w:lang w:val="en-GB"/>
        </w:rPr>
        <w:t xml:space="preserve"> of this article is to examine the reasons why immigrants’ housing </w:t>
      </w:r>
      <w:r w:rsidRPr="005151D7">
        <w:rPr>
          <w:rFonts w:cs="Arial"/>
          <w:sz w:val="24"/>
          <w:szCs w:val="24"/>
          <w:lang w:val="en-GB"/>
        </w:rPr>
        <w:t>position</w:t>
      </w:r>
      <w:r>
        <w:rPr>
          <w:rFonts w:cs="Arial"/>
          <w:sz w:val="24"/>
          <w:szCs w:val="24"/>
          <w:lang w:val="en-GB"/>
        </w:rPr>
        <w:t xml:space="preserve"> </w:t>
      </w:r>
      <w:r w:rsidR="008A0689">
        <w:rPr>
          <w:rFonts w:cs="Arial"/>
          <w:sz w:val="24"/>
          <w:szCs w:val="24"/>
          <w:lang w:val="en-GB"/>
        </w:rPr>
        <w:t>differs</w:t>
      </w:r>
      <w:r>
        <w:rPr>
          <w:rFonts w:cs="Arial"/>
          <w:sz w:val="24"/>
          <w:szCs w:val="24"/>
          <w:lang w:val="en-GB"/>
        </w:rPr>
        <w:t xml:space="preserve"> so </w:t>
      </w:r>
      <w:r w:rsidR="00C246F4">
        <w:rPr>
          <w:rFonts w:cs="Arial"/>
          <w:sz w:val="24"/>
          <w:szCs w:val="24"/>
          <w:lang w:val="en-GB"/>
        </w:rPr>
        <w:t xml:space="preserve">much </w:t>
      </w:r>
      <w:r>
        <w:rPr>
          <w:rFonts w:cs="Arial"/>
          <w:sz w:val="24"/>
          <w:szCs w:val="24"/>
          <w:lang w:val="en-GB"/>
        </w:rPr>
        <w:t>between four countries</w:t>
      </w:r>
      <w:r w:rsidR="00C246F4">
        <w:rPr>
          <w:rFonts w:cs="Arial"/>
          <w:sz w:val="24"/>
          <w:szCs w:val="24"/>
          <w:lang w:val="en-GB"/>
        </w:rPr>
        <w:t xml:space="preserve"> that</w:t>
      </w:r>
      <w:r>
        <w:rPr>
          <w:rFonts w:cs="Arial"/>
          <w:sz w:val="24"/>
          <w:szCs w:val="24"/>
          <w:lang w:val="en-GB"/>
        </w:rPr>
        <w:t xml:space="preserve"> </w:t>
      </w:r>
      <w:r w:rsidR="00C246F4">
        <w:rPr>
          <w:rFonts w:cs="Arial"/>
          <w:sz w:val="24"/>
          <w:szCs w:val="24"/>
          <w:lang w:val="en-GB"/>
        </w:rPr>
        <w:t xml:space="preserve">are </w:t>
      </w:r>
      <w:r>
        <w:rPr>
          <w:rFonts w:cs="Arial"/>
          <w:sz w:val="24"/>
          <w:szCs w:val="24"/>
          <w:lang w:val="en-GB"/>
        </w:rPr>
        <w:t>in many ways quite alike</w:t>
      </w:r>
      <w:r w:rsidR="00B954E8">
        <w:rPr>
          <w:rFonts w:cs="Arial"/>
          <w:sz w:val="24"/>
          <w:szCs w:val="24"/>
          <w:lang w:val="en-GB"/>
        </w:rPr>
        <w:t>, and what c</w:t>
      </w:r>
      <w:r w:rsidR="00C246F4">
        <w:rPr>
          <w:rFonts w:cs="Arial"/>
          <w:sz w:val="24"/>
          <w:szCs w:val="24"/>
          <w:lang w:val="en-GB"/>
        </w:rPr>
        <w:t>an</w:t>
      </w:r>
      <w:r w:rsidR="00B954E8">
        <w:rPr>
          <w:rFonts w:cs="Arial"/>
          <w:sz w:val="24"/>
          <w:szCs w:val="24"/>
          <w:lang w:val="en-GB"/>
        </w:rPr>
        <w:t xml:space="preserve"> be learned from </w:t>
      </w:r>
      <w:r w:rsidR="00B954E8" w:rsidRPr="005151D7">
        <w:rPr>
          <w:rFonts w:cs="Arial"/>
          <w:sz w:val="24"/>
          <w:szCs w:val="24"/>
          <w:lang w:val="en-GB"/>
        </w:rPr>
        <w:t>this</w:t>
      </w:r>
      <w:r w:rsidR="00A234AC">
        <w:rPr>
          <w:rFonts w:cs="Arial"/>
          <w:sz w:val="24"/>
          <w:szCs w:val="24"/>
          <w:lang w:val="en-GB"/>
        </w:rPr>
        <w:t xml:space="preserve"> </w:t>
      </w:r>
      <w:r w:rsidR="0011480D">
        <w:rPr>
          <w:rFonts w:cs="Arial"/>
          <w:sz w:val="24"/>
          <w:szCs w:val="24"/>
          <w:lang w:val="en-GB"/>
        </w:rPr>
        <w:t>about</w:t>
      </w:r>
      <w:r w:rsidR="00A234AC">
        <w:rPr>
          <w:rFonts w:cs="Arial"/>
          <w:sz w:val="24"/>
          <w:szCs w:val="24"/>
          <w:lang w:val="en-GB"/>
        </w:rPr>
        <w:t xml:space="preserve"> the effects of housing policy on immigrants’ housing options</w:t>
      </w:r>
      <w:r w:rsidR="00BE2081">
        <w:rPr>
          <w:rFonts w:cs="Arial"/>
          <w:sz w:val="24"/>
          <w:szCs w:val="24"/>
          <w:lang w:val="en-GB"/>
        </w:rPr>
        <w:t>.</w:t>
      </w:r>
      <w:r w:rsidR="00A234AC">
        <w:rPr>
          <w:rFonts w:cs="Arial"/>
          <w:sz w:val="24"/>
          <w:szCs w:val="24"/>
          <w:lang w:val="en-GB"/>
        </w:rPr>
        <w:t xml:space="preserve"> </w:t>
      </w:r>
    </w:p>
    <w:p w:rsidR="00A234AC" w:rsidRDefault="00A234AC" w:rsidP="008D2C7D">
      <w:pPr>
        <w:rPr>
          <w:rFonts w:cs="Arial"/>
          <w:sz w:val="24"/>
          <w:szCs w:val="24"/>
          <w:lang w:val="en-GB"/>
        </w:rPr>
      </w:pPr>
    </w:p>
    <w:p w:rsidR="00A234AC" w:rsidRDefault="00051388" w:rsidP="00A234AC">
      <w:pPr>
        <w:rPr>
          <w:rFonts w:cs="Arial"/>
          <w:sz w:val="24"/>
          <w:szCs w:val="24"/>
          <w:lang w:val="en-GB"/>
        </w:rPr>
      </w:pPr>
      <w:r>
        <w:rPr>
          <w:rFonts w:cs="Arial"/>
          <w:sz w:val="24"/>
          <w:szCs w:val="24"/>
          <w:lang w:val="en-GB"/>
        </w:rPr>
        <w:t xml:space="preserve">Differences </w:t>
      </w:r>
      <w:r w:rsidR="00A234AC">
        <w:rPr>
          <w:rFonts w:cs="Arial"/>
          <w:sz w:val="24"/>
          <w:szCs w:val="24"/>
          <w:lang w:val="en-GB"/>
        </w:rPr>
        <w:t>between different countries concerning</w:t>
      </w:r>
      <w:r>
        <w:rPr>
          <w:rFonts w:cs="Arial"/>
          <w:sz w:val="24"/>
          <w:szCs w:val="24"/>
          <w:lang w:val="en-GB"/>
        </w:rPr>
        <w:t xml:space="preserve"> </w:t>
      </w:r>
      <w:r w:rsidR="00A234AC">
        <w:rPr>
          <w:rFonts w:cs="Arial"/>
          <w:sz w:val="24"/>
          <w:szCs w:val="24"/>
          <w:lang w:val="en-GB"/>
        </w:rPr>
        <w:t xml:space="preserve">immigrants’ </w:t>
      </w:r>
      <w:r w:rsidR="00B954E8">
        <w:rPr>
          <w:rFonts w:cs="Arial"/>
          <w:sz w:val="24"/>
          <w:szCs w:val="24"/>
          <w:lang w:val="en-GB"/>
        </w:rPr>
        <w:t xml:space="preserve">housing conditions </w:t>
      </w:r>
      <w:r w:rsidR="00F05173">
        <w:rPr>
          <w:rFonts w:cs="Arial"/>
          <w:sz w:val="24"/>
          <w:szCs w:val="24"/>
          <w:lang w:val="en-GB"/>
        </w:rPr>
        <w:t xml:space="preserve">can </w:t>
      </w:r>
      <w:r w:rsidR="00A234AC">
        <w:rPr>
          <w:rFonts w:cs="Arial"/>
          <w:sz w:val="24"/>
          <w:szCs w:val="24"/>
          <w:lang w:val="en-GB"/>
        </w:rPr>
        <w:t xml:space="preserve">partly </w:t>
      </w:r>
      <w:r w:rsidR="00F05173">
        <w:rPr>
          <w:rFonts w:cs="Arial"/>
          <w:sz w:val="24"/>
          <w:szCs w:val="24"/>
          <w:lang w:val="en-GB"/>
        </w:rPr>
        <w:t xml:space="preserve">be </w:t>
      </w:r>
      <w:r>
        <w:rPr>
          <w:rFonts w:cs="Arial"/>
          <w:sz w:val="24"/>
          <w:szCs w:val="24"/>
          <w:lang w:val="en-GB"/>
        </w:rPr>
        <w:t xml:space="preserve">a result of </w:t>
      </w:r>
      <w:r w:rsidR="00A234AC">
        <w:rPr>
          <w:rFonts w:cs="Arial"/>
          <w:sz w:val="24"/>
          <w:szCs w:val="24"/>
          <w:lang w:val="en-GB"/>
        </w:rPr>
        <w:t xml:space="preserve">general differences in housing supply. We want to </w:t>
      </w:r>
      <w:r w:rsidR="00DC683F">
        <w:rPr>
          <w:rFonts w:cs="Arial"/>
          <w:sz w:val="24"/>
          <w:szCs w:val="24"/>
          <w:lang w:val="en-GB"/>
        </w:rPr>
        <w:t>adjust</w:t>
      </w:r>
      <w:r w:rsidR="008364EB">
        <w:rPr>
          <w:rFonts w:cs="Arial"/>
          <w:sz w:val="24"/>
          <w:szCs w:val="24"/>
          <w:lang w:val="en-GB"/>
        </w:rPr>
        <w:t xml:space="preserve"> </w:t>
      </w:r>
      <w:r w:rsidR="00A234AC">
        <w:rPr>
          <w:rFonts w:cs="Arial"/>
          <w:sz w:val="24"/>
          <w:szCs w:val="24"/>
          <w:lang w:val="en-GB"/>
        </w:rPr>
        <w:t xml:space="preserve">for these differences by comparing </w:t>
      </w:r>
      <w:r w:rsidR="00ED7E9F">
        <w:rPr>
          <w:rFonts w:cs="Arial"/>
          <w:sz w:val="24"/>
          <w:szCs w:val="24"/>
          <w:lang w:val="en-GB"/>
        </w:rPr>
        <w:t xml:space="preserve">immigrants’ housing situation with </w:t>
      </w:r>
      <w:r w:rsidR="0011480D">
        <w:rPr>
          <w:rFonts w:cs="Arial"/>
          <w:sz w:val="24"/>
          <w:szCs w:val="24"/>
          <w:lang w:val="en-GB"/>
        </w:rPr>
        <w:t xml:space="preserve">that of </w:t>
      </w:r>
      <w:r w:rsidR="00ED7E9F">
        <w:rPr>
          <w:rFonts w:cs="Arial"/>
          <w:sz w:val="24"/>
          <w:szCs w:val="24"/>
          <w:lang w:val="en-GB"/>
        </w:rPr>
        <w:t xml:space="preserve">the whole population in the countries as described in the methodological section below. Our object is to </w:t>
      </w:r>
      <w:r w:rsidR="00A234AC">
        <w:rPr>
          <w:rFonts w:cs="Arial"/>
          <w:sz w:val="24"/>
          <w:szCs w:val="24"/>
          <w:lang w:val="en-GB"/>
        </w:rPr>
        <w:t>identify separate elements of housing policy</w:t>
      </w:r>
      <w:r w:rsidR="008364EB">
        <w:rPr>
          <w:rFonts w:cs="Arial"/>
          <w:sz w:val="24"/>
          <w:szCs w:val="24"/>
          <w:lang w:val="en-GB"/>
        </w:rPr>
        <w:t xml:space="preserve"> that</w:t>
      </w:r>
      <w:r w:rsidR="00A234AC">
        <w:rPr>
          <w:rFonts w:cs="Arial"/>
          <w:sz w:val="24"/>
          <w:szCs w:val="24"/>
          <w:lang w:val="en-GB"/>
        </w:rPr>
        <w:t xml:space="preserve"> are of mayor importance for why immigrants’ housing options differ from </w:t>
      </w:r>
      <w:r w:rsidR="008364EB">
        <w:rPr>
          <w:rFonts w:cs="Arial"/>
          <w:sz w:val="24"/>
          <w:szCs w:val="24"/>
          <w:lang w:val="en-GB"/>
        </w:rPr>
        <w:t xml:space="preserve">that of </w:t>
      </w:r>
      <w:r w:rsidR="00A234AC">
        <w:rPr>
          <w:rFonts w:cs="Arial"/>
          <w:sz w:val="24"/>
          <w:szCs w:val="24"/>
          <w:lang w:val="en-GB"/>
        </w:rPr>
        <w:t>the native population.</w:t>
      </w:r>
    </w:p>
    <w:p w:rsidR="0028005F" w:rsidRDefault="0028005F" w:rsidP="008D2C7D">
      <w:pPr>
        <w:rPr>
          <w:rFonts w:cs="Arial"/>
          <w:sz w:val="24"/>
          <w:szCs w:val="24"/>
          <w:lang w:val="en-GB"/>
        </w:rPr>
      </w:pPr>
    </w:p>
    <w:p w:rsidR="00C81166" w:rsidRPr="00E90E6C" w:rsidRDefault="009B116F" w:rsidP="000C6373">
      <w:pPr>
        <w:rPr>
          <w:rFonts w:cs="Arial"/>
          <w:sz w:val="24"/>
          <w:szCs w:val="24"/>
          <w:lang w:val="en-GB"/>
        </w:rPr>
      </w:pPr>
      <w:r w:rsidRPr="00E90E6C">
        <w:rPr>
          <w:rFonts w:cs="Arial"/>
          <w:sz w:val="24"/>
          <w:szCs w:val="24"/>
          <w:lang w:val="en-GB"/>
        </w:rPr>
        <w:t xml:space="preserve">The article is structured in the following way: It </w:t>
      </w:r>
      <w:r w:rsidR="00B87F9B">
        <w:rPr>
          <w:rFonts w:cs="Arial"/>
          <w:sz w:val="24"/>
          <w:szCs w:val="24"/>
          <w:lang w:val="en-GB"/>
        </w:rPr>
        <w:t>begins with</w:t>
      </w:r>
      <w:r w:rsidRPr="00E90E6C">
        <w:rPr>
          <w:rFonts w:cs="Arial"/>
          <w:sz w:val="24"/>
          <w:szCs w:val="24"/>
          <w:lang w:val="en-GB"/>
        </w:rPr>
        <w:t xml:space="preserve"> by a general discussion and literature review on determinants of housing preferences, options and choices of immigrants. </w:t>
      </w:r>
      <w:r w:rsidR="00B954E8" w:rsidRPr="00E90E6C">
        <w:rPr>
          <w:rFonts w:cs="Arial"/>
          <w:sz w:val="24"/>
          <w:szCs w:val="24"/>
          <w:lang w:val="en-GB"/>
        </w:rPr>
        <w:t xml:space="preserve">Then there is a methodological and research design section. </w:t>
      </w:r>
      <w:r w:rsidRPr="00E90E6C">
        <w:rPr>
          <w:rFonts w:cs="Arial"/>
          <w:sz w:val="24"/>
          <w:szCs w:val="24"/>
          <w:lang w:val="en-GB"/>
        </w:rPr>
        <w:t xml:space="preserve">The comparison of the </w:t>
      </w:r>
      <w:r w:rsidR="00B87F9B">
        <w:rPr>
          <w:rFonts w:cs="Arial"/>
          <w:sz w:val="24"/>
          <w:szCs w:val="24"/>
          <w:lang w:val="en-GB"/>
        </w:rPr>
        <w:t xml:space="preserve">four </w:t>
      </w:r>
      <w:r w:rsidRPr="00E90E6C">
        <w:rPr>
          <w:rFonts w:cs="Arial"/>
          <w:sz w:val="24"/>
          <w:szCs w:val="24"/>
          <w:lang w:val="en-GB"/>
        </w:rPr>
        <w:t>Nordic countries starts with a description of immigration</w:t>
      </w:r>
      <w:r w:rsidR="00E90E6C">
        <w:rPr>
          <w:rFonts w:cs="Arial"/>
          <w:sz w:val="24"/>
          <w:szCs w:val="24"/>
          <w:lang w:val="en-GB"/>
        </w:rPr>
        <w:t xml:space="preserve"> to the countries</w:t>
      </w:r>
      <w:r w:rsidRPr="00E90E6C">
        <w:rPr>
          <w:rFonts w:cs="Arial"/>
          <w:sz w:val="24"/>
          <w:szCs w:val="24"/>
          <w:lang w:val="en-GB"/>
        </w:rPr>
        <w:t xml:space="preserve">, followed by </w:t>
      </w:r>
      <w:r w:rsidR="00ED7E9F" w:rsidRPr="00E90E6C">
        <w:rPr>
          <w:rFonts w:cs="Arial"/>
          <w:sz w:val="24"/>
          <w:szCs w:val="24"/>
          <w:lang w:val="en-GB"/>
        </w:rPr>
        <w:t xml:space="preserve">a comparison of </w:t>
      </w:r>
      <w:r w:rsidRPr="00E90E6C">
        <w:rPr>
          <w:rFonts w:cs="Arial"/>
          <w:sz w:val="24"/>
          <w:szCs w:val="24"/>
          <w:lang w:val="en-GB"/>
        </w:rPr>
        <w:t xml:space="preserve">housing policies and housing markets. </w:t>
      </w:r>
      <w:proofErr w:type="gramStart"/>
      <w:r w:rsidR="00B87F9B">
        <w:rPr>
          <w:rFonts w:cs="Arial"/>
          <w:sz w:val="24"/>
          <w:szCs w:val="24"/>
          <w:lang w:val="en-GB"/>
        </w:rPr>
        <w:t xml:space="preserve">Next </w:t>
      </w:r>
      <w:r w:rsidRPr="00E90E6C">
        <w:rPr>
          <w:rFonts w:cs="Arial"/>
          <w:sz w:val="24"/>
          <w:szCs w:val="24"/>
          <w:lang w:val="en-GB"/>
        </w:rPr>
        <w:t xml:space="preserve"> housing</w:t>
      </w:r>
      <w:proofErr w:type="gramEnd"/>
      <w:r w:rsidRPr="00E90E6C">
        <w:rPr>
          <w:rFonts w:cs="Arial"/>
          <w:sz w:val="24"/>
          <w:szCs w:val="24"/>
          <w:lang w:val="en-GB"/>
        </w:rPr>
        <w:t xml:space="preserve"> affordability in the countries is evaluated</w:t>
      </w:r>
      <w:r w:rsidR="00E90E6C" w:rsidRPr="00E90E6C">
        <w:rPr>
          <w:rFonts w:cs="Arial"/>
          <w:sz w:val="24"/>
          <w:szCs w:val="24"/>
          <w:lang w:val="en-GB"/>
        </w:rPr>
        <w:t xml:space="preserve"> and</w:t>
      </w:r>
      <w:r w:rsidRPr="00E90E6C">
        <w:rPr>
          <w:rFonts w:cs="Arial"/>
          <w:sz w:val="24"/>
          <w:szCs w:val="24"/>
          <w:lang w:val="en-GB"/>
        </w:rPr>
        <w:t xml:space="preserve"> the housing inequality between income groups is </w:t>
      </w:r>
      <w:r w:rsidR="00CE3D2D" w:rsidRPr="00661B7C">
        <w:rPr>
          <w:rFonts w:cs="Arial"/>
          <w:sz w:val="24"/>
          <w:szCs w:val="24"/>
          <w:lang w:val="en-GB"/>
        </w:rPr>
        <w:t>clarified</w:t>
      </w:r>
      <w:r w:rsidRPr="00E90E6C">
        <w:rPr>
          <w:rFonts w:cs="Arial"/>
          <w:sz w:val="24"/>
          <w:szCs w:val="24"/>
          <w:lang w:val="en-GB"/>
        </w:rPr>
        <w:t xml:space="preserve">. </w:t>
      </w:r>
      <w:r w:rsidR="00E90E6C" w:rsidRPr="00E90E6C">
        <w:rPr>
          <w:rFonts w:cs="Arial"/>
          <w:sz w:val="24"/>
          <w:szCs w:val="24"/>
          <w:lang w:val="en-GB"/>
        </w:rPr>
        <w:t xml:space="preserve">The housing options for immigrants </w:t>
      </w:r>
      <w:r w:rsidR="00CE3D2D">
        <w:rPr>
          <w:rFonts w:cs="Arial"/>
          <w:sz w:val="24"/>
          <w:szCs w:val="24"/>
          <w:lang w:val="en-GB"/>
        </w:rPr>
        <w:t>are</w:t>
      </w:r>
      <w:r w:rsidR="00E90E6C" w:rsidRPr="00E90E6C">
        <w:rPr>
          <w:rFonts w:cs="Arial"/>
          <w:sz w:val="24"/>
          <w:szCs w:val="24"/>
          <w:lang w:val="en-GB"/>
        </w:rPr>
        <w:t xml:space="preserve"> examined by </w:t>
      </w:r>
      <w:r w:rsidR="00E90E6C" w:rsidRPr="00661B7C">
        <w:rPr>
          <w:rFonts w:cs="Arial"/>
          <w:sz w:val="24"/>
          <w:szCs w:val="24"/>
          <w:lang w:val="en-GB"/>
        </w:rPr>
        <w:t xml:space="preserve">making an </w:t>
      </w:r>
      <w:r w:rsidR="00CE3D2D">
        <w:rPr>
          <w:rFonts w:cs="Arial"/>
          <w:sz w:val="24"/>
          <w:szCs w:val="24"/>
          <w:lang w:val="en-GB"/>
        </w:rPr>
        <w:t xml:space="preserve">assessing </w:t>
      </w:r>
      <w:r w:rsidR="00E90E6C" w:rsidRPr="00E90E6C">
        <w:rPr>
          <w:rFonts w:cs="Arial"/>
          <w:sz w:val="24"/>
          <w:szCs w:val="24"/>
          <w:lang w:val="en-GB"/>
        </w:rPr>
        <w:t xml:space="preserve">immigrants’ access to different tenures and by an analysis of </w:t>
      </w:r>
      <w:r w:rsidR="00ED7E9F" w:rsidRPr="00E90E6C">
        <w:rPr>
          <w:rFonts w:cs="Arial"/>
          <w:sz w:val="24"/>
          <w:szCs w:val="24"/>
          <w:lang w:val="en-GB"/>
        </w:rPr>
        <w:t xml:space="preserve">differences in </w:t>
      </w:r>
      <w:r w:rsidR="00E90E6C" w:rsidRPr="00E90E6C">
        <w:rPr>
          <w:rFonts w:cs="Arial"/>
          <w:sz w:val="24"/>
          <w:szCs w:val="24"/>
          <w:lang w:val="en-GB"/>
        </w:rPr>
        <w:t xml:space="preserve">the </w:t>
      </w:r>
      <w:r w:rsidR="00ED7E9F" w:rsidRPr="00E90E6C">
        <w:rPr>
          <w:rFonts w:cs="Arial"/>
          <w:sz w:val="24"/>
          <w:szCs w:val="24"/>
          <w:lang w:val="en-GB"/>
        </w:rPr>
        <w:t xml:space="preserve">housing </w:t>
      </w:r>
      <w:r w:rsidR="00ED7E9F" w:rsidRPr="00781DE7">
        <w:rPr>
          <w:rFonts w:cs="Arial"/>
          <w:sz w:val="24"/>
          <w:szCs w:val="24"/>
          <w:lang w:val="en-GB"/>
        </w:rPr>
        <w:t>situation</w:t>
      </w:r>
      <w:r w:rsidR="00ED7E9F" w:rsidRPr="00E90E6C">
        <w:rPr>
          <w:rFonts w:cs="Arial"/>
          <w:sz w:val="24"/>
          <w:szCs w:val="24"/>
          <w:lang w:val="en-GB"/>
        </w:rPr>
        <w:t xml:space="preserve"> among the immigrant population compared </w:t>
      </w:r>
      <w:r w:rsidR="00CE3D2D">
        <w:rPr>
          <w:rFonts w:cs="Arial"/>
          <w:sz w:val="24"/>
          <w:szCs w:val="24"/>
          <w:lang w:val="en-GB"/>
        </w:rPr>
        <w:t>with that of</w:t>
      </w:r>
      <w:r w:rsidR="00ED7E9F" w:rsidRPr="00E90E6C">
        <w:rPr>
          <w:rFonts w:cs="Arial"/>
          <w:sz w:val="24"/>
          <w:szCs w:val="24"/>
          <w:lang w:val="en-GB"/>
        </w:rPr>
        <w:t xml:space="preserve"> the whole population, measured by tenure position on the housing market and overcrowding. </w:t>
      </w:r>
      <w:r w:rsidRPr="00E90E6C">
        <w:rPr>
          <w:rFonts w:cs="Arial"/>
          <w:sz w:val="24"/>
          <w:szCs w:val="24"/>
          <w:lang w:val="en-GB"/>
        </w:rPr>
        <w:t>In the last section</w:t>
      </w:r>
      <w:r w:rsidR="00CE3D2D">
        <w:rPr>
          <w:rFonts w:cs="Arial"/>
          <w:sz w:val="24"/>
          <w:szCs w:val="24"/>
          <w:lang w:val="en-GB"/>
        </w:rPr>
        <w:t>,</w:t>
      </w:r>
      <w:r w:rsidRPr="00E90E6C">
        <w:rPr>
          <w:rFonts w:cs="Arial"/>
          <w:sz w:val="24"/>
          <w:szCs w:val="24"/>
          <w:lang w:val="en-GB"/>
        </w:rPr>
        <w:t xml:space="preserve"> we analyse to what extent differences in housing policies can explain the different positions of immigrants on the housing markets. We </w:t>
      </w:r>
      <w:r w:rsidRPr="005151D7">
        <w:rPr>
          <w:rFonts w:cs="Arial"/>
          <w:sz w:val="24"/>
          <w:szCs w:val="24"/>
          <w:lang w:val="en-GB"/>
        </w:rPr>
        <w:t>draw</w:t>
      </w:r>
      <w:r w:rsidRPr="00E90E6C">
        <w:rPr>
          <w:rFonts w:cs="Arial"/>
          <w:sz w:val="24"/>
          <w:szCs w:val="24"/>
          <w:lang w:val="en-GB"/>
        </w:rPr>
        <w:t xml:space="preserve"> some conclusions </w:t>
      </w:r>
      <w:r w:rsidR="00025180" w:rsidRPr="005151D7">
        <w:rPr>
          <w:rFonts w:cs="Arial"/>
          <w:sz w:val="24"/>
          <w:szCs w:val="24"/>
          <w:lang w:val="en-GB"/>
        </w:rPr>
        <w:t>regarding</w:t>
      </w:r>
      <w:r w:rsidRPr="00E90E6C">
        <w:rPr>
          <w:rFonts w:cs="Arial"/>
          <w:sz w:val="24"/>
          <w:szCs w:val="24"/>
          <w:lang w:val="en-GB"/>
        </w:rPr>
        <w:t xml:space="preserve"> the special importance of different elements of housing policy for the housing situation of the immigrant population.</w:t>
      </w:r>
    </w:p>
    <w:p w:rsidR="00C81166" w:rsidRDefault="009B116F" w:rsidP="008D3113">
      <w:pPr>
        <w:pStyle w:val="Overskrift3"/>
        <w:rPr>
          <w:lang w:val="en-GB"/>
        </w:rPr>
      </w:pPr>
      <w:r>
        <w:rPr>
          <w:lang w:val="en-GB"/>
        </w:rPr>
        <w:t xml:space="preserve">Literature on </w:t>
      </w:r>
      <w:r w:rsidR="0011480D">
        <w:rPr>
          <w:lang w:val="en-GB"/>
        </w:rPr>
        <w:t xml:space="preserve">the </w:t>
      </w:r>
      <w:r>
        <w:rPr>
          <w:lang w:val="en-GB"/>
        </w:rPr>
        <w:t>determinant of</w:t>
      </w:r>
      <w:r w:rsidR="00BE2081">
        <w:rPr>
          <w:lang w:val="en-GB"/>
        </w:rPr>
        <w:t xml:space="preserve"> i</w:t>
      </w:r>
      <w:r w:rsidR="00C81166">
        <w:rPr>
          <w:lang w:val="en-GB"/>
        </w:rPr>
        <w:t>mmigran</w:t>
      </w:r>
      <w:r w:rsidR="00E90E6C">
        <w:rPr>
          <w:lang w:val="en-GB"/>
        </w:rPr>
        <w:t>ts’ housing choices and options</w:t>
      </w:r>
    </w:p>
    <w:p w:rsidR="0018676A" w:rsidRDefault="0018676A" w:rsidP="0018676A">
      <w:pPr>
        <w:rPr>
          <w:sz w:val="24"/>
          <w:lang w:val="sv-SE"/>
        </w:rPr>
      </w:pPr>
      <w:r>
        <w:rPr>
          <w:rFonts w:cs="Arial"/>
          <w:sz w:val="24"/>
          <w:szCs w:val="24"/>
          <w:lang w:val="en-GB"/>
        </w:rPr>
        <w:t>I</w:t>
      </w:r>
      <w:r w:rsidRPr="00D96A82">
        <w:rPr>
          <w:rFonts w:cs="Arial"/>
          <w:sz w:val="24"/>
          <w:szCs w:val="24"/>
          <w:lang w:val="en-GB"/>
        </w:rPr>
        <w:t>n European countries</w:t>
      </w:r>
      <w:r>
        <w:rPr>
          <w:rFonts w:cs="Arial"/>
          <w:sz w:val="24"/>
          <w:szCs w:val="24"/>
          <w:lang w:val="en-GB"/>
        </w:rPr>
        <w:t>,</w:t>
      </w:r>
      <w:r w:rsidRPr="00D96A82">
        <w:rPr>
          <w:rFonts w:cs="Arial"/>
          <w:sz w:val="24"/>
          <w:szCs w:val="24"/>
          <w:lang w:val="en-GB"/>
        </w:rPr>
        <w:t xml:space="preserve"> </w:t>
      </w:r>
      <w:r>
        <w:rPr>
          <w:rFonts w:cs="Arial"/>
          <w:sz w:val="24"/>
          <w:szCs w:val="24"/>
          <w:lang w:val="en-GB"/>
        </w:rPr>
        <w:t>h</w:t>
      </w:r>
      <w:r w:rsidRPr="00D96A82">
        <w:rPr>
          <w:rFonts w:cs="Arial"/>
          <w:sz w:val="24"/>
          <w:szCs w:val="24"/>
          <w:lang w:val="en-GB"/>
        </w:rPr>
        <w:t>ousing preferences and housing choice</w:t>
      </w:r>
      <w:r>
        <w:rPr>
          <w:rFonts w:cs="Arial"/>
          <w:sz w:val="24"/>
          <w:szCs w:val="24"/>
          <w:lang w:val="en-GB"/>
        </w:rPr>
        <w:t>s</w:t>
      </w:r>
      <w:r w:rsidRPr="00D96A82">
        <w:rPr>
          <w:rFonts w:cs="Arial"/>
          <w:sz w:val="24"/>
          <w:szCs w:val="24"/>
          <w:lang w:val="en-GB"/>
        </w:rPr>
        <w:t xml:space="preserve"> of ethnic minorities can to a great extent be expected to have the same explanations as those </w:t>
      </w:r>
      <w:r w:rsidR="00DD26BA">
        <w:rPr>
          <w:rFonts w:cs="Arial"/>
          <w:sz w:val="24"/>
          <w:szCs w:val="24"/>
          <w:lang w:val="en-GB"/>
        </w:rPr>
        <w:t>of</w:t>
      </w:r>
      <w:r w:rsidRPr="00D96A82">
        <w:rPr>
          <w:rFonts w:cs="Arial"/>
          <w:sz w:val="24"/>
          <w:szCs w:val="24"/>
          <w:lang w:val="en-GB"/>
        </w:rPr>
        <w:t xml:space="preserve"> other citizens. That is, they depend on family situation, economic resources and local housing market possibilities</w:t>
      </w:r>
      <w:r>
        <w:rPr>
          <w:rFonts w:cs="Arial"/>
          <w:sz w:val="24"/>
          <w:szCs w:val="24"/>
          <w:lang w:val="en-GB"/>
        </w:rPr>
        <w:t xml:space="preserve">. </w:t>
      </w:r>
      <w:r w:rsidRPr="00F82DAF">
        <w:rPr>
          <w:rFonts w:cs="Arial"/>
          <w:sz w:val="24"/>
          <w:szCs w:val="24"/>
          <w:lang w:val="en-GB"/>
        </w:rPr>
        <w:t xml:space="preserve"> </w:t>
      </w:r>
      <w:r>
        <w:rPr>
          <w:rFonts w:cs="Arial"/>
          <w:sz w:val="24"/>
          <w:szCs w:val="24"/>
          <w:lang w:val="en-GB"/>
        </w:rPr>
        <w:t>Unlike</w:t>
      </w:r>
      <w:r w:rsidRPr="00415235">
        <w:rPr>
          <w:rFonts w:cs="Arial"/>
          <w:sz w:val="24"/>
          <w:szCs w:val="24"/>
          <w:lang w:val="en-GB"/>
        </w:rPr>
        <w:t xml:space="preserve"> </w:t>
      </w:r>
      <w:r w:rsidRPr="00F64292">
        <w:rPr>
          <w:rFonts w:cs="Arial"/>
          <w:sz w:val="24"/>
          <w:szCs w:val="24"/>
          <w:lang w:val="en-GB"/>
        </w:rPr>
        <w:t>the natives,</w:t>
      </w:r>
      <w:r>
        <w:rPr>
          <w:rFonts w:cs="Arial"/>
          <w:sz w:val="24"/>
          <w:szCs w:val="24"/>
          <w:lang w:val="en-GB"/>
        </w:rPr>
        <w:t xml:space="preserve"> immigrants’ housing preferences also depend on perceptions of where to live in the future and transnational relations.</w:t>
      </w:r>
      <w:r w:rsidRPr="00D96A82">
        <w:rPr>
          <w:rFonts w:cs="Arial"/>
          <w:sz w:val="24"/>
          <w:szCs w:val="24"/>
          <w:lang w:val="en-GB"/>
        </w:rPr>
        <w:t xml:space="preserve"> </w:t>
      </w:r>
      <w:r>
        <w:rPr>
          <w:rFonts w:cs="Arial"/>
          <w:sz w:val="24"/>
          <w:szCs w:val="24"/>
          <w:lang w:val="en-GB"/>
        </w:rPr>
        <w:t>Regardless of reasons, e</w:t>
      </w:r>
      <w:r w:rsidRPr="00D96A82">
        <w:rPr>
          <w:rFonts w:cs="Arial"/>
          <w:sz w:val="24"/>
          <w:szCs w:val="24"/>
          <w:lang w:val="en-GB"/>
        </w:rPr>
        <w:t xml:space="preserve">vidence shows that the housing situation </w:t>
      </w:r>
      <w:r w:rsidR="00DD26BA">
        <w:rPr>
          <w:rFonts w:cs="Arial"/>
          <w:sz w:val="24"/>
          <w:szCs w:val="24"/>
          <w:lang w:val="en-GB"/>
        </w:rPr>
        <w:t>of</w:t>
      </w:r>
      <w:r w:rsidRPr="00D96A82">
        <w:rPr>
          <w:rFonts w:cs="Arial"/>
          <w:sz w:val="24"/>
          <w:szCs w:val="24"/>
          <w:lang w:val="en-GB"/>
        </w:rPr>
        <w:t xml:space="preserve"> ethnic minorities in most countries diverges much from that of the </w:t>
      </w:r>
      <w:r w:rsidRPr="00F64292">
        <w:rPr>
          <w:rFonts w:cs="Arial"/>
          <w:sz w:val="24"/>
          <w:szCs w:val="24"/>
          <w:lang w:val="en-GB"/>
        </w:rPr>
        <w:t>native populatio</w:t>
      </w:r>
      <w:r w:rsidRPr="00D96A82">
        <w:rPr>
          <w:rFonts w:cs="Arial"/>
          <w:sz w:val="24"/>
          <w:szCs w:val="24"/>
          <w:lang w:val="en-GB"/>
        </w:rPr>
        <w:t>n (se</w:t>
      </w:r>
      <w:r>
        <w:rPr>
          <w:rFonts w:cs="Arial"/>
          <w:sz w:val="24"/>
          <w:szCs w:val="24"/>
          <w:lang w:val="en-GB"/>
        </w:rPr>
        <w:t>e</w:t>
      </w:r>
      <w:r w:rsidRPr="00D96A82">
        <w:rPr>
          <w:rFonts w:cs="Arial"/>
          <w:sz w:val="24"/>
          <w:szCs w:val="24"/>
          <w:lang w:val="en-GB"/>
        </w:rPr>
        <w:t xml:space="preserve"> for example </w:t>
      </w:r>
      <w:proofErr w:type="spellStart"/>
      <w:r w:rsidRPr="00D96A82">
        <w:rPr>
          <w:rFonts w:cs="Arial"/>
          <w:sz w:val="24"/>
          <w:szCs w:val="24"/>
          <w:lang w:val="en-GB"/>
        </w:rPr>
        <w:t>Musterd</w:t>
      </w:r>
      <w:proofErr w:type="spellEnd"/>
      <w:r w:rsidRPr="00D96A82">
        <w:rPr>
          <w:rFonts w:cs="Arial"/>
          <w:sz w:val="24"/>
          <w:szCs w:val="24"/>
          <w:lang w:val="en-GB"/>
        </w:rPr>
        <w:t xml:space="preserve"> 2005, Johnston et </w:t>
      </w:r>
      <w:r w:rsidRPr="00880D6C">
        <w:rPr>
          <w:rFonts w:cs="Arial"/>
          <w:sz w:val="24"/>
          <w:szCs w:val="24"/>
          <w:lang w:val="en-GB"/>
        </w:rPr>
        <w:t xml:space="preserve">al. 2002, Finney 2002, </w:t>
      </w:r>
      <w:proofErr w:type="spellStart"/>
      <w:r w:rsidRPr="00880D6C">
        <w:rPr>
          <w:rFonts w:cs="Arial"/>
          <w:sz w:val="24"/>
          <w:szCs w:val="24"/>
          <w:lang w:val="en-GB"/>
        </w:rPr>
        <w:t>Blom</w:t>
      </w:r>
      <w:proofErr w:type="spellEnd"/>
      <w:r w:rsidRPr="00880D6C">
        <w:rPr>
          <w:rFonts w:cs="Arial"/>
          <w:sz w:val="24"/>
          <w:szCs w:val="24"/>
          <w:lang w:val="en-GB"/>
        </w:rPr>
        <w:t xml:space="preserve"> and </w:t>
      </w:r>
      <w:proofErr w:type="spellStart"/>
      <w:r w:rsidRPr="00880D6C">
        <w:rPr>
          <w:rFonts w:cs="Arial"/>
          <w:sz w:val="24"/>
          <w:szCs w:val="24"/>
          <w:lang w:val="en-GB"/>
        </w:rPr>
        <w:t>Henriksen</w:t>
      </w:r>
      <w:proofErr w:type="spellEnd"/>
      <w:r w:rsidRPr="00880D6C">
        <w:rPr>
          <w:rFonts w:cs="Arial"/>
          <w:sz w:val="24"/>
          <w:szCs w:val="24"/>
          <w:lang w:val="en-GB"/>
        </w:rPr>
        <w:t xml:space="preserve"> 2008, Fong and Chan 2010. Skifter Andersen 2012). </w:t>
      </w:r>
      <w:r w:rsidRPr="009151E9">
        <w:rPr>
          <w:sz w:val="24"/>
          <w:lang w:val="en-GB"/>
        </w:rPr>
        <w:t>These differences cannot be fully explained by lower incomes among immigrants</w:t>
      </w:r>
      <w:r>
        <w:rPr>
          <w:sz w:val="24"/>
          <w:lang w:val="en-GB"/>
        </w:rPr>
        <w:t>.</w:t>
      </w:r>
      <w:r w:rsidRPr="009151E9">
        <w:rPr>
          <w:rFonts w:cs="Arial"/>
          <w:sz w:val="24"/>
          <w:szCs w:val="24"/>
          <w:lang w:val="en-GB"/>
        </w:rPr>
        <w:t xml:space="preserve"> </w:t>
      </w:r>
    </w:p>
    <w:p w:rsidR="0018676A" w:rsidRPr="00CD1CBB" w:rsidRDefault="0018676A" w:rsidP="0018676A">
      <w:pPr>
        <w:rPr>
          <w:sz w:val="24"/>
          <w:lang w:val="sv-SE"/>
        </w:rPr>
      </w:pPr>
    </w:p>
    <w:p w:rsidR="0018676A" w:rsidRPr="00D96A82" w:rsidRDefault="0018676A" w:rsidP="0018676A">
      <w:pPr>
        <w:rPr>
          <w:rFonts w:cs="Arial"/>
          <w:sz w:val="24"/>
          <w:szCs w:val="24"/>
          <w:lang w:val="en-GB"/>
        </w:rPr>
      </w:pPr>
      <w:r w:rsidRPr="00D96A82">
        <w:rPr>
          <w:rFonts w:cs="Arial"/>
          <w:sz w:val="24"/>
          <w:szCs w:val="24"/>
          <w:lang w:val="en-GB"/>
        </w:rPr>
        <w:t xml:space="preserve">Some studies explain the housing situation of ethnic minorities primarily </w:t>
      </w:r>
      <w:r w:rsidRPr="00415235">
        <w:rPr>
          <w:rFonts w:cs="Arial"/>
          <w:sz w:val="24"/>
          <w:szCs w:val="24"/>
          <w:lang w:val="en-GB"/>
        </w:rPr>
        <w:t>by</w:t>
      </w:r>
      <w:r w:rsidRPr="00D96A82">
        <w:rPr>
          <w:rFonts w:cs="Arial"/>
          <w:sz w:val="24"/>
          <w:szCs w:val="24"/>
          <w:lang w:val="en-GB"/>
        </w:rPr>
        <w:t xml:space="preserve"> </w:t>
      </w:r>
      <w:r>
        <w:rPr>
          <w:rFonts w:cs="Arial"/>
          <w:sz w:val="24"/>
          <w:szCs w:val="24"/>
          <w:lang w:val="en-GB"/>
        </w:rPr>
        <w:t xml:space="preserve">their </w:t>
      </w:r>
      <w:r w:rsidRPr="00D96A82">
        <w:rPr>
          <w:rFonts w:cs="Arial"/>
          <w:sz w:val="24"/>
          <w:szCs w:val="24"/>
          <w:lang w:val="en-GB"/>
        </w:rPr>
        <w:t xml:space="preserve">lack of resources. Not only economic resources but also cognitive, political and social resources are important (Van </w:t>
      </w:r>
      <w:proofErr w:type="spellStart"/>
      <w:r w:rsidRPr="00D96A82">
        <w:rPr>
          <w:rFonts w:cs="Arial"/>
          <w:sz w:val="24"/>
          <w:szCs w:val="24"/>
          <w:lang w:val="en-GB"/>
        </w:rPr>
        <w:t>Kempen</w:t>
      </w:r>
      <w:proofErr w:type="spellEnd"/>
      <w:r w:rsidRPr="00D96A82">
        <w:rPr>
          <w:rFonts w:cs="Arial"/>
          <w:sz w:val="24"/>
          <w:szCs w:val="24"/>
          <w:lang w:val="en-GB"/>
        </w:rPr>
        <w:t xml:space="preserve"> 2003). It is particularly these non-economic resources</w:t>
      </w:r>
      <w:r>
        <w:rPr>
          <w:rFonts w:cs="Arial"/>
          <w:sz w:val="24"/>
          <w:szCs w:val="24"/>
          <w:lang w:val="en-GB"/>
        </w:rPr>
        <w:t xml:space="preserve"> that</w:t>
      </w:r>
      <w:r w:rsidRPr="00D96A82">
        <w:rPr>
          <w:rFonts w:cs="Arial"/>
          <w:sz w:val="24"/>
          <w:szCs w:val="24"/>
          <w:lang w:val="en-GB"/>
        </w:rPr>
        <w:t xml:space="preserve"> newly arrived ethnic minorities often lack. In parts of the housing market</w:t>
      </w:r>
      <w:r>
        <w:rPr>
          <w:rFonts w:cs="Arial"/>
          <w:sz w:val="24"/>
          <w:szCs w:val="24"/>
          <w:lang w:val="en-GB"/>
        </w:rPr>
        <w:t>,</w:t>
      </w:r>
      <w:r w:rsidRPr="00D96A82">
        <w:rPr>
          <w:rFonts w:cs="Arial"/>
          <w:sz w:val="24"/>
          <w:szCs w:val="24"/>
          <w:lang w:val="en-GB"/>
        </w:rPr>
        <w:t xml:space="preserve"> good contacts to persons or institutions are decisive for access to dwellings. This especially </w:t>
      </w:r>
      <w:r w:rsidRPr="00415235">
        <w:rPr>
          <w:rFonts w:cs="Arial"/>
          <w:sz w:val="24"/>
          <w:szCs w:val="24"/>
          <w:lang w:val="en-GB"/>
        </w:rPr>
        <w:t>concerns</w:t>
      </w:r>
      <w:r w:rsidRPr="00D96A82">
        <w:rPr>
          <w:rFonts w:cs="Arial"/>
          <w:sz w:val="24"/>
          <w:szCs w:val="24"/>
          <w:lang w:val="en-GB"/>
        </w:rPr>
        <w:t xml:space="preserve"> private landlords. It is important to have </w:t>
      </w:r>
      <w:r>
        <w:rPr>
          <w:rFonts w:cs="Arial"/>
          <w:sz w:val="24"/>
          <w:szCs w:val="24"/>
          <w:lang w:val="en-GB"/>
        </w:rPr>
        <w:t>relevant</w:t>
      </w:r>
      <w:r w:rsidRPr="00D96A82">
        <w:rPr>
          <w:rFonts w:cs="Arial"/>
          <w:sz w:val="24"/>
          <w:szCs w:val="24"/>
          <w:lang w:val="en-GB"/>
        </w:rPr>
        <w:t xml:space="preserve"> knowledge o</w:t>
      </w:r>
      <w:r>
        <w:rPr>
          <w:rFonts w:cs="Arial"/>
          <w:sz w:val="24"/>
          <w:szCs w:val="24"/>
          <w:lang w:val="en-GB"/>
        </w:rPr>
        <w:t>f</w:t>
      </w:r>
      <w:r w:rsidRPr="00D96A82">
        <w:rPr>
          <w:rFonts w:cs="Arial"/>
          <w:sz w:val="24"/>
          <w:szCs w:val="24"/>
          <w:lang w:val="en-GB"/>
        </w:rPr>
        <w:t xml:space="preserve"> the possibilities and rules on the housing market, which also often </w:t>
      </w:r>
      <w:r w:rsidR="0085715C">
        <w:rPr>
          <w:rFonts w:cs="Arial"/>
          <w:sz w:val="24"/>
          <w:szCs w:val="24"/>
          <w:lang w:val="en-GB"/>
        </w:rPr>
        <w:t>requires</w:t>
      </w:r>
      <w:r w:rsidRPr="00D96A82">
        <w:rPr>
          <w:rFonts w:cs="Arial"/>
          <w:sz w:val="24"/>
          <w:szCs w:val="24"/>
          <w:lang w:val="en-GB"/>
        </w:rPr>
        <w:t xml:space="preserve"> good language skills or good access to advisers. Besides </w:t>
      </w:r>
      <w:r>
        <w:rPr>
          <w:rFonts w:cs="Arial"/>
          <w:sz w:val="24"/>
          <w:szCs w:val="24"/>
          <w:lang w:val="en-GB"/>
        </w:rPr>
        <w:t xml:space="preserve">the disadvantage of lower incomes, </w:t>
      </w:r>
      <w:r w:rsidRPr="00D96A82">
        <w:rPr>
          <w:rFonts w:cs="Arial"/>
          <w:sz w:val="24"/>
          <w:szCs w:val="24"/>
          <w:lang w:val="en-GB"/>
        </w:rPr>
        <w:t>immigrants</w:t>
      </w:r>
      <w:r>
        <w:rPr>
          <w:rFonts w:cs="Arial"/>
          <w:sz w:val="24"/>
          <w:szCs w:val="24"/>
          <w:lang w:val="en-GB"/>
        </w:rPr>
        <w:t xml:space="preserve"> </w:t>
      </w:r>
      <w:r w:rsidRPr="00D96A82">
        <w:rPr>
          <w:rFonts w:cs="Arial"/>
          <w:sz w:val="24"/>
          <w:szCs w:val="24"/>
          <w:lang w:val="en-GB"/>
        </w:rPr>
        <w:t xml:space="preserve">can </w:t>
      </w:r>
      <w:r>
        <w:rPr>
          <w:rFonts w:cs="Arial"/>
          <w:sz w:val="24"/>
          <w:szCs w:val="24"/>
          <w:lang w:val="en-GB"/>
        </w:rPr>
        <w:t xml:space="preserve">thus </w:t>
      </w:r>
      <w:r w:rsidRPr="00D96A82">
        <w:rPr>
          <w:rFonts w:cs="Arial"/>
          <w:sz w:val="24"/>
          <w:szCs w:val="24"/>
          <w:lang w:val="en-GB"/>
        </w:rPr>
        <w:t xml:space="preserve">have special difficulties </w:t>
      </w:r>
      <w:r>
        <w:rPr>
          <w:rFonts w:cs="Arial"/>
          <w:sz w:val="24"/>
          <w:szCs w:val="24"/>
          <w:lang w:val="en-GB"/>
        </w:rPr>
        <w:t xml:space="preserve">in </w:t>
      </w:r>
      <w:r w:rsidRPr="00661B7C">
        <w:rPr>
          <w:rFonts w:cs="Arial"/>
          <w:sz w:val="24"/>
          <w:szCs w:val="24"/>
          <w:lang w:val="en-GB"/>
        </w:rPr>
        <w:t>accessing a</w:t>
      </w:r>
      <w:r>
        <w:rPr>
          <w:rFonts w:cs="Arial"/>
          <w:sz w:val="24"/>
          <w:szCs w:val="24"/>
          <w:lang w:val="en-GB"/>
        </w:rPr>
        <w:t xml:space="preserve"> decent housing </w:t>
      </w:r>
      <w:r w:rsidRPr="00661B7C">
        <w:rPr>
          <w:rFonts w:cs="Arial"/>
          <w:sz w:val="24"/>
          <w:szCs w:val="24"/>
          <w:lang w:val="en-GB"/>
        </w:rPr>
        <w:t>situation</w:t>
      </w:r>
      <w:r>
        <w:rPr>
          <w:rFonts w:cs="Arial"/>
          <w:sz w:val="24"/>
          <w:szCs w:val="24"/>
          <w:lang w:val="en-GB"/>
        </w:rPr>
        <w:t xml:space="preserve"> a</w:t>
      </w:r>
      <w:r w:rsidR="0085715C">
        <w:rPr>
          <w:rFonts w:cs="Arial"/>
          <w:sz w:val="24"/>
          <w:szCs w:val="24"/>
          <w:lang w:val="en-GB"/>
        </w:rPr>
        <w:t>s well as</w:t>
      </w:r>
      <w:r>
        <w:rPr>
          <w:rFonts w:cs="Arial"/>
          <w:sz w:val="24"/>
          <w:szCs w:val="24"/>
          <w:lang w:val="en-GB"/>
        </w:rPr>
        <w:t xml:space="preserve"> </w:t>
      </w:r>
      <w:r w:rsidRPr="00415235">
        <w:rPr>
          <w:rFonts w:cs="Arial"/>
          <w:sz w:val="24"/>
          <w:szCs w:val="24"/>
          <w:lang w:val="en-GB"/>
        </w:rPr>
        <w:t xml:space="preserve">those </w:t>
      </w:r>
      <w:r>
        <w:rPr>
          <w:rFonts w:cs="Arial"/>
          <w:sz w:val="24"/>
          <w:szCs w:val="24"/>
          <w:lang w:val="en-GB"/>
        </w:rPr>
        <w:t>parts of the housing market that</w:t>
      </w:r>
      <w:r w:rsidRPr="00D96A82">
        <w:rPr>
          <w:rFonts w:cs="Arial"/>
          <w:sz w:val="24"/>
          <w:szCs w:val="24"/>
          <w:lang w:val="en-GB"/>
        </w:rPr>
        <w:t xml:space="preserve"> could be </w:t>
      </w:r>
      <w:r w:rsidRPr="00F64292">
        <w:rPr>
          <w:rFonts w:cs="Arial"/>
          <w:sz w:val="24"/>
          <w:szCs w:val="24"/>
          <w:lang w:val="en-GB"/>
        </w:rPr>
        <w:t>increased</w:t>
      </w:r>
      <w:r w:rsidRPr="00D96A82">
        <w:rPr>
          <w:rFonts w:cs="Arial"/>
          <w:sz w:val="24"/>
          <w:szCs w:val="24"/>
          <w:lang w:val="en-GB"/>
        </w:rPr>
        <w:t xml:space="preserve"> or lessened by different elements of housing policy. For example</w:t>
      </w:r>
      <w:r>
        <w:rPr>
          <w:rFonts w:cs="Arial"/>
          <w:sz w:val="24"/>
          <w:szCs w:val="24"/>
          <w:lang w:val="en-GB"/>
        </w:rPr>
        <w:t>,</w:t>
      </w:r>
      <w:r w:rsidRPr="00D96A82">
        <w:rPr>
          <w:rFonts w:cs="Arial"/>
          <w:sz w:val="24"/>
          <w:szCs w:val="24"/>
          <w:lang w:val="en-GB"/>
        </w:rPr>
        <w:t xml:space="preserve"> rules for access or </w:t>
      </w:r>
      <w:r w:rsidR="00DC683F" w:rsidRPr="00661B7C">
        <w:rPr>
          <w:rFonts w:cs="Arial"/>
          <w:sz w:val="24"/>
          <w:szCs w:val="24"/>
          <w:lang w:val="en-GB"/>
        </w:rPr>
        <w:t>loans</w:t>
      </w:r>
      <w:r w:rsidRPr="00D96A82">
        <w:rPr>
          <w:rFonts w:cs="Arial"/>
          <w:sz w:val="24"/>
          <w:szCs w:val="24"/>
          <w:lang w:val="en-GB"/>
        </w:rPr>
        <w:t xml:space="preserve"> to housing can improve or hamper immigrants’ possibilities </w:t>
      </w:r>
      <w:r>
        <w:rPr>
          <w:rFonts w:cs="Arial"/>
          <w:sz w:val="24"/>
          <w:szCs w:val="24"/>
          <w:lang w:val="en-GB"/>
        </w:rPr>
        <w:t>of</w:t>
      </w:r>
      <w:r w:rsidRPr="00D96A82">
        <w:rPr>
          <w:rFonts w:cs="Arial"/>
          <w:sz w:val="24"/>
          <w:szCs w:val="24"/>
          <w:lang w:val="en-GB"/>
        </w:rPr>
        <w:t xml:space="preserve"> get</w:t>
      </w:r>
      <w:r>
        <w:rPr>
          <w:rFonts w:cs="Arial"/>
          <w:sz w:val="24"/>
          <w:szCs w:val="24"/>
          <w:lang w:val="en-GB"/>
        </w:rPr>
        <w:t>ting</w:t>
      </w:r>
      <w:r w:rsidRPr="00D96A82">
        <w:rPr>
          <w:rFonts w:cs="Arial"/>
          <w:sz w:val="24"/>
          <w:szCs w:val="24"/>
          <w:lang w:val="en-GB"/>
        </w:rPr>
        <w:t xml:space="preserve"> access to certain tenures. If the housing market is difficult to </w:t>
      </w:r>
      <w:r>
        <w:rPr>
          <w:rFonts w:cs="Arial"/>
          <w:sz w:val="24"/>
          <w:szCs w:val="24"/>
          <w:lang w:val="en-GB"/>
        </w:rPr>
        <w:t>understand, it</w:t>
      </w:r>
      <w:r w:rsidRPr="00D96A82">
        <w:rPr>
          <w:rFonts w:cs="Arial"/>
          <w:sz w:val="24"/>
          <w:szCs w:val="24"/>
          <w:lang w:val="en-GB"/>
        </w:rPr>
        <w:t xml:space="preserve"> is likely </w:t>
      </w:r>
      <w:r w:rsidR="0011480D">
        <w:rPr>
          <w:rFonts w:cs="Arial"/>
          <w:sz w:val="24"/>
          <w:szCs w:val="24"/>
          <w:lang w:val="en-GB"/>
        </w:rPr>
        <w:t xml:space="preserve">to </w:t>
      </w:r>
      <w:r w:rsidR="001A087D">
        <w:rPr>
          <w:rFonts w:cs="Arial"/>
          <w:sz w:val="24"/>
          <w:szCs w:val="24"/>
          <w:lang w:val="en-GB"/>
        </w:rPr>
        <w:t>be</w:t>
      </w:r>
      <w:r w:rsidRPr="00D96A82">
        <w:rPr>
          <w:rFonts w:cs="Arial"/>
          <w:sz w:val="24"/>
          <w:szCs w:val="24"/>
          <w:lang w:val="en-GB"/>
        </w:rPr>
        <w:t xml:space="preserve"> more difficult for immigrants with a limited knowledge of the </w:t>
      </w:r>
      <w:r w:rsidRPr="00D96A82">
        <w:rPr>
          <w:rFonts w:cs="Arial"/>
          <w:sz w:val="24"/>
          <w:szCs w:val="24"/>
          <w:lang w:val="en-GB"/>
        </w:rPr>
        <w:lastRenderedPageBreak/>
        <w:t>host society to act on the market and find good solutions to their housing needs (</w:t>
      </w:r>
      <w:proofErr w:type="spellStart"/>
      <w:r w:rsidRPr="00D96A82">
        <w:rPr>
          <w:rFonts w:cs="Arial"/>
          <w:sz w:val="24"/>
          <w:szCs w:val="24"/>
          <w:lang w:val="en-GB"/>
        </w:rPr>
        <w:t>Søholt</w:t>
      </w:r>
      <w:proofErr w:type="spellEnd"/>
      <w:r w:rsidRPr="00D96A82">
        <w:rPr>
          <w:rFonts w:cs="Arial"/>
          <w:sz w:val="24"/>
          <w:szCs w:val="24"/>
          <w:lang w:val="en-GB"/>
        </w:rPr>
        <w:t xml:space="preserve"> 2007, </w:t>
      </w:r>
      <w:proofErr w:type="spellStart"/>
      <w:r w:rsidRPr="00D96A82">
        <w:rPr>
          <w:rFonts w:cs="Arial"/>
          <w:sz w:val="24"/>
          <w:szCs w:val="24"/>
          <w:lang w:val="en-GB"/>
        </w:rPr>
        <w:t>Søholt</w:t>
      </w:r>
      <w:proofErr w:type="spellEnd"/>
      <w:r w:rsidRPr="00D96A82">
        <w:rPr>
          <w:rFonts w:cs="Arial"/>
          <w:sz w:val="24"/>
          <w:szCs w:val="24"/>
          <w:lang w:val="en-GB"/>
        </w:rPr>
        <w:t xml:space="preserve"> and </w:t>
      </w:r>
      <w:proofErr w:type="spellStart"/>
      <w:r w:rsidRPr="00D96A82">
        <w:rPr>
          <w:rFonts w:cs="Arial"/>
          <w:sz w:val="24"/>
          <w:szCs w:val="24"/>
          <w:lang w:val="en-GB"/>
        </w:rPr>
        <w:t>Astrup</w:t>
      </w:r>
      <w:proofErr w:type="spellEnd"/>
      <w:r w:rsidRPr="00D96A82">
        <w:rPr>
          <w:rFonts w:cs="Arial"/>
          <w:sz w:val="24"/>
          <w:szCs w:val="24"/>
          <w:lang w:val="en-GB"/>
        </w:rPr>
        <w:t xml:space="preserve"> 2009a).</w:t>
      </w:r>
    </w:p>
    <w:p w:rsidR="0018676A" w:rsidRDefault="0018676A" w:rsidP="0018676A">
      <w:pPr>
        <w:rPr>
          <w:rFonts w:cs="Arial"/>
          <w:sz w:val="24"/>
          <w:szCs w:val="24"/>
          <w:lang w:val="en-GB"/>
        </w:rPr>
      </w:pPr>
    </w:p>
    <w:p w:rsidR="0055489A" w:rsidRDefault="0055489A" w:rsidP="0018676A">
      <w:pPr>
        <w:rPr>
          <w:rFonts w:cs="Arial"/>
          <w:sz w:val="24"/>
          <w:szCs w:val="24"/>
          <w:lang w:val="en-GB"/>
        </w:rPr>
      </w:pPr>
      <w:r>
        <w:rPr>
          <w:rFonts w:cs="Arial"/>
          <w:sz w:val="24"/>
          <w:szCs w:val="24"/>
          <w:lang w:val="en-GB"/>
        </w:rPr>
        <w:t xml:space="preserve">It is known from studies of preferences for tenure (Skifter Andersen 2011, </w:t>
      </w:r>
      <w:proofErr w:type="spellStart"/>
      <w:r>
        <w:rPr>
          <w:rFonts w:cs="Arial"/>
          <w:sz w:val="24"/>
          <w:szCs w:val="24"/>
          <w:lang w:val="en-GB"/>
        </w:rPr>
        <w:t>Artle</w:t>
      </w:r>
      <w:proofErr w:type="spellEnd"/>
      <w:r>
        <w:rPr>
          <w:rFonts w:cs="Arial"/>
          <w:sz w:val="24"/>
          <w:szCs w:val="24"/>
          <w:lang w:val="en-GB"/>
        </w:rPr>
        <w:t xml:space="preserve"> and </w:t>
      </w:r>
      <w:proofErr w:type="spellStart"/>
      <w:r>
        <w:rPr>
          <w:rFonts w:cs="Arial"/>
          <w:sz w:val="24"/>
          <w:szCs w:val="24"/>
          <w:lang w:val="en-GB"/>
        </w:rPr>
        <w:t>Varaiya</w:t>
      </w:r>
      <w:proofErr w:type="spellEnd"/>
      <w:r>
        <w:rPr>
          <w:rFonts w:cs="Arial"/>
          <w:sz w:val="24"/>
          <w:szCs w:val="24"/>
          <w:lang w:val="en-GB"/>
        </w:rPr>
        <w:t xml:space="preserve"> 1978) that </w:t>
      </w:r>
      <w:r w:rsidR="0065135D">
        <w:rPr>
          <w:rFonts w:cs="Arial"/>
          <w:sz w:val="24"/>
          <w:szCs w:val="24"/>
          <w:lang w:val="en-GB"/>
        </w:rPr>
        <w:t xml:space="preserve">the </w:t>
      </w:r>
      <w:r>
        <w:rPr>
          <w:rFonts w:cs="Arial"/>
          <w:sz w:val="24"/>
          <w:szCs w:val="24"/>
          <w:lang w:val="en-GB"/>
        </w:rPr>
        <w:t xml:space="preserve">demand for homeownership is very dependent on expectations </w:t>
      </w:r>
      <w:r w:rsidR="00761D49">
        <w:rPr>
          <w:rFonts w:cs="Arial"/>
          <w:sz w:val="24"/>
          <w:szCs w:val="24"/>
          <w:lang w:val="en-GB"/>
        </w:rPr>
        <w:t>to</w:t>
      </w:r>
      <w:r>
        <w:rPr>
          <w:rFonts w:cs="Arial"/>
          <w:sz w:val="24"/>
          <w:szCs w:val="24"/>
          <w:lang w:val="en-GB"/>
        </w:rPr>
        <w:t xml:space="preserve"> their future. If </w:t>
      </w:r>
      <w:r w:rsidR="00DB1C34">
        <w:rPr>
          <w:rFonts w:cs="Arial"/>
          <w:sz w:val="24"/>
          <w:szCs w:val="24"/>
          <w:lang w:val="en-GB"/>
        </w:rPr>
        <w:t xml:space="preserve">households </w:t>
      </w:r>
      <w:r>
        <w:rPr>
          <w:rFonts w:cs="Arial"/>
          <w:sz w:val="24"/>
          <w:szCs w:val="24"/>
          <w:lang w:val="en-GB"/>
        </w:rPr>
        <w:t xml:space="preserve">expect stable future conditions like employment, rising income and permanent settlement, they will be much more inclined to go for homeownership. Especially newly arrived immigrants are often uncertain about their future and </w:t>
      </w:r>
      <w:r w:rsidR="0065135D">
        <w:rPr>
          <w:rFonts w:cs="Arial"/>
          <w:sz w:val="24"/>
          <w:szCs w:val="24"/>
          <w:lang w:val="en-GB"/>
        </w:rPr>
        <w:t xml:space="preserve">about </w:t>
      </w:r>
      <w:r w:rsidR="00761D49">
        <w:rPr>
          <w:rFonts w:cs="Arial"/>
          <w:sz w:val="24"/>
          <w:szCs w:val="24"/>
          <w:lang w:val="en-GB"/>
        </w:rPr>
        <w:t xml:space="preserve">whether </w:t>
      </w:r>
      <w:r>
        <w:rPr>
          <w:rFonts w:cs="Arial"/>
          <w:sz w:val="24"/>
          <w:szCs w:val="24"/>
          <w:lang w:val="en-GB"/>
        </w:rPr>
        <w:t xml:space="preserve">they will settle permanently in the new country or go back to where they came from. </w:t>
      </w:r>
      <w:r w:rsidR="0065135D">
        <w:rPr>
          <w:rFonts w:cs="Arial"/>
          <w:sz w:val="24"/>
          <w:szCs w:val="24"/>
          <w:lang w:val="en-GB"/>
        </w:rPr>
        <w:t xml:space="preserve">It must therefore be expected that immigrants, </w:t>
      </w:r>
      <w:r w:rsidR="00F64C61">
        <w:rPr>
          <w:rFonts w:cs="Arial"/>
          <w:sz w:val="24"/>
          <w:szCs w:val="24"/>
          <w:lang w:val="en-GB"/>
        </w:rPr>
        <w:t>all things</w:t>
      </w:r>
      <w:r w:rsidR="00DB1C34">
        <w:rPr>
          <w:rFonts w:cs="Arial"/>
          <w:sz w:val="24"/>
          <w:szCs w:val="24"/>
          <w:lang w:val="en-GB"/>
        </w:rPr>
        <w:t xml:space="preserve"> </w:t>
      </w:r>
      <w:r w:rsidR="0065135D">
        <w:rPr>
          <w:rFonts w:cs="Arial"/>
          <w:sz w:val="24"/>
          <w:szCs w:val="24"/>
          <w:lang w:val="en-GB"/>
        </w:rPr>
        <w:t>being equal, will have higher preferences for renting than the native population.</w:t>
      </w:r>
    </w:p>
    <w:p w:rsidR="0055489A" w:rsidRDefault="0055489A" w:rsidP="0018676A">
      <w:pPr>
        <w:rPr>
          <w:rFonts w:cs="Arial"/>
          <w:sz w:val="24"/>
          <w:szCs w:val="24"/>
          <w:lang w:val="en-GB"/>
        </w:rPr>
      </w:pPr>
    </w:p>
    <w:p w:rsidR="0018676A" w:rsidRDefault="0018676A" w:rsidP="0018676A">
      <w:pPr>
        <w:rPr>
          <w:rFonts w:cs="Arial"/>
          <w:sz w:val="24"/>
          <w:szCs w:val="24"/>
          <w:lang w:val="en-GB"/>
        </w:rPr>
      </w:pPr>
      <w:r w:rsidRPr="00D96A82">
        <w:rPr>
          <w:rFonts w:cs="Arial"/>
          <w:sz w:val="24"/>
          <w:szCs w:val="24"/>
          <w:lang w:val="en-GB"/>
        </w:rPr>
        <w:t>Some studies (</w:t>
      </w:r>
      <w:proofErr w:type="spellStart"/>
      <w:r w:rsidRPr="00D96A82">
        <w:rPr>
          <w:rFonts w:cs="Arial"/>
          <w:sz w:val="24"/>
          <w:szCs w:val="24"/>
          <w:lang w:val="en-GB"/>
        </w:rPr>
        <w:t>Aalbers</w:t>
      </w:r>
      <w:proofErr w:type="spellEnd"/>
      <w:r w:rsidRPr="00D96A82">
        <w:rPr>
          <w:rFonts w:cs="Arial"/>
          <w:sz w:val="24"/>
          <w:szCs w:val="24"/>
          <w:lang w:val="en-GB"/>
        </w:rPr>
        <w:t xml:space="preserve"> 2002, </w:t>
      </w:r>
      <w:proofErr w:type="spellStart"/>
      <w:r w:rsidRPr="00D96A82">
        <w:rPr>
          <w:rFonts w:cs="Arial"/>
          <w:sz w:val="24"/>
          <w:szCs w:val="24"/>
          <w:lang w:val="en-GB"/>
        </w:rPr>
        <w:t>Andersson</w:t>
      </w:r>
      <w:proofErr w:type="spellEnd"/>
      <w:r w:rsidRPr="00D96A82">
        <w:rPr>
          <w:rFonts w:cs="Arial"/>
          <w:sz w:val="24"/>
          <w:szCs w:val="24"/>
          <w:lang w:val="en-GB"/>
        </w:rPr>
        <w:t xml:space="preserve"> 1998, Skifter Andersen 2008, </w:t>
      </w:r>
      <w:proofErr w:type="spellStart"/>
      <w:r w:rsidRPr="00D96A82">
        <w:rPr>
          <w:rFonts w:cs="Arial"/>
          <w:sz w:val="24"/>
          <w:szCs w:val="24"/>
          <w:lang w:val="en-GB"/>
        </w:rPr>
        <w:t>Søholt</w:t>
      </w:r>
      <w:proofErr w:type="spellEnd"/>
      <w:r w:rsidRPr="00D96A82">
        <w:rPr>
          <w:rFonts w:cs="Arial"/>
          <w:sz w:val="24"/>
          <w:szCs w:val="24"/>
          <w:lang w:val="en-GB"/>
        </w:rPr>
        <w:t xml:space="preserve"> and </w:t>
      </w:r>
      <w:proofErr w:type="spellStart"/>
      <w:r w:rsidRPr="00D96A82">
        <w:rPr>
          <w:rFonts w:cs="Arial"/>
          <w:sz w:val="24"/>
          <w:szCs w:val="24"/>
          <w:lang w:val="en-GB"/>
        </w:rPr>
        <w:t>Astrup</w:t>
      </w:r>
      <w:proofErr w:type="spellEnd"/>
      <w:r w:rsidRPr="00D96A82">
        <w:rPr>
          <w:rFonts w:cs="Arial"/>
          <w:sz w:val="24"/>
          <w:szCs w:val="24"/>
          <w:lang w:val="en-GB"/>
        </w:rPr>
        <w:t xml:space="preserve"> 2009a, Molina 2010) point to discriminatory practices on the housing market</w:t>
      </w:r>
      <w:r>
        <w:rPr>
          <w:rFonts w:cs="Arial"/>
          <w:sz w:val="24"/>
          <w:szCs w:val="24"/>
          <w:lang w:val="en-GB"/>
        </w:rPr>
        <w:t>.</w:t>
      </w:r>
      <w:r w:rsidRPr="00D96A82">
        <w:rPr>
          <w:rFonts w:cs="Arial"/>
          <w:sz w:val="24"/>
          <w:szCs w:val="24"/>
          <w:lang w:val="en-GB"/>
        </w:rPr>
        <w:t xml:space="preserve"> </w:t>
      </w:r>
      <w:r>
        <w:rPr>
          <w:rFonts w:cs="Arial"/>
          <w:sz w:val="24"/>
          <w:szCs w:val="24"/>
          <w:lang w:val="en-GB"/>
        </w:rPr>
        <w:t xml:space="preserve">Especially </w:t>
      </w:r>
      <w:r w:rsidRPr="00D96A82">
        <w:rPr>
          <w:rFonts w:cs="Arial"/>
          <w:sz w:val="24"/>
          <w:szCs w:val="24"/>
          <w:lang w:val="en-GB"/>
        </w:rPr>
        <w:t>social</w:t>
      </w:r>
      <w:r>
        <w:rPr>
          <w:rFonts w:cs="Arial"/>
          <w:sz w:val="24"/>
          <w:szCs w:val="24"/>
          <w:lang w:val="en-GB"/>
        </w:rPr>
        <w:t>/public</w:t>
      </w:r>
      <w:r w:rsidRPr="00D96A82">
        <w:rPr>
          <w:rFonts w:cs="Arial"/>
          <w:sz w:val="24"/>
          <w:szCs w:val="24"/>
          <w:lang w:val="en-GB"/>
        </w:rPr>
        <w:t xml:space="preserve"> and private landlords to </w:t>
      </w:r>
      <w:r>
        <w:rPr>
          <w:rFonts w:cs="Arial"/>
          <w:sz w:val="24"/>
          <w:szCs w:val="24"/>
          <w:lang w:val="en-GB"/>
        </w:rPr>
        <w:t xml:space="preserve">a certain </w:t>
      </w:r>
      <w:r w:rsidRPr="00D96A82">
        <w:rPr>
          <w:rFonts w:cs="Arial"/>
          <w:sz w:val="24"/>
          <w:szCs w:val="24"/>
          <w:lang w:val="en-GB"/>
        </w:rPr>
        <w:t xml:space="preserve">extent exclude ethnic minorities from their housing. </w:t>
      </w:r>
      <w:r>
        <w:rPr>
          <w:rFonts w:cs="Arial"/>
          <w:sz w:val="24"/>
          <w:szCs w:val="24"/>
          <w:lang w:val="en-GB"/>
        </w:rPr>
        <w:t xml:space="preserve">The extent to which discrimination occurs can depend on the way housing tenures are regulated and supported through housing policy. If access to housing is very dependent on decisions made by administrators of housing and subject to local execution of power, there is greater scope for discrimination than if there are strict rules for how to allocate vacant dwellings. Moreover, it </w:t>
      </w:r>
      <w:r w:rsidR="00D71DE4">
        <w:rPr>
          <w:rFonts w:cs="Arial"/>
          <w:sz w:val="24"/>
          <w:szCs w:val="24"/>
          <w:lang w:val="en-GB"/>
        </w:rPr>
        <w:t>is</w:t>
      </w:r>
      <w:r>
        <w:rPr>
          <w:rFonts w:cs="Arial"/>
          <w:sz w:val="24"/>
          <w:szCs w:val="24"/>
          <w:lang w:val="en-GB"/>
        </w:rPr>
        <w:t xml:space="preserve"> </w:t>
      </w:r>
      <w:r w:rsidRPr="00781DE7">
        <w:rPr>
          <w:rFonts w:cs="Arial"/>
          <w:sz w:val="24"/>
          <w:szCs w:val="24"/>
          <w:lang w:val="en-GB"/>
        </w:rPr>
        <w:t>importan</w:t>
      </w:r>
      <w:r w:rsidR="00D71DE4">
        <w:rPr>
          <w:rFonts w:cs="Arial"/>
          <w:sz w:val="24"/>
          <w:szCs w:val="24"/>
          <w:lang w:val="en-GB"/>
        </w:rPr>
        <w:t>t</w:t>
      </w:r>
      <w:r>
        <w:rPr>
          <w:rFonts w:cs="Arial"/>
          <w:sz w:val="24"/>
          <w:szCs w:val="24"/>
          <w:lang w:val="en-GB"/>
        </w:rPr>
        <w:t xml:space="preserve"> to what extent the housing in question is subject to a strong </w:t>
      </w:r>
      <w:r w:rsidRPr="00781DE7">
        <w:rPr>
          <w:rFonts w:cs="Arial"/>
          <w:sz w:val="24"/>
          <w:szCs w:val="24"/>
          <w:lang w:val="en-GB"/>
        </w:rPr>
        <w:t>excess</w:t>
      </w:r>
      <w:r>
        <w:rPr>
          <w:rFonts w:cs="Arial"/>
          <w:sz w:val="24"/>
          <w:szCs w:val="24"/>
          <w:lang w:val="en-GB"/>
        </w:rPr>
        <w:t xml:space="preserve"> demand. If many more families demand certain tenures, than the actual supply, there will be </w:t>
      </w:r>
      <w:r w:rsidRPr="006B06D7">
        <w:rPr>
          <w:rFonts w:cs="Arial"/>
          <w:sz w:val="24"/>
          <w:szCs w:val="24"/>
          <w:lang w:val="en-GB"/>
        </w:rPr>
        <w:t>queue</w:t>
      </w:r>
      <w:r>
        <w:rPr>
          <w:rFonts w:cs="Arial"/>
          <w:sz w:val="24"/>
          <w:szCs w:val="24"/>
          <w:lang w:val="en-GB"/>
        </w:rPr>
        <w:t xml:space="preserve">s, which will generate better conditions for discrimination. Another consequence of discrimination in the private rental market is </w:t>
      </w:r>
      <w:r w:rsidRPr="00415235">
        <w:rPr>
          <w:rFonts w:cs="Arial"/>
          <w:sz w:val="24"/>
          <w:szCs w:val="24"/>
          <w:lang w:val="en-GB"/>
        </w:rPr>
        <w:t xml:space="preserve">the fact </w:t>
      </w:r>
      <w:r>
        <w:rPr>
          <w:rFonts w:cs="Arial"/>
          <w:sz w:val="24"/>
          <w:szCs w:val="24"/>
          <w:lang w:val="en-GB"/>
        </w:rPr>
        <w:t>that immigrants have to pay more than natives, if there is no rent regulation (</w:t>
      </w:r>
      <w:proofErr w:type="spellStart"/>
      <w:r>
        <w:rPr>
          <w:rFonts w:cs="Arial"/>
          <w:sz w:val="24"/>
          <w:szCs w:val="24"/>
          <w:lang w:val="en-GB"/>
        </w:rPr>
        <w:t>Røed</w:t>
      </w:r>
      <w:proofErr w:type="spellEnd"/>
      <w:r>
        <w:rPr>
          <w:rFonts w:cs="Arial"/>
          <w:sz w:val="24"/>
          <w:szCs w:val="24"/>
          <w:lang w:val="en-GB"/>
        </w:rPr>
        <w:t xml:space="preserve"> Larsen and </w:t>
      </w:r>
      <w:proofErr w:type="spellStart"/>
      <w:r>
        <w:rPr>
          <w:rFonts w:cs="Arial"/>
          <w:sz w:val="24"/>
          <w:szCs w:val="24"/>
          <w:lang w:val="en-GB"/>
        </w:rPr>
        <w:t>Sommervoll</w:t>
      </w:r>
      <w:proofErr w:type="spellEnd"/>
      <w:r>
        <w:rPr>
          <w:rFonts w:cs="Arial"/>
          <w:sz w:val="24"/>
          <w:szCs w:val="24"/>
          <w:lang w:val="en-GB"/>
        </w:rPr>
        <w:t xml:space="preserve"> 2011). Surplus demand can either be a result of price and rent regulations that keep rents and prices below market levels, or it could be due to a housing shortage in general or that the supply of publicly supported housing for low-income groups is too low. </w:t>
      </w:r>
      <w:r w:rsidRPr="00D96A82">
        <w:rPr>
          <w:rFonts w:cs="Arial"/>
          <w:sz w:val="24"/>
          <w:szCs w:val="24"/>
          <w:lang w:val="en-GB"/>
        </w:rPr>
        <w:t xml:space="preserve">There could also be discriminatory practices among banks or institutions providing capital for </w:t>
      </w:r>
      <w:r>
        <w:rPr>
          <w:rFonts w:cs="Arial"/>
          <w:sz w:val="24"/>
          <w:szCs w:val="24"/>
          <w:lang w:val="en-GB"/>
        </w:rPr>
        <w:t xml:space="preserve">the </w:t>
      </w:r>
      <w:r w:rsidRPr="00D96A82">
        <w:rPr>
          <w:rFonts w:cs="Arial"/>
          <w:sz w:val="24"/>
          <w:szCs w:val="24"/>
          <w:lang w:val="en-GB"/>
        </w:rPr>
        <w:t>purchase of housing if, as a result of prejudice, ethnic minorities are seen as less solvent customers.</w:t>
      </w:r>
      <w:r>
        <w:rPr>
          <w:rFonts w:cs="Arial"/>
          <w:sz w:val="24"/>
          <w:szCs w:val="24"/>
          <w:lang w:val="en-GB"/>
        </w:rPr>
        <w:t xml:space="preserve"> Discrimination against immigrants </w:t>
      </w:r>
      <w:r w:rsidR="00D71DE4">
        <w:rPr>
          <w:rFonts w:cs="Arial"/>
          <w:sz w:val="24"/>
          <w:szCs w:val="24"/>
          <w:lang w:val="en-GB"/>
        </w:rPr>
        <w:t>by</w:t>
      </w:r>
      <w:r>
        <w:rPr>
          <w:rFonts w:cs="Arial"/>
          <w:sz w:val="24"/>
          <w:szCs w:val="24"/>
          <w:lang w:val="en-GB"/>
        </w:rPr>
        <w:t xml:space="preserve"> financial institutions can be dependent on the extent of public subsidies for housing and can be reduced by </w:t>
      </w:r>
      <w:r w:rsidRPr="002E0C8F">
        <w:rPr>
          <w:rFonts w:cs="Arial"/>
          <w:sz w:val="24"/>
          <w:szCs w:val="24"/>
          <w:lang w:val="en-GB"/>
        </w:rPr>
        <w:t xml:space="preserve">public </w:t>
      </w:r>
      <w:r w:rsidR="00781DE7" w:rsidRPr="006612A9">
        <w:rPr>
          <w:rFonts w:cs="Arial"/>
          <w:sz w:val="24"/>
          <w:szCs w:val="24"/>
          <w:lang w:val="en-GB"/>
        </w:rPr>
        <w:t xml:space="preserve">loan </w:t>
      </w:r>
      <w:r w:rsidRPr="002E0C8F">
        <w:rPr>
          <w:rFonts w:cs="Arial"/>
          <w:sz w:val="24"/>
          <w:szCs w:val="24"/>
          <w:lang w:val="en-GB"/>
        </w:rPr>
        <w:t>guarantees</w:t>
      </w:r>
      <w:r>
        <w:rPr>
          <w:rFonts w:cs="Arial"/>
          <w:sz w:val="24"/>
          <w:szCs w:val="24"/>
          <w:lang w:val="en-GB"/>
        </w:rPr>
        <w:t>.</w:t>
      </w:r>
    </w:p>
    <w:p w:rsidR="0018676A" w:rsidRDefault="0018676A" w:rsidP="0018676A">
      <w:pPr>
        <w:rPr>
          <w:rFonts w:cs="Arial"/>
          <w:sz w:val="24"/>
          <w:szCs w:val="24"/>
          <w:lang w:val="en-GB"/>
        </w:rPr>
      </w:pPr>
    </w:p>
    <w:p w:rsidR="0018676A" w:rsidRDefault="0018676A" w:rsidP="0018676A">
      <w:pPr>
        <w:rPr>
          <w:rFonts w:cs="Arial"/>
          <w:color w:val="000000"/>
          <w:sz w:val="24"/>
          <w:szCs w:val="24"/>
          <w:lang w:val="en-GB"/>
        </w:rPr>
      </w:pPr>
      <w:r w:rsidRPr="00D96A82">
        <w:rPr>
          <w:rFonts w:cs="Arial"/>
          <w:sz w:val="24"/>
          <w:szCs w:val="24"/>
          <w:lang w:val="en-GB"/>
        </w:rPr>
        <w:t>In many countries in Northern Europe</w:t>
      </w:r>
      <w:r w:rsidR="00D71DE4">
        <w:rPr>
          <w:rFonts w:cs="Arial"/>
          <w:sz w:val="24"/>
          <w:szCs w:val="24"/>
          <w:lang w:val="en-GB"/>
        </w:rPr>
        <w:t>,</w:t>
      </w:r>
      <w:r w:rsidRPr="00D96A82">
        <w:rPr>
          <w:rFonts w:cs="Arial"/>
          <w:sz w:val="24"/>
          <w:szCs w:val="24"/>
          <w:lang w:val="en-GB"/>
        </w:rPr>
        <w:t xml:space="preserve"> </w:t>
      </w:r>
      <w:r>
        <w:rPr>
          <w:rFonts w:cs="Arial"/>
          <w:sz w:val="24"/>
          <w:szCs w:val="24"/>
          <w:lang w:val="en-GB"/>
        </w:rPr>
        <w:t xml:space="preserve">immigration has </w:t>
      </w:r>
      <w:r w:rsidR="002E0C8F">
        <w:rPr>
          <w:rFonts w:cs="Arial"/>
          <w:sz w:val="24"/>
          <w:szCs w:val="24"/>
          <w:lang w:val="en-GB"/>
        </w:rPr>
        <w:t>grown</w:t>
      </w:r>
      <w:r>
        <w:rPr>
          <w:rFonts w:cs="Arial"/>
          <w:sz w:val="24"/>
          <w:szCs w:val="24"/>
          <w:lang w:val="en-GB"/>
        </w:rPr>
        <w:t xml:space="preserve"> in recent years and t</w:t>
      </w:r>
      <w:r w:rsidRPr="00D96A82">
        <w:rPr>
          <w:rFonts w:cs="Arial"/>
          <w:sz w:val="24"/>
          <w:szCs w:val="24"/>
          <w:lang w:val="en-GB"/>
        </w:rPr>
        <w:t xml:space="preserve">here has been a </w:t>
      </w:r>
      <w:r>
        <w:rPr>
          <w:rFonts w:cs="Arial"/>
          <w:sz w:val="24"/>
          <w:szCs w:val="24"/>
          <w:lang w:val="en-GB"/>
        </w:rPr>
        <w:t xml:space="preserve">general </w:t>
      </w:r>
      <w:r w:rsidRPr="00D96A82">
        <w:rPr>
          <w:rFonts w:cs="Arial"/>
          <w:sz w:val="24"/>
          <w:szCs w:val="24"/>
          <w:lang w:val="en-GB"/>
        </w:rPr>
        <w:t xml:space="preserve">tendency </w:t>
      </w:r>
      <w:r>
        <w:rPr>
          <w:rFonts w:cs="Arial"/>
          <w:sz w:val="24"/>
          <w:szCs w:val="24"/>
          <w:lang w:val="en-GB"/>
        </w:rPr>
        <w:t xml:space="preserve">among immigrant families </w:t>
      </w:r>
      <w:r w:rsidRPr="00D96A82">
        <w:rPr>
          <w:rFonts w:cs="Arial"/>
          <w:sz w:val="24"/>
          <w:szCs w:val="24"/>
          <w:lang w:val="en-GB"/>
        </w:rPr>
        <w:t xml:space="preserve">to settle in certain parts of the housing market and in </w:t>
      </w:r>
      <w:r w:rsidRPr="00415235">
        <w:rPr>
          <w:rFonts w:cs="Arial"/>
          <w:sz w:val="24"/>
          <w:szCs w:val="24"/>
          <w:lang w:val="en-GB"/>
        </w:rPr>
        <w:t>limited</w:t>
      </w:r>
      <w:r w:rsidRPr="00D96A82">
        <w:rPr>
          <w:rFonts w:cs="Arial"/>
          <w:sz w:val="24"/>
          <w:szCs w:val="24"/>
          <w:lang w:val="en-GB"/>
        </w:rPr>
        <w:t xml:space="preserve"> parts of cities (</w:t>
      </w:r>
      <w:proofErr w:type="spellStart"/>
      <w:r w:rsidRPr="00D96A82">
        <w:rPr>
          <w:rFonts w:cs="Arial"/>
          <w:sz w:val="24"/>
          <w:szCs w:val="24"/>
          <w:lang w:val="en-GB"/>
        </w:rPr>
        <w:t>Musterd</w:t>
      </w:r>
      <w:proofErr w:type="spellEnd"/>
      <w:r w:rsidRPr="00D96A82">
        <w:rPr>
          <w:rFonts w:cs="Arial"/>
          <w:sz w:val="24"/>
          <w:szCs w:val="24"/>
          <w:lang w:val="en-GB"/>
        </w:rPr>
        <w:t xml:space="preserve"> et al. 1998).  In many countries they have settled in </w:t>
      </w:r>
      <w:r>
        <w:rPr>
          <w:rFonts w:cs="Arial"/>
          <w:sz w:val="24"/>
          <w:szCs w:val="24"/>
          <w:lang w:val="en-GB"/>
        </w:rPr>
        <w:t>social/public housing</w:t>
      </w:r>
      <w:r w:rsidRPr="00D96A82">
        <w:rPr>
          <w:rFonts w:cs="Arial"/>
          <w:sz w:val="24"/>
          <w:szCs w:val="24"/>
          <w:lang w:val="en-GB"/>
        </w:rPr>
        <w:t xml:space="preserve">. In this way some neighbourhoods in the cities have obtained a large proportion of ethnic minorities and have been transformed </w:t>
      </w:r>
      <w:r w:rsidR="00D71DE4">
        <w:rPr>
          <w:rFonts w:cs="Arial"/>
          <w:sz w:val="24"/>
          <w:szCs w:val="24"/>
          <w:lang w:val="en-GB"/>
        </w:rPr>
        <w:t>in</w:t>
      </w:r>
      <w:r w:rsidRPr="00D96A82">
        <w:rPr>
          <w:rFonts w:cs="Arial"/>
          <w:sz w:val="24"/>
          <w:szCs w:val="24"/>
          <w:lang w:val="en-GB"/>
        </w:rPr>
        <w:t xml:space="preserve">to what we call </w:t>
      </w:r>
      <w:r>
        <w:rPr>
          <w:rFonts w:cs="Arial"/>
          <w:sz w:val="24"/>
          <w:szCs w:val="24"/>
          <w:lang w:val="en-GB"/>
        </w:rPr>
        <w:t>‘</w:t>
      </w:r>
      <w:r w:rsidRPr="00D96A82">
        <w:rPr>
          <w:rFonts w:cs="Arial"/>
          <w:i/>
          <w:sz w:val="24"/>
          <w:szCs w:val="24"/>
          <w:lang w:val="en-GB"/>
        </w:rPr>
        <w:t>multi</w:t>
      </w:r>
      <w:r>
        <w:rPr>
          <w:rFonts w:cs="Arial"/>
          <w:i/>
          <w:sz w:val="24"/>
          <w:szCs w:val="24"/>
          <w:lang w:val="en-GB"/>
        </w:rPr>
        <w:t>-</w:t>
      </w:r>
      <w:r w:rsidRPr="00D96A82">
        <w:rPr>
          <w:rFonts w:cs="Arial"/>
          <w:i/>
          <w:sz w:val="24"/>
          <w:szCs w:val="24"/>
          <w:lang w:val="en-GB"/>
        </w:rPr>
        <w:t>ethnic neighbourhoods</w:t>
      </w:r>
      <w:r>
        <w:rPr>
          <w:rFonts w:cs="Arial"/>
          <w:i/>
          <w:sz w:val="24"/>
          <w:szCs w:val="24"/>
          <w:lang w:val="en-GB"/>
        </w:rPr>
        <w:t>’</w:t>
      </w:r>
      <w:r w:rsidRPr="00D96A82">
        <w:rPr>
          <w:rFonts w:cs="Arial"/>
          <w:i/>
          <w:sz w:val="24"/>
          <w:szCs w:val="24"/>
          <w:lang w:val="en-GB"/>
        </w:rPr>
        <w:t>,</w:t>
      </w:r>
      <w:r w:rsidRPr="00D96A82">
        <w:rPr>
          <w:rFonts w:cs="Arial"/>
          <w:sz w:val="24"/>
          <w:szCs w:val="24"/>
          <w:lang w:val="en-GB"/>
        </w:rPr>
        <w:t xml:space="preserve"> in which </w:t>
      </w:r>
      <w:r>
        <w:rPr>
          <w:rFonts w:cs="Arial"/>
          <w:sz w:val="24"/>
          <w:szCs w:val="24"/>
          <w:lang w:val="en-GB"/>
        </w:rPr>
        <w:t xml:space="preserve">the </w:t>
      </w:r>
      <w:r w:rsidRPr="00F64292">
        <w:rPr>
          <w:rFonts w:cs="Arial"/>
          <w:sz w:val="24"/>
          <w:szCs w:val="24"/>
          <w:lang w:val="en-GB"/>
        </w:rPr>
        <w:t>majority</w:t>
      </w:r>
      <w:r>
        <w:rPr>
          <w:rFonts w:cs="Arial"/>
          <w:sz w:val="24"/>
          <w:szCs w:val="24"/>
          <w:lang w:val="en-GB"/>
        </w:rPr>
        <w:t xml:space="preserve"> population has </w:t>
      </w:r>
      <w:r w:rsidRPr="00D96A82">
        <w:rPr>
          <w:rFonts w:cs="Arial"/>
          <w:sz w:val="24"/>
          <w:szCs w:val="24"/>
          <w:lang w:val="en-GB"/>
        </w:rPr>
        <w:t>become a minority.</w:t>
      </w:r>
      <w:r>
        <w:rPr>
          <w:rFonts w:cs="Arial"/>
          <w:sz w:val="24"/>
          <w:szCs w:val="24"/>
          <w:lang w:val="en-GB"/>
        </w:rPr>
        <w:t xml:space="preserve"> </w:t>
      </w:r>
      <w:r w:rsidRPr="00D96A82">
        <w:rPr>
          <w:rFonts w:cs="Arial"/>
          <w:color w:val="000000"/>
          <w:sz w:val="24"/>
          <w:szCs w:val="24"/>
          <w:lang w:val="en-GB"/>
        </w:rPr>
        <w:t>It has been shown (</w:t>
      </w:r>
      <w:proofErr w:type="spellStart"/>
      <w:r w:rsidRPr="00131479">
        <w:rPr>
          <w:sz w:val="24"/>
          <w:szCs w:val="24"/>
          <w:lang w:val="en-GB"/>
        </w:rPr>
        <w:t>Musterd</w:t>
      </w:r>
      <w:proofErr w:type="spellEnd"/>
      <w:r w:rsidRPr="00131479">
        <w:rPr>
          <w:sz w:val="24"/>
          <w:szCs w:val="24"/>
          <w:lang w:val="en-GB"/>
        </w:rPr>
        <w:t xml:space="preserve"> 2005, Johnston et </w:t>
      </w:r>
      <w:r>
        <w:rPr>
          <w:sz w:val="24"/>
          <w:szCs w:val="24"/>
          <w:lang w:val="en-GB"/>
        </w:rPr>
        <w:t>a</w:t>
      </w:r>
      <w:r w:rsidRPr="00131479">
        <w:rPr>
          <w:sz w:val="24"/>
          <w:szCs w:val="24"/>
          <w:lang w:val="en-GB"/>
        </w:rPr>
        <w:t>l. 2002, Finney 2002, Fong and Chan 2010</w:t>
      </w:r>
      <w:r w:rsidRPr="00131479">
        <w:rPr>
          <w:rFonts w:cs="Arial"/>
          <w:color w:val="000000"/>
          <w:sz w:val="24"/>
          <w:szCs w:val="24"/>
          <w:lang w:val="en-GB"/>
        </w:rPr>
        <w:t xml:space="preserve">) that </w:t>
      </w:r>
      <w:r w:rsidRPr="00D96A82">
        <w:rPr>
          <w:rFonts w:cs="Arial"/>
          <w:color w:val="000000"/>
          <w:sz w:val="24"/>
          <w:szCs w:val="24"/>
          <w:lang w:val="en-GB"/>
        </w:rPr>
        <w:t xml:space="preserve">there are </w:t>
      </w:r>
      <w:r w:rsidR="00025180">
        <w:rPr>
          <w:rFonts w:cs="Arial"/>
          <w:color w:val="000000"/>
          <w:sz w:val="24"/>
          <w:szCs w:val="24"/>
          <w:lang w:val="en-GB"/>
        </w:rPr>
        <w:t>great</w:t>
      </w:r>
      <w:r w:rsidRPr="00D96A82">
        <w:rPr>
          <w:rFonts w:cs="Arial"/>
          <w:color w:val="000000"/>
          <w:sz w:val="24"/>
          <w:szCs w:val="24"/>
          <w:lang w:val="en-GB"/>
        </w:rPr>
        <w:t xml:space="preserve"> differences </w:t>
      </w:r>
      <w:r>
        <w:rPr>
          <w:rFonts w:cs="Arial"/>
          <w:color w:val="000000"/>
          <w:sz w:val="24"/>
          <w:szCs w:val="24"/>
          <w:lang w:val="en-GB"/>
        </w:rPr>
        <w:t xml:space="preserve">between </w:t>
      </w:r>
      <w:r w:rsidRPr="00131479">
        <w:rPr>
          <w:rFonts w:cs="Arial"/>
          <w:color w:val="000000"/>
          <w:sz w:val="24"/>
          <w:szCs w:val="24"/>
          <w:lang w:val="en-GB"/>
        </w:rPr>
        <w:t>different ethnic groups</w:t>
      </w:r>
      <w:r w:rsidRPr="00D96A82">
        <w:rPr>
          <w:rFonts w:cs="Arial"/>
          <w:color w:val="000000"/>
          <w:sz w:val="24"/>
          <w:szCs w:val="24"/>
          <w:lang w:val="en-GB"/>
        </w:rPr>
        <w:t xml:space="preserve"> concerning </w:t>
      </w:r>
      <w:r w:rsidRPr="005151D7">
        <w:rPr>
          <w:rFonts w:cs="Arial"/>
          <w:color w:val="000000"/>
          <w:sz w:val="24"/>
          <w:szCs w:val="24"/>
          <w:lang w:val="en-GB"/>
        </w:rPr>
        <w:t>to</w:t>
      </w:r>
      <w:r w:rsidRPr="00D96A82">
        <w:rPr>
          <w:rFonts w:cs="Arial"/>
          <w:color w:val="000000"/>
          <w:sz w:val="24"/>
          <w:szCs w:val="24"/>
          <w:lang w:val="en-GB"/>
        </w:rPr>
        <w:t xml:space="preserve"> what extent </w:t>
      </w:r>
      <w:r>
        <w:rPr>
          <w:rFonts w:cs="Arial"/>
          <w:color w:val="000000"/>
          <w:sz w:val="24"/>
          <w:szCs w:val="24"/>
          <w:lang w:val="en-GB"/>
        </w:rPr>
        <w:t xml:space="preserve">they </w:t>
      </w:r>
      <w:r w:rsidRPr="00D96A82">
        <w:rPr>
          <w:rFonts w:cs="Arial"/>
          <w:color w:val="000000"/>
          <w:sz w:val="24"/>
          <w:szCs w:val="24"/>
          <w:lang w:val="en-GB"/>
        </w:rPr>
        <w:t>liv</w:t>
      </w:r>
      <w:r>
        <w:rPr>
          <w:rFonts w:cs="Arial"/>
          <w:color w:val="000000"/>
          <w:sz w:val="24"/>
          <w:szCs w:val="24"/>
          <w:lang w:val="en-GB"/>
        </w:rPr>
        <w:t>e</w:t>
      </w:r>
      <w:r w:rsidRPr="00D96A82">
        <w:rPr>
          <w:rFonts w:cs="Arial"/>
          <w:color w:val="000000"/>
          <w:sz w:val="24"/>
          <w:szCs w:val="24"/>
          <w:lang w:val="en-GB"/>
        </w:rPr>
        <w:t xml:space="preserve"> in neighbourhoods with a high concentration of immigrants. </w:t>
      </w:r>
    </w:p>
    <w:p w:rsidR="0018676A" w:rsidRPr="00D96A82" w:rsidRDefault="0018676A" w:rsidP="0018676A">
      <w:pPr>
        <w:rPr>
          <w:rFonts w:cs="Arial"/>
          <w:sz w:val="24"/>
          <w:szCs w:val="24"/>
          <w:lang w:val="en-GB"/>
        </w:rPr>
      </w:pPr>
    </w:p>
    <w:p w:rsidR="0018676A" w:rsidRDefault="0018676A" w:rsidP="0018676A">
      <w:pPr>
        <w:rPr>
          <w:rFonts w:cs="Arial"/>
          <w:sz w:val="24"/>
          <w:szCs w:val="24"/>
          <w:lang w:val="en-GB"/>
        </w:rPr>
      </w:pPr>
      <w:r>
        <w:rPr>
          <w:rFonts w:cs="Arial"/>
          <w:sz w:val="24"/>
          <w:szCs w:val="24"/>
          <w:lang w:val="en-GB"/>
        </w:rPr>
        <w:t>P</w:t>
      </w:r>
      <w:r w:rsidRPr="00D96A82">
        <w:rPr>
          <w:rFonts w:cs="Arial"/>
          <w:sz w:val="24"/>
          <w:szCs w:val="24"/>
          <w:lang w:val="en-GB"/>
        </w:rPr>
        <w:t xml:space="preserve">references for living in </w:t>
      </w:r>
      <w:r>
        <w:rPr>
          <w:rFonts w:cs="Arial"/>
          <w:sz w:val="24"/>
          <w:szCs w:val="24"/>
          <w:lang w:val="en-GB"/>
        </w:rPr>
        <w:t xml:space="preserve">neighbourhoods with countrymen </w:t>
      </w:r>
      <w:r w:rsidRPr="00D96A82">
        <w:rPr>
          <w:rFonts w:cs="Arial"/>
          <w:sz w:val="24"/>
          <w:szCs w:val="24"/>
          <w:lang w:val="en-GB"/>
        </w:rPr>
        <w:t xml:space="preserve">could </w:t>
      </w:r>
      <w:r>
        <w:rPr>
          <w:rFonts w:cs="Arial"/>
          <w:sz w:val="24"/>
          <w:szCs w:val="24"/>
          <w:lang w:val="en-GB"/>
        </w:rPr>
        <w:t>be</w:t>
      </w:r>
      <w:r w:rsidRPr="00D96A82">
        <w:rPr>
          <w:rFonts w:cs="Arial"/>
          <w:sz w:val="24"/>
          <w:szCs w:val="24"/>
          <w:lang w:val="en-GB"/>
        </w:rPr>
        <w:t xml:space="preserve"> importan</w:t>
      </w:r>
      <w:r>
        <w:rPr>
          <w:rFonts w:cs="Arial"/>
          <w:sz w:val="24"/>
          <w:szCs w:val="24"/>
          <w:lang w:val="en-GB"/>
        </w:rPr>
        <w:t>t</w:t>
      </w:r>
      <w:r w:rsidRPr="00D96A82">
        <w:rPr>
          <w:rFonts w:cs="Arial"/>
          <w:sz w:val="24"/>
          <w:szCs w:val="24"/>
          <w:lang w:val="en-GB"/>
        </w:rPr>
        <w:t xml:space="preserve"> for wh</w:t>
      </w:r>
      <w:r>
        <w:rPr>
          <w:rFonts w:cs="Arial"/>
          <w:sz w:val="24"/>
          <w:szCs w:val="24"/>
          <w:lang w:val="en-GB"/>
        </w:rPr>
        <w:t>at</w:t>
      </w:r>
      <w:r w:rsidRPr="00D96A82">
        <w:rPr>
          <w:rFonts w:cs="Arial"/>
          <w:sz w:val="24"/>
          <w:szCs w:val="24"/>
          <w:lang w:val="en-GB"/>
        </w:rPr>
        <w:t xml:space="preserve"> tenures and dwellings immigrants try to get and wh</w:t>
      </w:r>
      <w:r>
        <w:rPr>
          <w:rFonts w:cs="Arial"/>
          <w:sz w:val="24"/>
          <w:szCs w:val="24"/>
          <w:lang w:val="en-GB"/>
        </w:rPr>
        <w:t>at</w:t>
      </w:r>
      <w:r w:rsidRPr="00D96A82">
        <w:rPr>
          <w:rFonts w:cs="Arial"/>
          <w:sz w:val="24"/>
          <w:szCs w:val="24"/>
          <w:lang w:val="en-GB"/>
        </w:rPr>
        <w:t xml:space="preserve"> dwellings they can get</w:t>
      </w:r>
      <w:r>
        <w:rPr>
          <w:rFonts w:cs="Arial"/>
          <w:sz w:val="24"/>
          <w:szCs w:val="24"/>
          <w:lang w:val="en-GB"/>
        </w:rPr>
        <w:t xml:space="preserve"> access to</w:t>
      </w:r>
      <w:r w:rsidRPr="00D96A82">
        <w:rPr>
          <w:rFonts w:cs="Arial"/>
          <w:sz w:val="24"/>
          <w:szCs w:val="24"/>
          <w:lang w:val="en-GB"/>
        </w:rPr>
        <w:t>. In different countries</w:t>
      </w:r>
      <w:r>
        <w:rPr>
          <w:rFonts w:cs="Arial"/>
          <w:sz w:val="24"/>
          <w:szCs w:val="24"/>
          <w:lang w:val="en-GB"/>
        </w:rPr>
        <w:t>,</w:t>
      </w:r>
      <w:r w:rsidRPr="00D96A82">
        <w:rPr>
          <w:rFonts w:cs="Arial"/>
          <w:sz w:val="24"/>
          <w:szCs w:val="24"/>
          <w:lang w:val="en-GB"/>
        </w:rPr>
        <w:t xml:space="preserve"> ethnic enclaves and multi-ethnic neighbourhoods have been established </w:t>
      </w:r>
      <w:r w:rsidRPr="008A0E52">
        <w:rPr>
          <w:rFonts w:cs="Arial"/>
          <w:sz w:val="24"/>
          <w:szCs w:val="24"/>
          <w:lang w:val="en-GB"/>
        </w:rPr>
        <w:t xml:space="preserve">in tenures </w:t>
      </w:r>
      <w:r w:rsidRPr="00D96A82">
        <w:rPr>
          <w:rFonts w:cs="Arial"/>
          <w:sz w:val="24"/>
          <w:szCs w:val="24"/>
          <w:lang w:val="en-GB"/>
        </w:rPr>
        <w:t xml:space="preserve">depending on how easy it has been for immigrants to get access to these </w:t>
      </w:r>
      <w:r>
        <w:rPr>
          <w:rFonts w:cs="Arial"/>
          <w:sz w:val="24"/>
          <w:szCs w:val="24"/>
          <w:lang w:val="en-GB"/>
        </w:rPr>
        <w:t>tenures</w:t>
      </w:r>
      <w:r w:rsidRPr="00D96A82">
        <w:rPr>
          <w:rFonts w:cs="Arial"/>
          <w:sz w:val="24"/>
          <w:szCs w:val="24"/>
          <w:lang w:val="en-GB"/>
        </w:rPr>
        <w:t>. In some countries</w:t>
      </w:r>
      <w:r>
        <w:rPr>
          <w:rFonts w:cs="Arial"/>
          <w:sz w:val="24"/>
          <w:szCs w:val="24"/>
          <w:lang w:val="en-GB"/>
        </w:rPr>
        <w:t>,</w:t>
      </w:r>
      <w:r w:rsidRPr="00D96A82">
        <w:rPr>
          <w:rFonts w:cs="Arial"/>
          <w:sz w:val="24"/>
          <w:szCs w:val="24"/>
          <w:lang w:val="en-GB"/>
        </w:rPr>
        <w:t xml:space="preserve"> it has </w:t>
      </w:r>
      <w:r>
        <w:rPr>
          <w:rFonts w:cs="Arial"/>
          <w:sz w:val="24"/>
          <w:szCs w:val="24"/>
          <w:lang w:val="en-GB"/>
        </w:rPr>
        <w:t>taken place</w:t>
      </w:r>
      <w:r w:rsidRPr="00D96A82">
        <w:rPr>
          <w:rFonts w:cs="Arial"/>
          <w:sz w:val="24"/>
          <w:szCs w:val="24"/>
          <w:lang w:val="en-GB"/>
        </w:rPr>
        <w:t xml:space="preserve"> in</w:t>
      </w:r>
      <w:r w:rsidRPr="005151D7">
        <w:rPr>
          <w:rFonts w:cs="Arial"/>
          <w:sz w:val="24"/>
          <w:szCs w:val="24"/>
          <w:lang w:val="en-GB"/>
        </w:rPr>
        <w:t xml:space="preserve"> private rented housing</w:t>
      </w:r>
      <w:r w:rsidRPr="00D96A82">
        <w:rPr>
          <w:rFonts w:cs="Arial"/>
          <w:sz w:val="24"/>
          <w:szCs w:val="24"/>
          <w:lang w:val="en-GB"/>
        </w:rPr>
        <w:t xml:space="preserve">, in others in </w:t>
      </w:r>
      <w:r>
        <w:rPr>
          <w:rFonts w:cs="Arial"/>
          <w:sz w:val="24"/>
          <w:szCs w:val="24"/>
          <w:lang w:val="en-GB"/>
        </w:rPr>
        <w:lastRenderedPageBreak/>
        <w:t>social/public housing</w:t>
      </w:r>
      <w:r w:rsidRPr="00D96A82">
        <w:rPr>
          <w:rFonts w:cs="Arial"/>
          <w:sz w:val="24"/>
          <w:szCs w:val="24"/>
          <w:lang w:val="en-GB"/>
        </w:rPr>
        <w:t xml:space="preserve"> and sometimes </w:t>
      </w:r>
      <w:r>
        <w:rPr>
          <w:rFonts w:cs="Arial"/>
          <w:sz w:val="24"/>
          <w:szCs w:val="24"/>
          <w:lang w:val="en-GB"/>
        </w:rPr>
        <w:t>in</w:t>
      </w:r>
      <w:r w:rsidRPr="00D96A82">
        <w:rPr>
          <w:rFonts w:cs="Arial"/>
          <w:sz w:val="24"/>
          <w:szCs w:val="24"/>
          <w:lang w:val="en-GB"/>
        </w:rPr>
        <w:t xml:space="preserve"> owner-occup</w:t>
      </w:r>
      <w:r w:rsidR="00C8494E">
        <w:rPr>
          <w:rFonts w:cs="Arial"/>
          <w:sz w:val="24"/>
          <w:szCs w:val="24"/>
          <w:lang w:val="en-GB"/>
        </w:rPr>
        <w:t>ied housing</w:t>
      </w:r>
      <w:r w:rsidRPr="00D96A82">
        <w:rPr>
          <w:rFonts w:cs="Arial"/>
          <w:sz w:val="24"/>
          <w:szCs w:val="24"/>
          <w:lang w:val="en-GB"/>
        </w:rPr>
        <w:t xml:space="preserve">. A hypothesis could be formulated that neighbourhoods with less attractive housing dominated by an easy-to-access tenure </w:t>
      </w:r>
      <w:r>
        <w:rPr>
          <w:rFonts w:cs="Arial"/>
          <w:sz w:val="24"/>
          <w:szCs w:val="24"/>
          <w:lang w:val="en-GB"/>
        </w:rPr>
        <w:t>provide</w:t>
      </w:r>
      <w:r w:rsidRPr="00D96A82">
        <w:rPr>
          <w:rFonts w:cs="Arial"/>
          <w:sz w:val="24"/>
          <w:szCs w:val="24"/>
          <w:lang w:val="en-GB"/>
        </w:rPr>
        <w:t xml:space="preserve"> the basis for an initial influx of immigrants</w:t>
      </w:r>
      <w:r>
        <w:rPr>
          <w:rFonts w:cs="Arial"/>
          <w:sz w:val="24"/>
          <w:szCs w:val="24"/>
          <w:lang w:val="en-GB"/>
        </w:rPr>
        <w:t xml:space="preserve"> (</w:t>
      </w:r>
      <w:proofErr w:type="spellStart"/>
      <w:r w:rsidRPr="00D96A82">
        <w:rPr>
          <w:rFonts w:cs="Arial"/>
          <w:sz w:val="24"/>
          <w:szCs w:val="24"/>
          <w:lang w:val="en-GB"/>
        </w:rPr>
        <w:t>Scaffer</w:t>
      </w:r>
      <w:proofErr w:type="spellEnd"/>
      <w:r w:rsidRPr="00D96A82">
        <w:rPr>
          <w:rFonts w:cs="Arial"/>
          <w:sz w:val="24"/>
          <w:szCs w:val="24"/>
          <w:lang w:val="en-GB"/>
        </w:rPr>
        <w:t xml:space="preserve"> and Huang 1975, </w:t>
      </w:r>
      <w:proofErr w:type="spellStart"/>
      <w:r w:rsidRPr="00D96A82">
        <w:rPr>
          <w:rFonts w:cs="Arial"/>
          <w:sz w:val="24"/>
          <w:szCs w:val="24"/>
          <w:lang w:val="en-GB"/>
        </w:rPr>
        <w:t>Bleiklie</w:t>
      </w:r>
      <w:proofErr w:type="spellEnd"/>
      <w:r w:rsidRPr="00D96A82">
        <w:rPr>
          <w:rFonts w:cs="Arial"/>
          <w:sz w:val="24"/>
          <w:szCs w:val="24"/>
          <w:lang w:val="en-GB"/>
        </w:rPr>
        <w:t xml:space="preserve"> 1997, </w:t>
      </w:r>
      <w:proofErr w:type="spellStart"/>
      <w:r w:rsidRPr="00D96A82">
        <w:rPr>
          <w:rFonts w:cs="Arial"/>
          <w:sz w:val="24"/>
          <w:szCs w:val="24"/>
          <w:lang w:val="en-GB"/>
        </w:rPr>
        <w:t>Søholt</w:t>
      </w:r>
      <w:proofErr w:type="spellEnd"/>
      <w:r w:rsidRPr="00D96A82">
        <w:rPr>
          <w:rFonts w:cs="Arial"/>
          <w:sz w:val="24"/>
          <w:szCs w:val="24"/>
          <w:lang w:val="en-GB"/>
        </w:rPr>
        <w:t xml:space="preserve"> 2007, </w:t>
      </w:r>
      <w:proofErr w:type="spellStart"/>
      <w:r w:rsidRPr="00D96A82">
        <w:rPr>
          <w:rFonts w:cs="Arial"/>
          <w:sz w:val="24"/>
          <w:szCs w:val="24"/>
          <w:lang w:val="en-GB"/>
        </w:rPr>
        <w:t>Søholt</w:t>
      </w:r>
      <w:proofErr w:type="spellEnd"/>
      <w:r w:rsidRPr="00D96A82">
        <w:rPr>
          <w:rFonts w:cs="Arial"/>
          <w:sz w:val="24"/>
          <w:szCs w:val="24"/>
          <w:lang w:val="en-GB"/>
        </w:rPr>
        <w:t xml:space="preserve"> and </w:t>
      </w:r>
      <w:proofErr w:type="spellStart"/>
      <w:r w:rsidRPr="00D96A82">
        <w:rPr>
          <w:rFonts w:cs="Arial"/>
          <w:sz w:val="24"/>
          <w:szCs w:val="24"/>
          <w:lang w:val="en-GB"/>
        </w:rPr>
        <w:t>Astrup</w:t>
      </w:r>
      <w:proofErr w:type="spellEnd"/>
      <w:r w:rsidRPr="00D96A82">
        <w:rPr>
          <w:rFonts w:cs="Arial"/>
          <w:sz w:val="24"/>
          <w:szCs w:val="24"/>
          <w:lang w:val="en-GB"/>
        </w:rPr>
        <w:t xml:space="preserve"> 2009a). </w:t>
      </w:r>
    </w:p>
    <w:p w:rsidR="0018676A" w:rsidRDefault="0018676A" w:rsidP="0018676A">
      <w:pPr>
        <w:rPr>
          <w:rFonts w:cs="Arial"/>
          <w:sz w:val="24"/>
          <w:szCs w:val="24"/>
          <w:lang w:val="en-GB"/>
        </w:rPr>
      </w:pPr>
    </w:p>
    <w:p w:rsidR="0018676A" w:rsidRPr="00365676" w:rsidRDefault="0018676A" w:rsidP="0018676A">
      <w:pPr>
        <w:rPr>
          <w:rFonts w:cs="Arial"/>
          <w:sz w:val="24"/>
          <w:szCs w:val="24"/>
          <w:lang w:val="en-GB"/>
        </w:rPr>
      </w:pPr>
      <w:r w:rsidRPr="00D96A82">
        <w:rPr>
          <w:rFonts w:cs="Arial"/>
          <w:sz w:val="24"/>
          <w:szCs w:val="24"/>
          <w:lang w:val="en-GB"/>
        </w:rPr>
        <w:t>When the presence of ethnic groups become very visible</w:t>
      </w:r>
      <w:r>
        <w:rPr>
          <w:rFonts w:cs="Arial"/>
          <w:sz w:val="24"/>
          <w:szCs w:val="24"/>
          <w:lang w:val="en-GB"/>
        </w:rPr>
        <w:t>,</w:t>
      </w:r>
      <w:r w:rsidRPr="00D96A82">
        <w:rPr>
          <w:rFonts w:cs="Arial"/>
          <w:sz w:val="24"/>
          <w:szCs w:val="24"/>
          <w:lang w:val="en-GB"/>
        </w:rPr>
        <w:t xml:space="preserve"> segregation processes called ‘White flight’ and ‘White avoidance’ begin to appear. In the US</w:t>
      </w:r>
      <w:r w:rsidR="00781DE7">
        <w:rPr>
          <w:rFonts w:cs="Arial"/>
          <w:sz w:val="24"/>
          <w:szCs w:val="24"/>
          <w:lang w:val="en-GB"/>
        </w:rPr>
        <w:t>,</w:t>
      </w:r>
      <w:r w:rsidRPr="00D96A82">
        <w:rPr>
          <w:rFonts w:cs="Arial"/>
          <w:sz w:val="24"/>
          <w:szCs w:val="24"/>
          <w:lang w:val="en-GB"/>
        </w:rPr>
        <w:t xml:space="preserve"> it has been observed that Whites ‘flee’ when the </w:t>
      </w:r>
      <w:r w:rsidR="00781DE7">
        <w:rPr>
          <w:rFonts w:cs="Arial"/>
          <w:sz w:val="24"/>
          <w:szCs w:val="24"/>
          <w:lang w:val="en-GB"/>
        </w:rPr>
        <w:t>number</w:t>
      </w:r>
      <w:r w:rsidRPr="00D96A82">
        <w:rPr>
          <w:rFonts w:cs="Arial"/>
          <w:sz w:val="24"/>
          <w:szCs w:val="24"/>
          <w:lang w:val="en-GB"/>
        </w:rPr>
        <w:t xml:space="preserve"> of Black residents in their neighbourhood exceed</w:t>
      </w:r>
      <w:r w:rsidR="00495D7A">
        <w:rPr>
          <w:rFonts w:cs="Arial"/>
          <w:sz w:val="24"/>
          <w:szCs w:val="24"/>
          <w:lang w:val="en-GB"/>
        </w:rPr>
        <w:t>s</w:t>
      </w:r>
      <w:r w:rsidRPr="00D96A82">
        <w:rPr>
          <w:rFonts w:cs="Arial"/>
          <w:sz w:val="24"/>
          <w:szCs w:val="24"/>
          <w:lang w:val="en-GB"/>
        </w:rPr>
        <w:t xml:space="preserve"> a certain proportion of the population (Wright et al. 2005). A British study (Simpson and Finney 2009) has shown that White flight is </w:t>
      </w:r>
      <w:r w:rsidR="00781DE7">
        <w:rPr>
          <w:rFonts w:cs="Arial"/>
          <w:sz w:val="24"/>
          <w:szCs w:val="24"/>
          <w:lang w:val="en-GB"/>
        </w:rPr>
        <w:t>less</w:t>
      </w:r>
      <w:r w:rsidRPr="00D96A82">
        <w:rPr>
          <w:rFonts w:cs="Arial"/>
          <w:sz w:val="24"/>
          <w:szCs w:val="24"/>
          <w:lang w:val="en-GB"/>
        </w:rPr>
        <w:t xml:space="preserve"> importan</w:t>
      </w:r>
      <w:r w:rsidR="00781DE7">
        <w:rPr>
          <w:rFonts w:cs="Arial"/>
          <w:sz w:val="24"/>
          <w:szCs w:val="24"/>
          <w:lang w:val="en-GB"/>
        </w:rPr>
        <w:t>t</w:t>
      </w:r>
      <w:r w:rsidRPr="00D96A82">
        <w:rPr>
          <w:rFonts w:cs="Arial"/>
          <w:sz w:val="24"/>
          <w:szCs w:val="24"/>
          <w:lang w:val="en-GB"/>
        </w:rPr>
        <w:t xml:space="preserve"> in the British case. In recent years, there has been a tendency to replace the concept of ‘White flight’ with the more general ‘White avoidance’, meaning that natives tend to avoid moving to neighbourhoods with many immigrants or special ethnic groups (Clark, 1992; </w:t>
      </w:r>
      <w:proofErr w:type="spellStart"/>
      <w:r w:rsidRPr="00D96A82">
        <w:rPr>
          <w:rFonts w:cs="Arial"/>
          <w:sz w:val="24"/>
          <w:szCs w:val="24"/>
          <w:lang w:val="en-GB"/>
        </w:rPr>
        <w:t>Quillian</w:t>
      </w:r>
      <w:proofErr w:type="spellEnd"/>
      <w:r w:rsidRPr="00D96A82">
        <w:rPr>
          <w:rFonts w:cs="Arial"/>
          <w:sz w:val="24"/>
          <w:szCs w:val="24"/>
          <w:lang w:val="en-GB"/>
        </w:rPr>
        <w:t>, 2002</w:t>
      </w:r>
      <w:r>
        <w:rPr>
          <w:rFonts w:cs="Arial"/>
          <w:sz w:val="24"/>
          <w:szCs w:val="24"/>
          <w:lang w:val="en-GB"/>
        </w:rPr>
        <w:t xml:space="preserve">; </w:t>
      </w:r>
      <w:proofErr w:type="spellStart"/>
      <w:r>
        <w:rPr>
          <w:rFonts w:cs="Arial"/>
          <w:sz w:val="24"/>
          <w:szCs w:val="24"/>
          <w:lang w:val="en-GB"/>
        </w:rPr>
        <w:t>Bråmå</w:t>
      </w:r>
      <w:proofErr w:type="spellEnd"/>
      <w:r>
        <w:rPr>
          <w:rFonts w:cs="Arial"/>
          <w:sz w:val="24"/>
          <w:szCs w:val="24"/>
          <w:lang w:val="en-GB"/>
        </w:rPr>
        <w:t xml:space="preserve"> 2006; </w:t>
      </w:r>
      <w:proofErr w:type="spellStart"/>
      <w:r>
        <w:rPr>
          <w:rFonts w:cs="Arial"/>
          <w:sz w:val="24"/>
          <w:szCs w:val="24"/>
          <w:lang w:val="en-GB"/>
        </w:rPr>
        <w:t>Bråmå</w:t>
      </w:r>
      <w:proofErr w:type="spellEnd"/>
      <w:r>
        <w:rPr>
          <w:rFonts w:cs="Arial"/>
          <w:sz w:val="24"/>
          <w:szCs w:val="24"/>
          <w:lang w:val="en-GB"/>
        </w:rPr>
        <w:t xml:space="preserve"> and </w:t>
      </w:r>
      <w:proofErr w:type="spellStart"/>
      <w:r>
        <w:rPr>
          <w:rFonts w:cs="Arial"/>
          <w:sz w:val="24"/>
          <w:szCs w:val="24"/>
          <w:lang w:val="en-GB"/>
        </w:rPr>
        <w:t>Andersson</w:t>
      </w:r>
      <w:proofErr w:type="spellEnd"/>
      <w:r>
        <w:rPr>
          <w:rFonts w:cs="Arial"/>
          <w:sz w:val="24"/>
          <w:szCs w:val="24"/>
          <w:lang w:val="en-GB"/>
        </w:rPr>
        <w:t xml:space="preserve"> 2010</w:t>
      </w:r>
      <w:r w:rsidRPr="00D96A82">
        <w:rPr>
          <w:rFonts w:cs="Arial"/>
          <w:sz w:val="24"/>
          <w:szCs w:val="24"/>
          <w:lang w:val="en-GB"/>
        </w:rPr>
        <w:t xml:space="preserve">). </w:t>
      </w:r>
      <w:r w:rsidRPr="00365676">
        <w:rPr>
          <w:rFonts w:cs="Arial"/>
          <w:sz w:val="24"/>
          <w:szCs w:val="24"/>
          <w:lang w:val="en-GB"/>
        </w:rPr>
        <w:t>As a consequence of these processes</w:t>
      </w:r>
      <w:r>
        <w:rPr>
          <w:rFonts w:cs="Arial"/>
          <w:sz w:val="24"/>
          <w:szCs w:val="24"/>
          <w:lang w:val="en-GB"/>
        </w:rPr>
        <w:t>,</w:t>
      </w:r>
      <w:r w:rsidRPr="00365676">
        <w:rPr>
          <w:rFonts w:cs="Arial"/>
          <w:sz w:val="24"/>
          <w:szCs w:val="24"/>
          <w:lang w:val="en-GB"/>
        </w:rPr>
        <w:t xml:space="preserve"> it is easier for immigrants to get access to these neighbourhoods, which </w:t>
      </w:r>
      <w:r>
        <w:rPr>
          <w:rFonts w:cs="Arial"/>
          <w:sz w:val="24"/>
          <w:szCs w:val="24"/>
          <w:lang w:val="en-GB"/>
        </w:rPr>
        <w:t xml:space="preserve">are </w:t>
      </w:r>
      <w:r w:rsidRPr="00365676">
        <w:rPr>
          <w:rFonts w:cs="Arial"/>
          <w:sz w:val="24"/>
          <w:szCs w:val="24"/>
          <w:lang w:val="en-GB"/>
        </w:rPr>
        <w:t>often dominated by certain tenures.</w:t>
      </w:r>
    </w:p>
    <w:p w:rsidR="0018676A" w:rsidRPr="00365676" w:rsidRDefault="0018676A" w:rsidP="0018676A">
      <w:pPr>
        <w:rPr>
          <w:rFonts w:cs="Arial"/>
          <w:sz w:val="24"/>
          <w:szCs w:val="24"/>
          <w:lang w:val="en-GB"/>
        </w:rPr>
      </w:pPr>
    </w:p>
    <w:p w:rsidR="009B116F" w:rsidRPr="0018676A" w:rsidRDefault="0018676A" w:rsidP="00131479">
      <w:pPr>
        <w:rPr>
          <w:lang w:val="en-GB"/>
        </w:rPr>
      </w:pPr>
      <w:r w:rsidRPr="00365676">
        <w:rPr>
          <w:rFonts w:cs="Arial"/>
          <w:sz w:val="24"/>
          <w:szCs w:val="24"/>
          <w:lang w:val="en-GB"/>
        </w:rPr>
        <w:t xml:space="preserve">As a result of </w:t>
      </w:r>
      <w:r>
        <w:rPr>
          <w:rFonts w:cs="Arial"/>
          <w:sz w:val="24"/>
          <w:szCs w:val="24"/>
          <w:lang w:val="en-GB"/>
        </w:rPr>
        <w:t>the above mentioned factors</w:t>
      </w:r>
      <w:r w:rsidRPr="00365676">
        <w:rPr>
          <w:rFonts w:cs="Arial"/>
          <w:sz w:val="24"/>
          <w:szCs w:val="24"/>
          <w:lang w:val="en-GB"/>
        </w:rPr>
        <w:t>, and the segregation processes that follow, immigrants tend to reside in certain tenures and in less attractive or low-quality housing often concentrated in certain neighbourhoods. The</w:t>
      </w:r>
      <w:r>
        <w:rPr>
          <w:rFonts w:cs="Arial"/>
          <w:sz w:val="24"/>
          <w:szCs w:val="24"/>
          <w:lang w:val="en-GB"/>
        </w:rPr>
        <w:t xml:space="preserve"> results</w:t>
      </w:r>
      <w:r w:rsidRPr="00365676">
        <w:rPr>
          <w:rFonts w:cs="Arial"/>
          <w:sz w:val="24"/>
          <w:szCs w:val="24"/>
          <w:lang w:val="en-GB"/>
        </w:rPr>
        <w:t xml:space="preserve"> are influenced by the </w:t>
      </w:r>
      <w:r>
        <w:rPr>
          <w:rFonts w:cs="Arial"/>
          <w:sz w:val="24"/>
          <w:szCs w:val="24"/>
          <w:lang w:val="en-GB"/>
        </w:rPr>
        <w:t xml:space="preserve">structure </w:t>
      </w:r>
      <w:r w:rsidRPr="00365676">
        <w:rPr>
          <w:rFonts w:cs="Arial"/>
          <w:sz w:val="24"/>
          <w:szCs w:val="24"/>
          <w:lang w:val="en-GB"/>
        </w:rPr>
        <w:t xml:space="preserve">of the housing market and </w:t>
      </w:r>
      <w:r>
        <w:rPr>
          <w:rFonts w:cs="Arial"/>
          <w:sz w:val="24"/>
          <w:szCs w:val="24"/>
          <w:lang w:val="en-GB"/>
        </w:rPr>
        <w:t xml:space="preserve">the </w:t>
      </w:r>
      <w:r w:rsidRPr="00365676">
        <w:rPr>
          <w:rFonts w:cs="Arial"/>
          <w:sz w:val="24"/>
          <w:szCs w:val="24"/>
          <w:lang w:val="en-GB"/>
        </w:rPr>
        <w:t>national and local housing policies that shape it.</w:t>
      </w:r>
    </w:p>
    <w:p w:rsidR="009B116F" w:rsidRDefault="009B116F" w:rsidP="00F05173">
      <w:pPr>
        <w:pStyle w:val="Overskrift3"/>
        <w:rPr>
          <w:lang w:val="en-GB"/>
        </w:rPr>
      </w:pPr>
      <w:r>
        <w:rPr>
          <w:lang w:val="en-GB"/>
        </w:rPr>
        <w:t>Methodology and research design</w:t>
      </w:r>
    </w:p>
    <w:p w:rsidR="007542E0" w:rsidRDefault="00B954E8" w:rsidP="00F05173">
      <w:pPr>
        <w:rPr>
          <w:sz w:val="24"/>
          <w:szCs w:val="24"/>
          <w:lang w:val="en-GB"/>
        </w:rPr>
      </w:pPr>
      <w:r w:rsidRPr="00FD29BA">
        <w:rPr>
          <w:sz w:val="24"/>
          <w:szCs w:val="24"/>
          <w:lang w:val="en-GB"/>
        </w:rPr>
        <w:t>As stated in the introduction</w:t>
      </w:r>
      <w:r w:rsidR="00781DE7">
        <w:rPr>
          <w:sz w:val="24"/>
          <w:szCs w:val="24"/>
          <w:lang w:val="en-GB"/>
        </w:rPr>
        <w:t>,</w:t>
      </w:r>
      <w:r w:rsidRPr="00FD29BA">
        <w:rPr>
          <w:sz w:val="24"/>
          <w:szCs w:val="24"/>
          <w:lang w:val="en-GB"/>
        </w:rPr>
        <w:t xml:space="preserve"> we </w:t>
      </w:r>
      <w:r w:rsidR="0011480D" w:rsidRPr="00661B7C">
        <w:rPr>
          <w:sz w:val="24"/>
          <w:szCs w:val="24"/>
          <w:lang w:val="en-GB"/>
        </w:rPr>
        <w:t>aim</w:t>
      </w:r>
      <w:r w:rsidRPr="00FD29BA">
        <w:rPr>
          <w:sz w:val="24"/>
          <w:szCs w:val="24"/>
          <w:lang w:val="en-GB"/>
        </w:rPr>
        <w:t xml:space="preserve"> </w:t>
      </w:r>
      <w:r w:rsidR="00F317F4">
        <w:rPr>
          <w:sz w:val="24"/>
          <w:szCs w:val="24"/>
          <w:lang w:val="en-GB"/>
        </w:rPr>
        <w:t xml:space="preserve">to compare </w:t>
      </w:r>
      <w:r w:rsidR="00F317F4" w:rsidRPr="00FD29BA">
        <w:rPr>
          <w:sz w:val="24"/>
          <w:szCs w:val="24"/>
          <w:lang w:val="en-GB"/>
        </w:rPr>
        <w:t xml:space="preserve">housing policies in four Nordic countries </w:t>
      </w:r>
      <w:r w:rsidR="00781DE7">
        <w:rPr>
          <w:sz w:val="24"/>
          <w:szCs w:val="24"/>
          <w:lang w:val="en-GB"/>
        </w:rPr>
        <w:t xml:space="preserve">in order </w:t>
      </w:r>
      <w:r w:rsidRPr="00FD29BA">
        <w:rPr>
          <w:sz w:val="24"/>
          <w:szCs w:val="24"/>
          <w:lang w:val="en-GB"/>
        </w:rPr>
        <w:t>to identify elements</w:t>
      </w:r>
      <w:r w:rsidR="00781DE7">
        <w:rPr>
          <w:sz w:val="24"/>
          <w:szCs w:val="24"/>
          <w:lang w:val="en-GB"/>
        </w:rPr>
        <w:t xml:space="preserve"> that</w:t>
      </w:r>
      <w:r w:rsidRPr="00FD29BA">
        <w:rPr>
          <w:sz w:val="24"/>
          <w:szCs w:val="24"/>
          <w:lang w:val="en-GB"/>
        </w:rPr>
        <w:t xml:space="preserve"> </w:t>
      </w:r>
      <w:r w:rsidR="00F317F4">
        <w:rPr>
          <w:sz w:val="24"/>
          <w:szCs w:val="24"/>
          <w:lang w:val="en-GB"/>
        </w:rPr>
        <w:t xml:space="preserve">have a special importance for the housing options and choices of immigrants. </w:t>
      </w:r>
      <w:r w:rsidR="00781DE7">
        <w:rPr>
          <w:sz w:val="24"/>
          <w:szCs w:val="24"/>
          <w:lang w:val="en-GB"/>
        </w:rPr>
        <w:t xml:space="preserve">This </w:t>
      </w:r>
      <w:r w:rsidR="00F317F4">
        <w:rPr>
          <w:sz w:val="24"/>
          <w:szCs w:val="24"/>
          <w:lang w:val="en-GB"/>
        </w:rPr>
        <w:t xml:space="preserve">will </w:t>
      </w:r>
      <w:r w:rsidR="00781DE7">
        <w:rPr>
          <w:sz w:val="24"/>
          <w:szCs w:val="24"/>
          <w:lang w:val="en-GB"/>
        </w:rPr>
        <w:t xml:space="preserve">be </w:t>
      </w:r>
      <w:r w:rsidR="00F317F4">
        <w:rPr>
          <w:sz w:val="24"/>
          <w:szCs w:val="24"/>
          <w:lang w:val="en-GB"/>
        </w:rPr>
        <w:t>do</w:t>
      </w:r>
      <w:r w:rsidR="00781DE7">
        <w:rPr>
          <w:sz w:val="24"/>
          <w:szCs w:val="24"/>
          <w:lang w:val="en-GB"/>
        </w:rPr>
        <w:t>ne</w:t>
      </w:r>
      <w:r w:rsidR="00F317F4">
        <w:rPr>
          <w:sz w:val="24"/>
          <w:szCs w:val="24"/>
          <w:lang w:val="en-GB"/>
        </w:rPr>
        <w:t xml:space="preserve"> by comparing to what extent immigrants</w:t>
      </w:r>
      <w:r w:rsidR="00781DE7">
        <w:rPr>
          <w:sz w:val="24"/>
          <w:szCs w:val="24"/>
          <w:lang w:val="en-GB"/>
        </w:rPr>
        <w:t>’</w:t>
      </w:r>
      <w:r w:rsidR="00F317F4">
        <w:rPr>
          <w:sz w:val="24"/>
          <w:szCs w:val="24"/>
          <w:lang w:val="en-GB"/>
        </w:rPr>
        <w:t xml:space="preserve"> housing position deviates from </w:t>
      </w:r>
      <w:r w:rsidR="00781DE7">
        <w:rPr>
          <w:sz w:val="24"/>
          <w:szCs w:val="24"/>
          <w:lang w:val="en-GB"/>
        </w:rPr>
        <w:t xml:space="preserve">that of </w:t>
      </w:r>
      <w:r w:rsidR="00F317F4">
        <w:rPr>
          <w:sz w:val="24"/>
          <w:szCs w:val="24"/>
          <w:lang w:val="en-GB"/>
        </w:rPr>
        <w:t xml:space="preserve">the whole population in the countries. </w:t>
      </w:r>
    </w:p>
    <w:p w:rsidR="007542E0" w:rsidRDefault="007542E0" w:rsidP="00F05173">
      <w:pPr>
        <w:rPr>
          <w:sz w:val="24"/>
          <w:szCs w:val="24"/>
          <w:lang w:val="en-GB"/>
        </w:rPr>
      </w:pPr>
    </w:p>
    <w:p w:rsidR="00A06848" w:rsidRDefault="00A06848" w:rsidP="00F05173">
      <w:pPr>
        <w:rPr>
          <w:sz w:val="24"/>
          <w:szCs w:val="24"/>
          <w:lang w:val="en-GB"/>
        </w:rPr>
      </w:pPr>
      <w:r>
        <w:rPr>
          <w:sz w:val="24"/>
          <w:szCs w:val="24"/>
          <w:lang w:val="en-GB"/>
        </w:rPr>
        <w:t xml:space="preserve">One of the main reasons why immigrants’ housing situation diverges from </w:t>
      </w:r>
      <w:r w:rsidR="00643638">
        <w:rPr>
          <w:sz w:val="24"/>
          <w:szCs w:val="24"/>
          <w:lang w:val="en-GB"/>
        </w:rPr>
        <w:t xml:space="preserve">that of </w:t>
      </w:r>
      <w:r>
        <w:rPr>
          <w:sz w:val="24"/>
          <w:szCs w:val="24"/>
          <w:lang w:val="en-GB"/>
        </w:rPr>
        <w:t xml:space="preserve">the native population is that in general </w:t>
      </w:r>
      <w:r w:rsidR="00643638">
        <w:rPr>
          <w:sz w:val="24"/>
          <w:szCs w:val="24"/>
          <w:lang w:val="en-GB"/>
        </w:rPr>
        <w:t xml:space="preserve">they </w:t>
      </w:r>
      <w:r>
        <w:rPr>
          <w:sz w:val="24"/>
          <w:szCs w:val="24"/>
          <w:lang w:val="en-GB"/>
        </w:rPr>
        <w:t xml:space="preserve">have lower incomes. It is therefore of great importance for immigrants to what extent there are sufficient affordable housing and satisfactory access possibilities to the different housing segments for different income groups. If low income households in general have good access and affordability to decent housing, immigrants will benefit greatly from this. </w:t>
      </w:r>
      <w:r w:rsidR="007542E0" w:rsidRPr="005151D7">
        <w:rPr>
          <w:sz w:val="24"/>
          <w:szCs w:val="24"/>
          <w:lang w:val="en-GB"/>
        </w:rPr>
        <w:t>We</w:t>
      </w:r>
      <w:r w:rsidR="007542E0">
        <w:rPr>
          <w:sz w:val="24"/>
          <w:szCs w:val="24"/>
          <w:lang w:val="en-GB"/>
        </w:rPr>
        <w:t xml:space="preserve"> therefore </w:t>
      </w:r>
      <w:r w:rsidR="001D2EFB">
        <w:rPr>
          <w:sz w:val="24"/>
          <w:szCs w:val="24"/>
          <w:lang w:val="en-GB"/>
        </w:rPr>
        <w:t>have</w:t>
      </w:r>
      <w:r w:rsidR="007542E0">
        <w:rPr>
          <w:sz w:val="24"/>
          <w:szCs w:val="24"/>
          <w:lang w:val="en-GB"/>
        </w:rPr>
        <w:t xml:space="preserve"> to examine </w:t>
      </w:r>
      <w:r w:rsidR="002F153F">
        <w:rPr>
          <w:sz w:val="24"/>
          <w:szCs w:val="24"/>
          <w:lang w:val="en-GB"/>
        </w:rPr>
        <w:t xml:space="preserve">to what extent the housing position of immigrants </w:t>
      </w:r>
      <w:r w:rsidR="00FF2E2E">
        <w:rPr>
          <w:sz w:val="24"/>
          <w:szCs w:val="24"/>
          <w:lang w:val="en-GB"/>
        </w:rPr>
        <w:t xml:space="preserve">on the housing markets </w:t>
      </w:r>
      <w:r w:rsidR="002F153F">
        <w:rPr>
          <w:sz w:val="24"/>
          <w:szCs w:val="24"/>
          <w:lang w:val="en-GB"/>
        </w:rPr>
        <w:t xml:space="preserve">can be explained by </w:t>
      </w:r>
      <w:r w:rsidR="007542E0">
        <w:rPr>
          <w:sz w:val="24"/>
          <w:szCs w:val="24"/>
          <w:lang w:val="en-GB"/>
        </w:rPr>
        <w:t>income inequalities</w:t>
      </w:r>
      <w:r w:rsidR="002F153F">
        <w:rPr>
          <w:sz w:val="24"/>
          <w:szCs w:val="24"/>
          <w:lang w:val="en-GB"/>
        </w:rPr>
        <w:t xml:space="preserve">. If immigrants’ housing position can be </w:t>
      </w:r>
      <w:r w:rsidR="00FF2E2E">
        <w:rPr>
          <w:sz w:val="24"/>
          <w:szCs w:val="24"/>
          <w:lang w:val="en-GB"/>
        </w:rPr>
        <w:t>fully</w:t>
      </w:r>
      <w:r w:rsidR="002F153F" w:rsidRPr="002F153F">
        <w:rPr>
          <w:sz w:val="24"/>
          <w:szCs w:val="24"/>
          <w:lang w:val="en-GB"/>
        </w:rPr>
        <w:t xml:space="preserve"> </w:t>
      </w:r>
      <w:r w:rsidR="002F153F">
        <w:rPr>
          <w:sz w:val="24"/>
          <w:szCs w:val="24"/>
          <w:lang w:val="en-GB"/>
        </w:rPr>
        <w:t>explained by income inequalities and income differences between immigrants and natives</w:t>
      </w:r>
      <w:r w:rsidR="00FF2E2E">
        <w:rPr>
          <w:sz w:val="24"/>
          <w:szCs w:val="24"/>
          <w:lang w:val="en-GB"/>
        </w:rPr>
        <w:t>,</w:t>
      </w:r>
      <w:r w:rsidR="002F153F">
        <w:rPr>
          <w:sz w:val="24"/>
          <w:szCs w:val="24"/>
          <w:lang w:val="en-GB"/>
        </w:rPr>
        <w:t xml:space="preserve"> there are no special</w:t>
      </w:r>
      <w:r w:rsidR="002F153F" w:rsidRPr="002E0C8F">
        <w:rPr>
          <w:sz w:val="24"/>
          <w:szCs w:val="24"/>
          <w:lang w:val="en-GB"/>
        </w:rPr>
        <w:t xml:space="preserve"> effects </w:t>
      </w:r>
      <w:r w:rsidR="0011480D" w:rsidRPr="002E0C8F">
        <w:rPr>
          <w:sz w:val="24"/>
          <w:szCs w:val="24"/>
          <w:lang w:val="en-GB"/>
        </w:rPr>
        <w:t>of hous</w:t>
      </w:r>
      <w:r w:rsidR="0011480D">
        <w:rPr>
          <w:sz w:val="24"/>
          <w:szCs w:val="24"/>
          <w:lang w:val="en-GB"/>
        </w:rPr>
        <w:t>ing policies</w:t>
      </w:r>
      <w:r w:rsidR="0011480D" w:rsidRPr="002E0C8F">
        <w:rPr>
          <w:sz w:val="24"/>
          <w:szCs w:val="24"/>
          <w:lang w:val="en-GB"/>
        </w:rPr>
        <w:t xml:space="preserve"> </w:t>
      </w:r>
      <w:r w:rsidR="0011480D">
        <w:rPr>
          <w:sz w:val="24"/>
          <w:szCs w:val="24"/>
          <w:lang w:val="en-GB"/>
        </w:rPr>
        <w:t>on</w:t>
      </w:r>
      <w:r w:rsidR="002F153F" w:rsidRPr="005151D7">
        <w:rPr>
          <w:sz w:val="24"/>
          <w:szCs w:val="24"/>
          <w:lang w:val="en-GB"/>
        </w:rPr>
        <w:t xml:space="preserve"> </w:t>
      </w:r>
      <w:r w:rsidR="002F153F" w:rsidRPr="002E0C8F">
        <w:rPr>
          <w:sz w:val="24"/>
          <w:szCs w:val="24"/>
          <w:lang w:val="en-GB"/>
        </w:rPr>
        <w:t>immigrants</w:t>
      </w:r>
      <w:r w:rsidR="002F153F">
        <w:rPr>
          <w:sz w:val="24"/>
          <w:szCs w:val="24"/>
          <w:lang w:val="en-GB"/>
        </w:rPr>
        <w:t>.</w:t>
      </w:r>
    </w:p>
    <w:p w:rsidR="00F05173" w:rsidRDefault="00F05173" w:rsidP="00F05173">
      <w:pPr>
        <w:rPr>
          <w:rFonts w:cs="Arial"/>
          <w:sz w:val="24"/>
          <w:szCs w:val="24"/>
          <w:lang w:val="en-GB"/>
        </w:rPr>
      </w:pPr>
    </w:p>
    <w:p w:rsidR="001D2EFB" w:rsidRDefault="001D2EFB" w:rsidP="001D2EFB">
      <w:pPr>
        <w:rPr>
          <w:rFonts w:cs="Arial"/>
          <w:sz w:val="24"/>
          <w:szCs w:val="24"/>
          <w:lang w:val="en-GB"/>
        </w:rPr>
      </w:pPr>
      <w:r>
        <w:rPr>
          <w:sz w:val="24"/>
          <w:szCs w:val="24"/>
          <w:lang w:val="en-GB"/>
        </w:rPr>
        <w:t xml:space="preserve">Housing inequalities between income groups, </w:t>
      </w:r>
      <w:r w:rsidR="004F139F">
        <w:rPr>
          <w:sz w:val="24"/>
          <w:szCs w:val="24"/>
          <w:lang w:val="en-GB"/>
        </w:rPr>
        <w:t xml:space="preserve">meaning </w:t>
      </w:r>
      <w:r>
        <w:rPr>
          <w:sz w:val="24"/>
          <w:szCs w:val="24"/>
          <w:lang w:val="en-GB"/>
        </w:rPr>
        <w:t xml:space="preserve">to what extent housing opportunities for different income groups are equal or unequal, will be measured by </w:t>
      </w:r>
      <w:r w:rsidR="00BB0C88">
        <w:rPr>
          <w:sz w:val="24"/>
          <w:szCs w:val="24"/>
          <w:lang w:val="en-GB"/>
        </w:rPr>
        <w:t xml:space="preserve">differences in overcrowding between income groups </w:t>
      </w:r>
      <w:r w:rsidR="00FF2E2E">
        <w:rPr>
          <w:sz w:val="24"/>
          <w:szCs w:val="24"/>
          <w:lang w:val="en-GB"/>
        </w:rPr>
        <w:t xml:space="preserve">in order </w:t>
      </w:r>
      <w:r w:rsidR="00BB0C88">
        <w:rPr>
          <w:sz w:val="24"/>
          <w:szCs w:val="24"/>
          <w:lang w:val="en-GB"/>
        </w:rPr>
        <w:t xml:space="preserve">to </w:t>
      </w:r>
      <w:r w:rsidR="00FF2E2E" w:rsidRPr="00661B7C">
        <w:rPr>
          <w:sz w:val="24"/>
          <w:szCs w:val="24"/>
          <w:lang w:val="en-GB"/>
        </w:rPr>
        <w:t>clarify</w:t>
      </w:r>
      <w:r w:rsidR="00FF2E2E">
        <w:rPr>
          <w:sz w:val="24"/>
          <w:szCs w:val="24"/>
          <w:lang w:val="en-GB"/>
        </w:rPr>
        <w:t xml:space="preserve"> </w:t>
      </w:r>
      <w:r w:rsidR="004F139F">
        <w:rPr>
          <w:sz w:val="24"/>
          <w:szCs w:val="24"/>
          <w:lang w:val="en-GB"/>
        </w:rPr>
        <w:t>whether</w:t>
      </w:r>
      <w:r w:rsidR="00BB0C88">
        <w:rPr>
          <w:sz w:val="24"/>
          <w:szCs w:val="24"/>
          <w:lang w:val="en-GB"/>
        </w:rPr>
        <w:t xml:space="preserve"> there are high or low differences in housing consumption between income groups, and by </w:t>
      </w:r>
      <w:r>
        <w:rPr>
          <w:sz w:val="24"/>
          <w:szCs w:val="24"/>
          <w:lang w:val="en-GB"/>
        </w:rPr>
        <w:t>comparing ‘</w:t>
      </w:r>
      <w:r w:rsidRPr="006C3C6F">
        <w:rPr>
          <w:i/>
          <w:sz w:val="24"/>
          <w:szCs w:val="24"/>
          <w:lang w:val="en-GB"/>
        </w:rPr>
        <w:t>income segmentation</w:t>
      </w:r>
      <w:r>
        <w:rPr>
          <w:sz w:val="24"/>
          <w:szCs w:val="24"/>
          <w:lang w:val="en-GB"/>
        </w:rPr>
        <w:t xml:space="preserve">’ on the housing market; that is how different income groups are distributed on housing tenures. </w:t>
      </w:r>
      <w:r w:rsidRPr="005C1E45">
        <w:rPr>
          <w:rFonts w:cs="Arial"/>
          <w:sz w:val="24"/>
          <w:szCs w:val="24"/>
          <w:lang w:val="en-GB"/>
        </w:rPr>
        <w:t>Segmentation of the housing market is a concept that has been used to describe the way different people are allocated to different parts of the housing market (Lindberg and Lindèn1989) or that different parts of the housing market are designed to meet different kinds of demand (</w:t>
      </w:r>
      <w:proofErr w:type="spellStart"/>
      <w:r w:rsidRPr="005C1E45">
        <w:rPr>
          <w:rFonts w:cs="Arial"/>
          <w:sz w:val="24"/>
          <w:szCs w:val="24"/>
          <w:lang w:val="en-GB"/>
        </w:rPr>
        <w:t>Rothenburg</w:t>
      </w:r>
      <w:proofErr w:type="spellEnd"/>
      <w:r w:rsidRPr="005C1E45">
        <w:rPr>
          <w:rFonts w:cs="Arial"/>
          <w:sz w:val="24"/>
          <w:szCs w:val="24"/>
          <w:lang w:val="en-GB"/>
        </w:rPr>
        <w:t xml:space="preserve"> et al. 1991). </w:t>
      </w:r>
    </w:p>
    <w:p w:rsidR="001D2EFB" w:rsidRDefault="001D2EFB" w:rsidP="00F05173">
      <w:pPr>
        <w:rPr>
          <w:rFonts w:cs="Arial"/>
          <w:sz w:val="24"/>
          <w:szCs w:val="24"/>
          <w:lang w:val="en-GB"/>
        </w:rPr>
      </w:pPr>
    </w:p>
    <w:p w:rsidR="00F05173" w:rsidRDefault="001D2EFB" w:rsidP="00F05173">
      <w:pPr>
        <w:rPr>
          <w:rFonts w:cs="Arial"/>
          <w:sz w:val="24"/>
          <w:szCs w:val="24"/>
          <w:lang w:val="en-GB"/>
        </w:rPr>
      </w:pPr>
      <w:r>
        <w:rPr>
          <w:rFonts w:cs="Arial"/>
          <w:sz w:val="24"/>
          <w:szCs w:val="24"/>
          <w:lang w:val="en-GB"/>
        </w:rPr>
        <w:t xml:space="preserve">Income segmentation </w:t>
      </w:r>
      <w:r w:rsidR="00F05173" w:rsidRPr="005C1E45">
        <w:rPr>
          <w:rFonts w:cs="Arial"/>
          <w:sz w:val="24"/>
          <w:szCs w:val="24"/>
          <w:lang w:val="en-GB"/>
        </w:rPr>
        <w:t xml:space="preserve">is created when different tenures </w:t>
      </w:r>
      <w:r w:rsidR="009356E6">
        <w:rPr>
          <w:rFonts w:cs="Arial"/>
          <w:sz w:val="24"/>
          <w:szCs w:val="24"/>
          <w:lang w:val="en-GB"/>
        </w:rPr>
        <w:t xml:space="preserve">are </w:t>
      </w:r>
      <w:r w:rsidR="00F05173" w:rsidRPr="005C1E45">
        <w:rPr>
          <w:rFonts w:cs="Arial"/>
          <w:sz w:val="24"/>
          <w:szCs w:val="24"/>
          <w:lang w:val="en-GB"/>
        </w:rPr>
        <w:t xml:space="preserve">to a </w:t>
      </w:r>
      <w:r>
        <w:rPr>
          <w:rFonts w:cs="Arial"/>
          <w:sz w:val="24"/>
          <w:szCs w:val="24"/>
          <w:lang w:val="en-GB"/>
        </w:rPr>
        <w:t>major</w:t>
      </w:r>
      <w:r w:rsidR="00F05173" w:rsidRPr="005C1E45">
        <w:rPr>
          <w:rFonts w:cs="Arial"/>
          <w:sz w:val="24"/>
          <w:szCs w:val="24"/>
          <w:lang w:val="en-GB"/>
        </w:rPr>
        <w:t xml:space="preserve"> extent made available and attractive for households </w:t>
      </w:r>
      <w:r w:rsidR="00DC683F">
        <w:rPr>
          <w:rFonts w:cs="Arial"/>
          <w:sz w:val="24"/>
          <w:szCs w:val="24"/>
          <w:lang w:val="en-GB"/>
        </w:rPr>
        <w:t xml:space="preserve">in different </w:t>
      </w:r>
      <w:r w:rsidR="00F05173" w:rsidRPr="005C1E45">
        <w:rPr>
          <w:rFonts w:cs="Arial"/>
          <w:sz w:val="24"/>
          <w:szCs w:val="24"/>
          <w:lang w:val="en-GB"/>
        </w:rPr>
        <w:t>income</w:t>
      </w:r>
      <w:r w:rsidR="00DC683F">
        <w:rPr>
          <w:rFonts w:cs="Arial"/>
          <w:sz w:val="24"/>
          <w:szCs w:val="24"/>
          <w:lang w:val="en-GB"/>
        </w:rPr>
        <w:t xml:space="preserve"> groups</w:t>
      </w:r>
      <w:r w:rsidR="00F05173" w:rsidRPr="005C1E45">
        <w:rPr>
          <w:rFonts w:cs="Arial"/>
          <w:sz w:val="24"/>
          <w:szCs w:val="24"/>
          <w:lang w:val="en-GB"/>
        </w:rPr>
        <w:t xml:space="preserve">. Segmentation often means that high-income groups are concentrated in certain parts of the housing market, mostly owner-occupied detached housing, while low-income groups mostly reside in poor rental housing or </w:t>
      </w:r>
      <w:r w:rsidR="00F05173">
        <w:rPr>
          <w:rFonts w:cs="Arial"/>
          <w:sz w:val="24"/>
          <w:szCs w:val="24"/>
          <w:lang w:val="en-GB"/>
        </w:rPr>
        <w:t>social/public housing</w:t>
      </w:r>
      <w:r w:rsidR="00F05173" w:rsidRPr="005C1E45">
        <w:rPr>
          <w:rFonts w:cs="Arial"/>
          <w:sz w:val="24"/>
          <w:szCs w:val="24"/>
          <w:lang w:val="en-GB"/>
        </w:rPr>
        <w:t xml:space="preserve">. Segmentation can result from the way </w:t>
      </w:r>
      <w:r w:rsidR="00A06848">
        <w:rPr>
          <w:rFonts w:cs="Arial"/>
          <w:sz w:val="24"/>
          <w:szCs w:val="24"/>
          <w:lang w:val="en-GB"/>
        </w:rPr>
        <w:t xml:space="preserve">housing </w:t>
      </w:r>
      <w:r w:rsidR="00F05173" w:rsidRPr="005C1E45">
        <w:rPr>
          <w:rFonts w:cs="Arial"/>
          <w:sz w:val="24"/>
          <w:szCs w:val="24"/>
          <w:lang w:val="en-GB"/>
        </w:rPr>
        <w:t>subsidies are designed</w:t>
      </w:r>
      <w:r w:rsidR="00F05173">
        <w:rPr>
          <w:rFonts w:cs="Arial"/>
          <w:sz w:val="24"/>
          <w:szCs w:val="24"/>
          <w:lang w:val="en-GB"/>
        </w:rPr>
        <w:t>.</w:t>
      </w:r>
      <w:r w:rsidR="00F05173" w:rsidRPr="005C1E45">
        <w:rPr>
          <w:rFonts w:cs="Arial"/>
          <w:sz w:val="24"/>
          <w:szCs w:val="24"/>
          <w:lang w:val="en-GB"/>
        </w:rPr>
        <w:t xml:space="preserve"> </w:t>
      </w:r>
      <w:r w:rsidR="00F05173">
        <w:rPr>
          <w:rFonts w:cs="Arial"/>
          <w:sz w:val="24"/>
          <w:szCs w:val="24"/>
          <w:lang w:val="en-GB"/>
        </w:rPr>
        <w:t>T</w:t>
      </w:r>
      <w:r w:rsidR="00F05173" w:rsidRPr="005C1E45">
        <w:rPr>
          <w:rFonts w:cs="Arial"/>
          <w:sz w:val="24"/>
          <w:szCs w:val="24"/>
          <w:lang w:val="en-GB"/>
        </w:rPr>
        <w:t xml:space="preserve">ax subsidies in </w:t>
      </w:r>
      <w:r w:rsidR="00F05173" w:rsidRPr="00025180">
        <w:rPr>
          <w:rFonts w:cs="Arial"/>
          <w:sz w:val="24"/>
          <w:szCs w:val="24"/>
          <w:lang w:val="en-GB"/>
        </w:rPr>
        <w:t>owner-occupation</w:t>
      </w:r>
      <w:r w:rsidR="00F05173" w:rsidRPr="005C1E45">
        <w:rPr>
          <w:rFonts w:cs="Arial"/>
          <w:sz w:val="24"/>
          <w:szCs w:val="24"/>
          <w:lang w:val="en-GB"/>
        </w:rPr>
        <w:t xml:space="preserve"> </w:t>
      </w:r>
      <w:r w:rsidR="00F05173">
        <w:rPr>
          <w:rFonts w:cs="Arial"/>
          <w:sz w:val="24"/>
          <w:szCs w:val="24"/>
          <w:lang w:val="en-GB"/>
        </w:rPr>
        <w:t>are</w:t>
      </w:r>
      <w:r w:rsidR="00F05173" w:rsidRPr="005C1E45">
        <w:rPr>
          <w:rFonts w:cs="Arial"/>
          <w:sz w:val="24"/>
          <w:szCs w:val="24"/>
          <w:lang w:val="en-GB"/>
        </w:rPr>
        <w:t xml:space="preserve"> most favourable for high-income groups while only low-income groups can get housing allowances in rental housing</w:t>
      </w:r>
      <w:r w:rsidR="00F05173">
        <w:rPr>
          <w:rFonts w:cs="Arial"/>
          <w:sz w:val="24"/>
          <w:szCs w:val="24"/>
          <w:lang w:val="en-GB"/>
        </w:rPr>
        <w:t>. Segmentation can also result from</w:t>
      </w:r>
      <w:r w:rsidR="00F05173" w:rsidRPr="005C1E45">
        <w:rPr>
          <w:rFonts w:cs="Arial"/>
          <w:sz w:val="24"/>
          <w:szCs w:val="24"/>
          <w:lang w:val="en-GB"/>
        </w:rPr>
        <w:t xml:space="preserve"> the way access to tenures is regulated</w:t>
      </w:r>
      <w:r w:rsidR="00F05173">
        <w:rPr>
          <w:rFonts w:cs="Arial"/>
          <w:sz w:val="24"/>
          <w:szCs w:val="24"/>
          <w:lang w:val="en-GB"/>
        </w:rPr>
        <w:t>. S</w:t>
      </w:r>
      <w:r w:rsidR="00F05173" w:rsidRPr="005C1E45">
        <w:rPr>
          <w:rFonts w:cs="Arial"/>
          <w:sz w:val="24"/>
          <w:szCs w:val="24"/>
          <w:lang w:val="en-GB"/>
        </w:rPr>
        <w:t xml:space="preserve">ometimes only low-income groups can get access to subsidised </w:t>
      </w:r>
      <w:r w:rsidR="00F05173">
        <w:rPr>
          <w:rFonts w:cs="Arial"/>
          <w:sz w:val="24"/>
          <w:szCs w:val="24"/>
          <w:lang w:val="en-GB"/>
        </w:rPr>
        <w:t>social/public housing</w:t>
      </w:r>
      <w:r w:rsidR="00F05173" w:rsidRPr="005C1E45">
        <w:rPr>
          <w:rFonts w:cs="Arial"/>
          <w:sz w:val="24"/>
          <w:szCs w:val="24"/>
          <w:lang w:val="en-GB"/>
        </w:rPr>
        <w:t xml:space="preserve">. </w:t>
      </w:r>
    </w:p>
    <w:p w:rsidR="00BB0C88" w:rsidRDefault="00BB0C88" w:rsidP="00BB0C88">
      <w:pPr>
        <w:rPr>
          <w:sz w:val="24"/>
          <w:szCs w:val="24"/>
          <w:lang w:val="en-GB"/>
        </w:rPr>
      </w:pPr>
    </w:p>
    <w:p w:rsidR="001D2EFB" w:rsidRDefault="00E60395" w:rsidP="001D2EFB">
      <w:pPr>
        <w:rPr>
          <w:rFonts w:cs="Arial"/>
          <w:sz w:val="24"/>
          <w:szCs w:val="24"/>
          <w:lang w:val="en-GB"/>
        </w:rPr>
      </w:pPr>
      <w:r>
        <w:rPr>
          <w:rFonts w:cs="Arial"/>
          <w:sz w:val="24"/>
          <w:szCs w:val="24"/>
          <w:lang w:val="en-GB"/>
        </w:rPr>
        <w:t>In this article, t</w:t>
      </w:r>
      <w:r w:rsidR="001D2EFB">
        <w:rPr>
          <w:rFonts w:cs="Arial"/>
          <w:sz w:val="24"/>
          <w:szCs w:val="24"/>
          <w:lang w:val="en-GB"/>
        </w:rPr>
        <w:t xml:space="preserve">he housing </w:t>
      </w:r>
      <w:r w:rsidR="00C13B73">
        <w:rPr>
          <w:rFonts w:cs="Arial"/>
          <w:sz w:val="24"/>
          <w:szCs w:val="24"/>
          <w:lang w:val="en-GB"/>
        </w:rPr>
        <w:t>outcomes</w:t>
      </w:r>
      <w:r w:rsidR="001D2EFB">
        <w:rPr>
          <w:rFonts w:cs="Arial"/>
          <w:sz w:val="24"/>
          <w:szCs w:val="24"/>
          <w:lang w:val="en-GB"/>
        </w:rPr>
        <w:t xml:space="preserve"> of immigrants </w:t>
      </w:r>
      <w:r w:rsidR="001D2EFB" w:rsidRPr="00025180">
        <w:rPr>
          <w:rFonts w:cs="Arial"/>
          <w:sz w:val="24"/>
          <w:szCs w:val="24"/>
          <w:lang w:val="en-GB"/>
        </w:rPr>
        <w:t>are</w:t>
      </w:r>
      <w:r w:rsidR="001D2EFB">
        <w:rPr>
          <w:rFonts w:cs="Arial"/>
          <w:sz w:val="24"/>
          <w:szCs w:val="24"/>
          <w:lang w:val="en-GB"/>
        </w:rPr>
        <w:t xml:space="preserve"> characterised by two measures. The first </w:t>
      </w:r>
      <w:r w:rsidR="001D2EFB" w:rsidRPr="00025180">
        <w:rPr>
          <w:rFonts w:cs="Arial"/>
          <w:sz w:val="24"/>
          <w:szCs w:val="24"/>
          <w:lang w:val="en-GB"/>
        </w:rPr>
        <w:t>is</w:t>
      </w:r>
      <w:r w:rsidR="001D2EFB">
        <w:rPr>
          <w:rFonts w:cs="Arial"/>
          <w:sz w:val="24"/>
          <w:szCs w:val="24"/>
          <w:lang w:val="en-GB"/>
        </w:rPr>
        <w:t xml:space="preserve"> </w:t>
      </w:r>
      <w:r>
        <w:rPr>
          <w:rFonts w:cs="Arial"/>
          <w:sz w:val="24"/>
          <w:szCs w:val="24"/>
          <w:lang w:val="en-GB"/>
        </w:rPr>
        <w:t xml:space="preserve">the </w:t>
      </w:r>
      <w:r w:rsidR="001D2EFB">
        <w:rPr>
          <w:rFonts w:cs="Arial"/>
          <w:sz w:val="24"/>
          <w:szCs w:val="24"/>
          <w:lang w:val="en-GB"/>
        </w:rPr>
        <w:t xml:space="preserve">immigrants’ achieved position in housing tenures compared with </w:t>
      </w:r>
      <w:r>
        <w:rPr>
          <w:rFonts w:cs="Arial"/>
          <w:sz w:val="24"/>
          <w:szCs w:val="24"/>
          <w:lang w:val="en-GB"/>
        </w:rPr>
        <w:t xml:space="preserve">that of </w:t>
      </w:r>
      <w:r w:rsidR="001D2EFB">
        <w:rPr>
          <w:rFonts w:cs="Arial"/>
          <w:sz w:val="24"/>
          <w:szCs w:val="24"/>
          <w:lang w:val="en-GB"/>
        </w:rPr>
        <w:t>the whole population. This is called the ‘</w:t>
      </w:r>
      <w:r w:rsidR="001D2EFB" w:rsidRPr="00DC78CD">
        <w:rPr>
          <w:rFonts w:cs="Arial"/>
          <w:i/>
          <w:sz w:val="24"/>
          <w:szCs w:val="24"/>
          <w:lang w:val="en-GB"/>
        </w:rPr>
        <w:t>ethnic segmentation of the housing market</w:t>
      </w:r>
      <w:r w:rsidR="001D2EFB">
        <w:rPr>
          <w:rFonts w:cs="Arial"/>
          <w:i/>
          <w:sz w:val="24"/>
          <w:szCs w:val="24"/>
          <w:lang w:val="en-GB"/>
        </w:rPr>
        <w:t>’</w:t>
      </w:r>
      <w:r w:rsidR="001D2EFB">
        <w:rPr>
          <w:rFonts w:cs="Arial"/>
          <w:sz w:val="24"/>
          <w:szCs w:val="24"/>
          <w:lang w:val="en-GB"/>
        </w:rPr>
        <w:t xml:space="preserve">. </w:t>
      </w:r>
    </w:p>
    <w:p w:rsidR="001D2EFB" w:rsidRDefault="001D2EFB" w:rsidP="00F05173">
      <w:pPr>
        <w:rPr>
          <w:sz w:val="24"/>
          <w:szCs w:val="24"/>
          <w:lang w:val="en-GB"/>
        </w:rPr>
      </w:pPr>
    </w:p>
    <w:p w:rsidR="00F05173" w:rsidRDefault="00F05173" w:rsidP="00F05173">
      <w:pPr>
        <w:rPr>
          <w:sz w:val="24"/>
          <w:szCs w:val="24"/>
          <w:lang w:val="en-GB"/>
        </w:rPr>
      </w:pPr>
      <w:r>
        <w:rPr>
          <w:sz w:val="24"/>
          <w:szCs w:val="24"/>
          <w:lang w:val="en-GB"/>
        </w:rPr>
        <w:t>The housing market segmentation of immigrants gives</w:t>
      </w:r>
      <w:r w:rsidRPr="000C6373">
        <w:rPr>
          <w:sz w:val="24"/>
          <w:szCs w:val="24"/>
          <w:lang w:val="en-GB"/>
        </w:rPr>
        <w:t xml:space="preserve"> a picture of to what extent they have easy or difficult access to different housing tenures, especially to homeownership and </w:t>
      </w:r>
      <w:r>
        <w:rPr>
          <w:sz w:val="24"/>
          <w:szCs w:val="24"/>
          <w:lang w:val="en-GB"/>
        </w:rPr>
        <w:t>social/public housing</w:t>
      </w:r>
      <w:r w:rsidRPr="000C6373">
        <w:rPr>
          <w:sz w:val="24"/>
          <w:szCs w:val="24"/>
          <w:lang w:val="en-GB"/>
        </w:rPr>
        <w:t xml:space="preserve">. </w:t>
      </w:r>
      <w:r>
        <w:rPr>
          <w:sz w:val="24"/>
          <w:szCs w:val="24"/>
          <w:lang w:val="en-GB"/>
        </w:rPr>
        <w:t>Especially in American literature on processes of integration (assimilation) of immigrants (</w:t>
      </w:r>
      <w:proofErr w:type="spellStart"/>
      <w:r>
        <w:rPr>
          <w:sz w:val="24"/>
          <w:szCs w:val="24"/>
          <w:lang w:val="en-GB"/>
        </w:rPr>
        <w:t>Borjas</w:t>
      </w:r>
      <w:proofErr w:type="spellEnd"/>
      <w:r>
        <w:rPr>
          <w:sz w:val="24"/>
          <w:szCs w:val="24"/>
          <w:lang w:val="en-GB"/>
        </w:rPr>
        <w:t xml:space="preserve"> 2002, Alba and Nee 1997)</w:t>
      </w:r>
      <w:r w:rsidR="00B230E6">
        <w:rPr>
          <w:sz w:val="24"/>
          <w:szCs w:val="24"/>
          <w:lang w:val="en-GB"/>
        </w:rPr>
        <w:t>,</w:t>
      </w:r>
      <w:r>
        <w:rPr>
          <w:sz w:val="24"/>
          <w:szCs w:val="24"/>
          <w:lang w:val="en-GB"/>
        </w:rPr>
        <w:t xml:space="preserve"> homeownership </w:t>
      </w:r>
      <w:r w:rsidR="00B230E6">
        <w:rPr>
          <w:sz w:val="24"/>
          <w:szCs w:val="24"/>
          <w:lang w:val="en-GB"/>
        </w:rPr>
        <w:t xml:space="preserve">is </w:t>
      </w:r>
      <w:r>
        <w:rPr>
          <w:sz w:val="24"/>
          <w:szCs w:val="24"/>
          <w:lang w:val="en-GB"/>
        </w:rPr>
        <w:t>often seen as a sign of positive social integration. In this light a high segmentation of immigrants, resulting in a higher representation in rental housing could be seen as a sign of weak integration and failed integration policies. Another negative aspect related to high segmentation is that different tenures tend to be concentrated in different neighbourhoods. High segmentation can therefore result in higher segregation of immigrants and concentration in particular low-cost tenures, often social/public housing in particular neighbourhoods</w:t>
      </w:r>
      <w:r>
        <w:rPr>
          <w:rFonts w:cs="Arial"/>
          <w:sz w:val="24"/>
          <w:szCs w:val="24"/>
          <w:lang w:val="en-GB"/>
        </w:rPr>
        <w:t xml:space="preserve"> (Skifter Andersen et al 2000).</w:t>
      </w:r>
    </w:p>
    <w:p w:rsidR="00F05173" w:rsidRDefault="00F05173" w:rsidP="00F05173">
      <w:pPr>
        <w:rPr>
          <w:sz w:val="24"/>
          <w:szCs w:val="24"/>
          <w:lang w:val="en-GB"/>
        </w:rPr>
      </w:pPr>
    </w:p>
    <w:p w:rsidR="00F05173" w:rsidRPr="000C6373" w:rsidRDefault="00B230E6" w:rsidP="00F05173">
      <w:pPr>
        <w:rPr>
          <w:sz w:val="24"/>
          <w:szCs w:val="24"/>
          <w:lang w:val="en-GB"/>
        </w:rPr>
      </w:pPr>
      <w:r>
        <w:rPr>
          <w:sz w:val="24"/>
          <w:szCs w:val="24"/>
          <w:lang w:val="en-GB"/>
        </w:rPr>
        <w:t>In the article,</w:t>
      </w:r>
      <w:r w:rsidRPr="000C6373">
        <w:rPr>
          <w:sz w:val="24"/>
          <w:szCs w:val="24"/>
          <w:lang w:val="en-GB"/>
        </w:rPr>
        <w:t xml:space="preserve"> </w:t>
      </w:r>
      <w:r>
        <w:rPr>
          <w:sz w:val="24"/>
          <w:szCs w:val="24"/>
          <w:lang w:val="en-GB"/>
        </w:rPr>
        <w:t>t</w:t>
      </w:r>
      <w:r w:rsidR="00F05173" w:rsidRPr="000C6373">
        <w:rPr>
          <w:sz w:val="24"/>
          <w:szCs w:val="24"/>
          <w:lang w:val="en-GB"/>
        </w:rPr>
        <w:t xml:space="preserve">he </w:t>
      </w:r>
      <w:r w:rsidR="00F05173">
        <w:rPr>
          <w:sz w:val="24"/>
          <w:szCs w:val="24"/>
          <w:lang w:val="en-GB"/>
        </w:rPr>
        <w:t>second</w:t>
      </w:r>
      <w:r w:rsidR="00F05173" w:rsidRPr="000C6373">
        <w:rPr>
          <w:sz w:val="24"/>
          <w:szCs w:val="24"/>
          <w:lang w:val="en-GB"/>
        </w:rPr>
        <w:t xml:space="preserve"> measure used to compare immigrants</w:t>
      </w:r>
      <w:r w:rsidR="00F05173">
        <w:rPr>
          <w:sz w:val="24"/>
          <w:szCs w:val="24"/>
          <w:lang w:val="en-GB"/>
        </w:rPr>
        <w:t>’</w:t>
      </w:r>
      <w:r w:rsidR="00F05173" w:rsidRPr="000C6373">
        <w:rPr>
          <w:sz w:val="24"/>
          <w:szCs w:val="24"/>
          <w:lang w:val="en-GB"/>
        </w:rPr>
        <w:t xml:space="preserve"> housing position between </w:t>
      </w:r>
      <w:r>
        <w:rPr>
          <w:sz w:val="24"/>
          <w:szCs w:val="24"/>
          <w:lang w:val="en-GB"/>
        </w:rPr>
        <w:t xml:space="preserve">four </w:t>
      </w:r>
      <w:r w:rsidR="00F05173" w:rsidRPr="000C6373">
        <w:rPr>
          <w:sz w:val="24"/>
          <w:szCs w:val="24"/>
          <w:lang w:val="en-GB"/>
        </w:rPr>
        <w:t xml:space="preserve">countries is the proportion </w:t>
      </w:r>
      <w:r>
        <w:rPr>
          <w:sz w:val="24"/>
          <w:szCs w:val="24"/>
          <w:lang w:val="en-GB"/>
        </w:rPr>
        <w:t xml:space="preserve">of immigrants </w:t>
      </w:r>
      <w:r w:rsidR="00F05173" w:rsidRPr="000C6373">
        <w:rPr>
          <w:sz w:val="24"/>
          <w:szCs w:val="24"/>
          <w:lang w:val="en-GB"/>
        </w:rPr>
        <w:t xml:space="preserve">living in overcrowded dwellings compared </w:t>
      </w:r>
      <w:r>
        <w:rPr>
          <w:sz w:val="24"/>
          <w:szCs w:val="24"/>
          <w:lang w:val="en-GB"/>
        </w:rPr>
        <w:t>with</w:t>
      </w:r>
      <w:r w:rsidR="00F05173" w:rsidRPr="000C6373">
        <w:rPr>
          <w:sz w:val="24"/>
          <w:szCs w:val="24"/>
          <w:lang w:val="en-GB"/>
        </w:rPr>
        <w:t xml:space="preserve"> the whole population. This ‘</w:t>
      </w:r>
      <w:r w:rsidR="00F05173" w:rsidRPr="000C6373">
        <w:rPr>
          <w:i/>
          <w:sz w:val="24"/>
          <w:szCs w:val="24"/>
          <w:lang w:val="en-GB"/>
        </w:rPr>
        <w:t>relative overcrowding</w:t>
      </w:r>
      <w:r w:rsidR="00F05173" w:rsidRPr="000C6373">
        <w:rPr>
          <w:sz w:val="24"/>
          <w:szCs w:val="24"/>
          <w:lang w:val="en-GB"/>
        </w:rPr>
        <w:t xml:space="preserve">’ is a measure of to what extent the housing </w:t>
      </w:r>
      <w:r w:rsidR="00F05173">
        <w:rPr>
          <w:sz w:val="24"/>
          <w:szCs w:val="24"/>
          <w:lang w:val="en-GB"/>
        </w:rPr>
        <w:t>consumption</w:t>
      </w:r>
      <w:r w:rsidR="00F05173" w:rsidRPr="000C6373">
        <w:rPr>
          <w:sz w:val="24"/>
          <w:szCs w:val="24"/>
          <w:lang w:val="en-GB"/>
        </w:rPr>
        <w:t>, which immigrants have obtained, differ</w:t>
      </w:r>
      <w:r>
        <w:rPr>
          <w:sz w:val="24"/>
          <w:szCs w:val="24"/>
          <w:lang w:val="en-GB"/>
        </w:rPr>
        <w:t>s</w:t>
      </w:r>
      <w:r w:rsidR="00F05173" w:rsidRPr="000C6373">
        <w:rPr>
          <w:sz w:val="24"/>
          <w:szCs w:val="24"/>
          <w:lang w:val="en-GB"/>
        </w:rPr>
        <w:t xml:space="preserve"> from the general level of </w:t>
      </w:r>
      <w:r w:rsidR="00F05173" w:rsidRPr="005151D7">
        <w:rPr>
          <w:sz w:val="24"/>
          <w:szCs w:val="24"/>
          <w:lang w:val="en-GB"/>
        </w:rPr>
        <w:t>the</w:t>
      </w:r>
      <w:r w:rsidR="00F05173" w:rsidRPr="000C6373">
        <w:rPr>
          <w:sz w:val="24"/>
          <w:szCs w:val="24"/>
          <w:lang w:val="en-GB"/>
        </w:rPr>
        <w:t xml:space="preserve"> countries.</w:t>
      </w:r>
    </w:p>
    <w:p w:rsidR="00F05173" w:rsidRDefault="00F05173" w:rsidP="00F05173">
      <w:pPr>
        <w:rPr>
          <w:sz w:val="24"/>
          <w:szCs w:val="24"/>
          <w:lang w:val="en-GB"/>
        </w:rPr>
      </w:pPr>
    </w:p>
    <w:p w:rsidR="00F05173" w:rsidRDefault="009A0A03" w:rsidP="00F05173">
      <w:pPr>
        <w:rPr>
          <w:sz w:val="24"/>
          <w:szCs w:val="24"/>
          <w:lang w:val="en-GB"/>
        </w:rPr>
      </w:pPr>
      <w:r>
        <w:rPr>
          <w:sz w:val="24"/>
          <w:szCs w:val="24"/>
          <w:lang w:val="en-GB"/>
        </w:rPr>
        <w:t xml:space="preserve">In the final analysis, </w:t>
      </w:r>
      <w:r w:rsidR="00F05173">
        <w:rPr>
          <w:sz w:val="24"/>
          <w:szCs w:val="24"/>
          <w:lang w:val="en-GB"/>
        </w:rPr>
        <w:t xml:space="preserve">focus is on how the differences in ethnic segmentation and relative overcrowding between the countries can be explained by differences in housing policies, housing markets and housing stocks. </w:t>
      </w:r>
      <w:r w:rsidR="00025180" w:rsidRPr="005151D7">
        <w:rPr>
          <w:sz w:val="24"/>
          <w:szCs w:val="24"/>
          <w:lang w:val="en-GB"/>
        </w:rPr>
        <w:t>We</w:t>
      </w:r>
      <w:r w:rsidR="00F05173">
        <w:rPr>
          <w:sz w:val="24"/>
          <w:szCs w:val="24"/>
          <w:lang w:val="en-GB"/>
        </w:rPr>
        <w:t xml:space="preserve"> could distinguish between conditions</w:t>
      </w:r>
      <w:r>
        <w:rPr>
          <w:sz w:val="24"/>
          <w:szCs w:val="24"/>
          <w:lang w:val="en-GB"/>
        </w:rPr>
        <w:t xml:space="preserve"> that</w:t>
      </w:r>
      <w:r w:rsidR="00F05173">
        <w:rPr>
          <w:sz w:val="24"/>
          <w:szCs w:val="24"/>
          <w:lang w:val="en-GB"/>
        </w:rPr>
        <w:t xml:space="preserve"> increase or decrease the housing options of low-income groups, and conditions that have a special </w:t>
      </w:r>
      <w:r>
        <w:rPr>
          <w:sz w:val="24"/>
          <w:szCs w:val="24"/>
          <w:lang w:val="en-GB"/>
        </w:rPr>
        <w:t xml:space="preserve">significance </w:t>
      </w:r>
      <w:r w:rsidR="00F05173">
        <w:rPr>
          <w:sz w:val="24"/>
          <w:szCs w:val="24"/>
          <w:lang w:val="en-GB"/>
        </w:rPr>
        <w:t xml:space="preserve">for immigrants </w:t>
      </w:r>
      <w:r w:rsidR="00F05173" w:rsidRPr="005151D7">
        <w:rPr>
          <w:sz w:val="24"/>
          <w:szCs w:val="24"/>
          <w:lang w:val="en-GB"/>
        </w:rPr>
        <w:t>besides</w:t>
      </w:r>
      <w:r w:rsidR="00F05173">
        <w:rPr>
          <w:sz w:val="24"/>
          <w:szCs w:val="24"/>
          <w:lang w:val="en-GB"/>
        </w:rPr>
        <w:t xml:space="preserve"> the effects for low-income groups. </w:t>
      </w:r>
      <w:r w:rsidR="00FF78F9">
        <w:rPr>
          <w:sz w:val="24"/>
          <w:szCs w:val="24"/>
          <w:lang w:val="en-GB"/>
        </w:rPr>
        <w:t xml:space="preserve">We try to find explanations for differences in overcrowding and for why immigrants are over- or underrepresented in different tenures in the countries by looking at specific elements of their housing policies. We also examine </w:t>
      </w:r>
      <w:r>
        <w:rPr>
          <w:sz w:val="24"/>
          <w:szCs w:val="24"/>
          <w:lang w:val="en-GB"/>
        </w:rPr>
        <w:t>whether</w:t>
      </w:r>
      <w:r w:rsidR="00FF78F9">
        <w:rPr>
          <w:sz w:val="24"/>
          <w:szCs w:val="24"/>
          <w:lang w:val="en-GB"/>
        </w:rPr>
        <w:t xml:space="preserve"> the differences between immigrants’ housing position in the </w:t>
      </w:r>
      <w:r w:rsidR="009A468E">
        <w:rPr>
          <w:sz w:val="24"/>
          <w:szCs w:val="24"/>
          <w:lang w:val="en-GB"/>
        </w:rPr>
        <w:t xml:space="preserve">various </w:t>
      </w:r>
      <w:r w:rsidR="00FF78F9">
        <w:rPr>
          <w:sz w:val="24"/>
          <w:szCs w:val="24"/>
          <w:lang w:val="en-GB"/>
        </w:rPr>
        <w:t>countries can be explained by differences in the position of income groups.</w:t>
      </w:r>
    </w:p>
    <w:p w:rsidR="00FF78F9" w:rsidRDefault="00FF78F9" w:rsidP="00F05173">
      <w:pPr>
        <w:rPr>
          <w:sz w:val="24"/>
          <w:szCs w:val="24"/>
          <w:lang w:val="en-GB"/>
        </w:rPr>
      </w:pPr>
    </w:p>
    <w:p w:rsidR="00FF78F9" w:rsidRPr="00F05173" w:rsidRDefault="00FF78F9" w:rsidP="00F05173">
      <w:pPr>
        <w:rPr>
          <w:lang w:val="en-GB"/>
        </w:rPr>
      </w:pPr>
      <w:r>
        <w:rPr>
          <w:sz w:val="24"/>
          <w:szCs w:val="24"/>
          <w:lang w:val="en-GB"/>
        </w:rPr>
        <w:t>The data used in the article come from many different statistical sources and it has not been easy to obtain comparable data.</w:t>
      </w:r>
      <w:r w:rsidR="00F80707">
        <w:rPr>
          <w:sz w:val="24"/>
          <w:szCs w:val="24"/>
          <w:lang w:val="en-GB"/>
        </w:rPr>
        <w:t xml:space="preserve"> The sources of the data are stated at the different tables. Some of the data have been collected in connection with the NODES project (</w:t>
      </w:r>
      <w:proofErr w:type="spellStart"/>
      <w:r w:rsidR="00F80707">
        <w:rPr>
          <w:sz w:val="24"/>
          <w:szCs w:val="24"/>
          <w:lang w:val="en-GB"/>
        </w:rPr>
        <w:t>Andersson</w:t>
      </w:r>
      <w:proofErr w:type="spellEnd"/>
      <w:r w:rsidR="00F80707">
        <w:rPr>
          <w:sz w:val="24"/>
          <w:szCs w:val="24"/>
          <w:lang w:val="en-GB"/>
        </w:rPr>
        <w:t xml:space="preserve"> et. al. 2010), which this article is a part of; others have been collected </w:t>
      </w:r>
      <w:r w:rsidR="00F80707">
        <w:rPr>
          <w:sz w:val="24"/>
          <w:szCs w:val="24"/>
          <w:lang w:val="en-GB"/>
        </w:rPr>
        <w:lastRenderedPageBreak/>
        <w:t>separately from the statistical offices in the countries. Data on homeownership rates in income groups stems from an EU survey.</w:t>
      </w:r>
    </w:p>
    <w:p w:rsidR="00C81166" w:rsidRPr="00E66FE1" w:rsidRDefault="00C81166" w:rsidP="009542C4">
      <w:pPr>
        <w:pStyle w:val="Overskrift3"/>
        <w:rPr>
          <w:lang w:val="en-GB"/>
        </w:rPr>
      </w:pPr>
      <w:r w:rsidRPr="00E66FE1">
        <w:rPr>
          <w:lang w:val="en-GB"/>
        </w:rPr>
        <w:t>Immigra</w:t>
      </w:r>
      <w:r>
        <w:rPr>
          <w:lang w:val="en-GB"/>
        </w:rPr>
        <w:t>tion</w:t>
      </w:r>
      <w:r w:rsidRPr="00E66FE1">
        <w:rPr>
          <w:lang w:val="en-GB"/>
        </w:rPr>
        <w:t xml:space="preserve"> </w:t>
      </w:r>
      <w:r>
        <w:rPr>
          <w:lang w:val="en-GB"/>
        </w:rPr>
        <w:t>to</w:t>
      </w:r>
      <w:r w:rsidRPr="00E66FE1">
        <w:rPr>
          <w:lang w:val="en-GB"/>
        </w:rPr>
        <w:t xml:space="preserve"> </w:t>
      </w:r>
      <w:r w:rsidR="005556AE">
        <w:rPr>
          <w:lang w:val="en-GB"/>
        </w:rPr>
        <w:t xml:space="preserve">four </w:t>
      </w:r>
      <w:r w:rsidRPr="00E66FE1">
        <w:rPr>
          <w:lang w:val="en-GB"/>
        </w:rPr>
        <w:t>Nordic countries</w:t>
      </w:r>
    </w:p>
    <w:p w:rsidR="00C81166" w:rsidRDefault="00C81166" w:rsidP="009542C4">
      <w:pPr>
        <w:rPr>
          <w:sz w:val="24"/>
          <w:szCs w:val="24"/>
          <w:lang w:val="en-GB"/>
        </w:rPr>
      </w:pPr>
      <w:r>
        <w:rPr>
          <w:sz w:val="24"/>
          <w:szCs w:val="24"/>
          <w:lang w:val="en-GB"/>
        </w:rPr>
        <w:t xml:space="preserve">It has been shown in several studies that different ethnic groups can have different housing preferences and perform differently on the housing market (Skifter Andersen 2012). </w:t>
      </w:r>
      <w:r w:rsidR="005556AE">
        <w:rPr>
          <w:sz w:val="24"/>
          <w:szCs w:val="24"/>
          <w:lang w:val="en-GB"/>
        </w:rPr>
        <w:t>T</w:t>
      </w:r>
      <w:r>
        <w:rPr>
          <w:sz w:val="24"/>
          <w:szCs w:val="24"/>
          <w:lang w:val="en-GB"/>
        </w:rPr>
        <w:t xml:space="preserve">here are differences </w:t>
      </w:r>
      <w:r w:rsidR="005556AE">
        <w:rPr>
          <w:sz w:val="24"/>
          <w:szCs w:val="24"/>
          <w:lang w:val="en-GB"/>
        </w:rPr>
        <w:t xml:space="preserve">especially </w:t>
      </w:r>
      <w:r>
        <w:rPr>
          <w:sz w:val="24"/>
          <w:szCs w:val="24"/>
          <w:lang w:val="en-GB"/>
        </w:rPr>
        <w:t>between immigrants coming from Western countries and those coming from</w:t>
      </w:r>
      <w:r w:rsidR="00E0342A">
        <w:rPr>
          <w:sz w:val="24"/>
          <w:szCs w:val="24"/>
          <w:lang w:val="en-GB"/>
        </w:rPr>
        <w:t xml:space="preserve"> non-</w:t>
      </w:r>
      <w:r w:rsidR="005556AE">
        <w:rPr>
          <w:sz w:val="24"/>
          <w:szCs w:val="24"/>
          <w:lang w:val="en-GB"/>
        </w:rPr>
        <w:t>W</w:t>
      </w:r>
      <w:r w:rsidR="00E0342A">
        <w:rPr>
          <w:sz w:val="24"/>
          <w:szCs w:val="24"/>
          <w:lang w:val="en-GB"/>
        </w:rPr>
        <w:t>estern countries</w:t>
      </w:r>
      <w:r>
        <w:rPr>
          <w:sz w:val="24"/>
          <w:szCs w:val="24"/>
          <w:lang w:val="en-GB"/>
        </w:rPr>
        <w:t xml:space="preserve">. When in the following sections </w:t>
      </w:r>
      <w:r w:rsidR="005556AE">
        <w:rPr>
          <w:sz w:val="24"/>
          <w:szCs w:val="24"/>
          <w:lang w:val="en-GB"/>
        </w:rPr>
        <w:t xml:space="preserve">we </w:t>
      </w:r>
      <w:r>
        <w:rPr>
          <w:sz w:val="24"/>
          <w:szCs w:val="24"/>
          <w:lang w:val="en-GB"/>
        </w:rPr>
        <w:t>look at explanations for differences between the four Nordic countries it is therefore important to be aware of the differences in the immigration to the countries.</w:t>
      </w:r>
    </w:p>
    <w:p w:rsidR="00C81166" w:rsidRDefault="00C81166" w:rsidP="009542C4">
      <w:pPr>
        <w:rPr>
          <w:sz w:val="24"/>
          <w:szCs w:val="24"/>
          <w:lang w:val="en-GB"/>
        </w:rPr>
      </w:pPr>
    </w:p>
    <w:p w:rsidR="00C81166" w:rsidRPr="00491467" w:rsidRDefault="00C81166" w:rsidP="009542C4">
      <w:pPr>
        <w:rPr>
          <w:sz w:val="24"/>
          <w:szCs w:val="24"/>
          <w:lang w:val="en-GB"/>
        </w:rPr>
      </w:pPr>
      <w:r w:rsidRPr="00491467">
        <w:rPr>
          <w:sz w:val="24"/>
          <w:szCs w:val="24"/>
          <w:lang w:val="en-GB"/>
        </w:rPr>
        <w:t xml:space="preserve">As described in </w:t>
      </w:r>
      <w:proofErr w:type="spellStart"/>
      <w:r w:rsidRPr="00491467">
        <w:rPr>
          <w:sz w:val="24"/>
          <w:szCs w:val="24"/>
          <w:lang w:val="en-GB"/>
        </w:rPr>
        <w:t>Anders</w:t>
      </w:r>
      <w:r>
        <w:rPr>
          <w:sz w:val="24"/>
          <w:szCs w:val="24"/>
          <w:lang w:val="en-GB"/>
        </w:rPr>
        <w:t>s</w:t>
      </w:r>
      <w:r w:rsidRPr="00491467">
        <w:rPr>
          <w:sz w:val="24"/>
          <w:szCs w:val="24"/>
          <w:lang w:val="en-GB"/>
        </w:rPr>
        <w:t>on</w:t>
      </w:r>
      <w:proofErr w:type="spellEnd"/>
      <w:r w:rsidRPr="00491467">
        <w:rPr>
          <w:sz w:val="24"/>
          <w:szCs w:val="24"/>
          <w:lang w:val="en-GB"/>
        </w:rPr>
        <w:t xml:space="preserve"> et al. (</w:t>
      </w:r>
      <w:r>
        <w:rPr>
          <w:sz w:val="24"/>
          <w:szCs w:val="24"/>
          <w:lang w:val="en-GB"/>
        </w:rPr>
        <w:t>2010</w:t>
      </w:r>
      <w:r w:rsidRPr="00491467">
        <w:rPr>
          <w:sz w:val="24"/>
          <w:szCs w:val="24"/>
          <w:lang w:val="en-GB"/>
        </w:rPr>
        <w:t>)</w:t>
      </w:r>
      <w:r w:rsidR="0098031F">
        <w:rPr>
          <w:sz w:val="24"/>
          <w:szCs w:val="24"/>
          <w:lang w:val="en-GB"/>
        </w:rPr>
        <w:t>,</w:t>
      </w:r>
      <w:r w:rsidRPr="00491467">
        <w:rPr>
          <w:sz w:val="24"/>
          <w:szCs w:val="24"/>
          <w:lang w:val="en-GB"/>
        </w:rPr>
        <w:t xml:space="preserve"> there </w:t>
      </w:r>
      <w:r w:rsidR="0098031F">
        <w:rPr>
          <w:sz w:val="24"/>
          <w:szCs w:val="24"/>
          <w:lang w:val="en-GB"/>
        </w:rPr>
        <w:t>are</w:t>
      </w:r>
      <w:r w:rsidRPr="00491467">
        <w:rPr>
          <w:sz w:val="24"/>
          <w:szCs w:val="24"/>
          <w:lang w:val="en-GB"/>
        </w:rPr>
        <w:t xml:space="preserve"> some important differences in the </w:t>
      </w:r>
      <w:r w:rsidR="0098031F">
        <w:rPr>
          <w:sz w:val="24"/>
          <w:szCs w:val="24"/>
          <w:lang w:val="en-GB"/>
        </w:rPr>
        <w:t>nature</w:t>
      </w:r>
      <w:r w:rsidRPr="00491467">
        <w:rPr>
          <w:sz w:val="24"/>
          <w:szCs w:val="24"/>
          <w:lang w:val="en-GB"/>
        </w:rPr>
        <w:t xml:space="preserve"> of </w:t>
      </w:r>
      <w:r w:rsidR="0098031F">
        <w:rPr>
          <w:sz w:val="24"/>
          <w:szCs w:val="24"/>
          <w:lang w:val="en-GB"/>
        </w:rPr>
        <w:t xml:space="preserve">the </w:t>
      </w:r>
      <w:r w:rsidRPr="00491467">
        <w:rPr>
          <w:sz w:val="24"/>
          <w:szCs w:val="24"/>
          <w:lang w:val="en-GB"/>
        </w:rPr>
        <w:t xml:space="preserve">immigration to the </w:t>
      </w:r>
      <w:r>
        <w:rPr>
          <w:sz w:val="24"/>
          <w:szCs w:val="24"/>
          <w:lang w:val="en-GB"/>
        </w:rPr>
        <w:t xml:space="preserve">four </w:t>
      </w:r>
      <w:r w:rsidR="00E0342A">
        <w:rPr>
          <w:sz w:val="24"/>
          <w:szCs w:val="24"/>
          <w:lang w:val="en-GB"/>
        </w:rPr>
        <w:t xml:space="preserve">Nordic </w:t>
      </w:r>
      <w:r w:rsidRPr="00491467">
        <w:rPr>
          <w:sz w:val="24"/>
          <w:szCs w:val="24"/>
          <w:lang w:val="en-GB"/>
        </w:rPr>
        <w:t xml:space="preserve">countries. The extent of immigration differs as shown in </w:t>
      </w:r>
      <w:r>
        <w:rPr>
          <w:sz w:val="24"/>
          <w:szCs w:val="24"/>
          <w:lang w:val="en-GB"/>
        </w:rPr>
        <w:t>Table 1.</w:t>
      </w:r>
      <w:r w:rsidRPr="00491467">
        <w:rPr>
          <w:sz w:val="24"/>
          <w:szCs w:val="24"/>
          <w:lang w:val="en-GB"/>
        </w:rPr>
        <w:t xml:space="preserve"> </w:t>
      </w:r>
      <w:smartTag w:uri="urn:schemas-microsoft-com:office:smarttags" w:element="City">
        <w:smartTag w:uri="urn:schemas-microsoft-com:office:smarttags" w:element="country-region">
          <w:r w:rsidRPr="00491467">
            <w:rPr>
              <w:sz w:val="24"/>
              <w:szCs w:val="24"/>
              <w:lang w:val="en-GB"/>
            </w:rPr>
            <w:t>Finland</w:t>
          </w:r>
        </w:smartTag>
      </w:smartTag>
      <w:r w:rsidRPr="00491467">
        <w:rPr>
          <w:sz w:val="24"/>
          <w:szCs w:val="24"/>
          <w:lang w:val="en-GB"/>
        </w:rPr>
        <w:t xml:space="preserve"> has received much fewer immigrants tha</w:t>
      </w:r>
      <w:r>
        <w:rPr>
          <w:sz w:val="24"/>
          <w:szCs w:val="24"/>
          <w:lang w:val="en-GB"/>
        </w:rPr>
        <w:t>n</w:t>
      </w:r>
      <w:r w:rsidRPr="00491467">
        <w:rPr>
          <w:sz w:val="24"/>
          <w:szCs w:val="24"/>
          <w:lang w:val="en-GB"/>
        </w:rPr>
        <w:t xml:space="preserve"> the other countries, while </w:t>
      </w:r>
      <w:r>
        <w:rPr>
          <w:sz w:val="24"/>
          <w:szCs w:val="24"/>
          <w:lang w:val="en-GB"/>
        </w:rPr>
        <w:t xml:space="preserve">the share of immigrants in </w:t>
      </w:r>
      <w:smartTag w:uri="urn:schemas-microsoft-com:office:smarttags" w:element="City">
        <w:smartTag w:uri="urn:schemas-microsoft-com:office:smarttags" w:element="country-region">
          <w:r w:rsidRPr="00491467">
            <w:rPr>
              <w:sz w:val="24"/>
              <w:szCs w:val="24"/>
              <w:lang w:val="en-GB"/>
            </w:rPr>
            <w:t>Sweden</w:t>
          </w:r>
        </w:smartTag>
      </w:smartTag>
      <w:r w:rsidRPr="00491467">
        <w:rPr>
          <w:sz w:val="24"/>
          <w:szCs w:val="24"/>
          <w:lang w:val="en-GB"/>
        </w:rPr>
        <w:t xml:space="preserve"> </w:t>
      </w:r>
      <w:r>
        <w:rPr>
          <w:sz w:val="24"/>
          <w:szCs w:val="24"/>
          <w:lang w:val="en-GB"/>
        </w:rPr>
        <w:t>is</w:t>
      </w:r>
      <w:r w:rsidRPr="00491467">
        <w:rPr>
          <w:sz w:val="24"/>
          <w:szCs w:val="24"/>
          <w:lang w:val="en-GB"/>
        </w:rPr>
        <w:t xml:space="preserve"> about 40 per cent </w:t>
      </w:r>
      <w:r>
        <w:rPr>
          <w:sz w:val="24"/>
          <w:szCs w:val="24"/>
          <w:lang w:val="en-GB"/>
        </w:rPr>
        <w:t>higher</w:t>
      </w:r>
      <w:r w:rsidRPr="00491467">
        <w:rPr>
          <w:sz w:val="24"/>
          <w:szCs w:val="24"/>
          <w:lang w:val="en-GB"/>
        </w:rPr>
        <w:t xml:space="preserve"> than </w:t>
      </w:r>
      <w:r>
        <w:rPr>
          <w:sz w:val="24"/>
          <w:szCs w:val="24"/>
          <w:lang w:val="en-GB"/>
        </w:rPr>
        <w:t xml:space="preserve">in </w:t>
      </w:r>
      <w:smartTag w:uri="urn:schemas-microsoft-com:office:smarttags" w:element="City">
        <w:smartTag w:uri="urn:schemas-microsoft-com:office:smarttags" w:element="country-region">
          <w:r w:rsidRPr="00491467">
            <w:rPr>
              <w:sz w:val="24"/>
              <w:szCs w:val="24"/>
              <w:lang w:val="en-GB"/>
            </w:rPr>
            <w:t>Denmark</w:t>
          </w:r>
        </w:smartTag>
      </w:smartTag>
      <w:r w:rsidRPr="00491467">
        <w:rPr>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sidRPr="00491467">
              <w:rPr>
                <w:sz w:val="24"/>
                <w:szCs w:val="24"/>
                <w:lang w:val="en-GB"/>
              </w:rPr>
              <w:t>Norway</w:t>
            </w:r>
          </w:smartTag>
        </w:smartTag>
      </w:smartTag>
      <w:r w:rsidRPr="00491467">
        <w:rPr>
          <w:sz w:val="24"/>
          <w:szCs w:val="24"/>
          <w:lang w:val="en-GB"/>
        </w:rPr>
        <w:t>.</w:t>
      </w:r>
    </w:p>
    <w:p w:rsidR="00C81166" w:rsidRDefault="00C81166" w:rsidP="009542C4">
      <w:pPr>
        <w:rPr>
          <w:sz w:val="24"/>
          <w:szCs w:val="24"/>
          <w:lang w:val="en-GB"/>
        </w:rPr>
      </w:pPr>
    </w:p>
    <w:p w:rsidR="00C81166" w:rsidRDefault="00C81166" w:rsidP="009542C4">
      <w:pPr>
        <w:rPr>
          <w:sz w:val="24"/>
          <w:szCs w:val="24"/>
          <w:lang w:val="en-GB"/>
        </w:rPr>
      </w:pPr>
      <w:r>
        <w:rPr>
          <w:sz w:val="24"/>
          <w:szCs w:val="24"/>
          <w:lang w:val="en-GB"/>
        </w:rPr>
        <w:t>(Table 1)</w:t>
      </w:r>
    </w:p>
    <w:p w:rsidR="00C81166" w:rsidRPr="00E66FE1" w:rsidRDefault="00C81166" w:rsidP="009542C4">
      <w:pPr>
        <w:rPr>
          <w:sz w:val="24"/>
          <w:szCs w:val="24"/>
          <w:lang w:val="en-GB"/>
        </w:rPr>
      </w:pPr>
    </w:p>
    <w:p w:rsidR="00C81166" w:rsidRPr="00B56E59" w:rsidRDefault="00C81166" w:rsidP="009542C4">
      <w:pPr>
        <w:rPr>
          <w:sz w:val="24"/>
          <w:szCs w:val="24"/>
          <w:lang w:val="en-GB"/>
        </w:rPr>
      </w:pPr>
      <w:r w:rsidRPr="00B56E59">
        <w:rPr>
          <w:sz w:val="24"/>
          <w:szCs w:val="24"/>
          <w:lang w:val="en-GB"/>
        </w:rPr>
        <w:t xml:space="preserve">Moreover, the </w:t>
      </w:r>
      <w:r>
        <w:rPr>
          <w:sz w:val="24"/>
          <w:szCs w:val="24"/>
          <w:lang w:val="en-GB"/>
        </w:rPr>
        <w:t>ethnic</w:t>
      </w:r>
      <w:r w:rsidRPr="00B56E59">
        <w:rPr>
          <w:sz w:val="24"/>
          <w:szCs w:val="24"/>
          <w:lang w:val="en-GB"/>
        </w:rPr>
        <w:t xml:space="preserve"> composition of immigrants var</w:t>
      </w:r>
      <w:r>
        <w:rPr>
          <w:sz w:val="24"/>
          <w:szCs w:val="24"/>
          <w:lang w:val="en-GB"/>
        </w:rPr>
        <w:t>ies</w:t>
      </w:r>
      <w:r w:rsidRPr="00B56E59">
        <w:rPr>
          <w:sz w:val="24"/>
          <w:szCs w:val="24"/>
          <w:lang w:val="en-GB"/>
        </w:rPr>
        <w:t xml:space="preserve"> be</w:t>
      </w:r>
      <w:r>
        <w:rPr>
          <w:sz w:val="24"/>
          <w:szCs w:val="24"/>
          <w:lang w:val="en-GB"/>
        </w:rPr>
        <w:t>t</w:t>
      </w:r>
      <w:r w:rsidRPr="00B56E59">
        <w:rPr>
          <w:sz w:val="24"/>
          <w:szCs w:val="24"/>
          <w:lang w:val="en-GB"/>
        </w:rPr>
        <w:t xml:space="preserve">ween the countries. </w:t>
      </w:r>
      <w:r>
        <w:rPr>
          <w:sz w:val="24"/>
          <w:szCs w:val="24"/>
          <w:lang w:val="en-GB"/>
        </w:rPr>
        <w:t xml:space="preserve">Most of the immigrants to </w:t>
      </w:r>
      <w:smartTag w:uri="urn:schemas-microsoft-com:office:smarttags" w:element="City">
        <w:smartTag w:uri="urn:schemas-microsoft-com:office:smarttags" w:element="country-region">
          <w:r>
            <w:rPr>
              <w:sz w:val="24"/>
              <w:szCs w:val="24"/>
              <w:lang w:val="en-GB"/>
            </w:rPr>
            <w:t>Finland</w:t>
          </w:r>
        </w:smartTag>
      </w:smartTag>
      <w:r>
        <w:rPr>
          <w:sz w:val="24"/>
          <w:szCs w:val="24"/>
          <w:lang w:val="en-GB"/>
        </w:rPr>
        <w:t xml:space="preserve"> com</w:t>
      </w:r>
      <w:r w:rsidR="0098031F">
        <w:rPr>
          <w:sz w:val="24"/>
          <w:szCs w:val="24"/>
          <w:lang w:val="en-GB"/>
        </w:rPr>
        <w:t>e</w:t>
      </w:r>
      <w:r>
        <w:rPr>
          <w:sz w:val="24"/>
          <w:szCs w:val="24"/>
          <w:lang w:val="en-GB"/>
        </w:rPr>
        <w:t xml:space="preserve"> from Eastern Europe, especially from </w:t>
      </w:r>
      <w:smartTag w:uri="urn:schemas-microsoft-com:office:smarttags" w:element="City">
        <w:smartTag w:uri="urn:schemas-microsoft-com:office:smarttags" w:element="country-region">
          <w:smartTag w:uri="urn:schemas-microsoft-com:office:smarttags" w:element="place">
            <w:r>
              <w:rPr>
                <w:sz w:val="24"/>
                <w:szCs w:val="24"/>
                <w:lang w:val="en-GB"/>
              </w:rPr>
              <w:t>Russia</w:t>
            </w:r>
          </w:smartTag>
        </w:smartTag>
      </w:smartTag>
      <w:r>
        <w:rPr>
          <w:sz w:val="24"/>
          <w:szCs w:val="24"/>
          <w:lang w:val="en-GB"/>
        </w:rPr>
        <w:t xml:space="preserve">. </w:t>
      </w:r>
      <w:smartTag w:uri="urn:schemas-microsoft-com:office:smarttags" w:element="City">
        <w:smartTag w:uri="urn:schemas-microsoft-com:office:smarttags" w:element="country-region">
          <w:r>
            <w:rPr>
              <w:sz w:val="24"/>
              <w:szCs w:val="24"/>
              <w:lang w:val="en-GB"/>
            </w:rPr>
            <w:t>Finland</w:t>
          </w:r>
        </w:smartTag>
      </w:smartTag>
      <w:r>
        <w:rPr>
          <w:sz w:val="24"/>
          <w:szCs w:val="24"/>
          <w:lang w:val="en-GB"/>
        </w:rPr>
        <w:t xml:space="preserve"> has relatively few immigrants from countries outside Europe compared </w:t>
      </w:r>
      <w:r w:rsidR="0098031F">
        <w:rPr>
          <w:sz w:val="24"/>
          <w:szCs w:val="24"/>
          <w:lang w:val="en-GB"/>
        </w:rPr>
        <w:t>with</w:t>
      </w:r>
      <w:r>
        <w:rPr>
          <w:sz w:val="24"/>
          <w:szCs w:val="24"/>
          <w:lang w:val="en-GB"/>
        </w:rPr>
        <w:t xml:space="preserve"> the three other countries, in which </w:t>
      </w:r>
      <w:r w:rsidR="00DC683F">
        <w:rPr>
          <w:sz w:val="24"/>
          <w:szCs w:val="24"/>
          <w:lang w:val="en-GB"/>
        </w:rPr>
        <w:t xml:space="preserve">in total </w:t>
      </w:r>
      <w:r>
        <w:rPr>
          <w:sz w:val="24"/>
          <w:szCs w:val="24"/>
          <w:lang w:val="en-GB"/>
        </w:rPr>
        <w:t>five per</w:t>
      </w:r>
      <w:r w:rsidR="0098031F">
        <w:rPr>
          <w:sz w:val="24"/>
          <w:szCs w:val="24"/>
          <w:lang w:val="en-GB"/>
        </w:rPr>
        <w:t xml:space="preserve"> </w:t>
      </w:r>
      <w:r>
        <w:rPr>
          <w:sz w:val="24"/>
          <w:szCs w:val="24"/>
          <w:lang w:val="en-GB"/>
        </w:rPr>
        <w:t xml:space="preserve">cent of the </w:t>
      </w:r>
      <w:r w:rsidR="00800E31">
        <w:rPr>
          <w:sz w:val="24"/>
          <w:szCs w:val="24"/>
          <w:lang w:val="en-GB"/>
        </w:rPr>
        <w:t xml:space="preserve">whole </w:t>
      </w:r>
      <w:r>
        <w:rPr>
          <w:sz w:val="24"/>
          <w:szCs w:val="24"/>
          <w:lang w:val="en-GB"/>
        </w:rPr>
        <w:t xml:space="preserve">population </w:t>
      </w:r>
      <w:r w:rsidR="009009D5">
        <w:rPr>
          <w:sz w:val="24"/>
          <w:szCs w:val="24"/>
          <w:lang w:val="en-GB"/>
        </w:rPr>
        <w:t>are</w:t>
      </w:r>
      <w:r>
        <w:rPr>
          <w:sz w:val="24"/>
          <w:szCs w:val="24"/>
          <w:lang w:val="en-GB"/>
        </w:rPr>
        <w:t xml:space="preserve"> immigrants coming from outside </w:t>
      </w:r>
      <w:smartTag w:uri="urn:schemas-microsoft-com:office:smarttags" w:element="City">
        <w:smartTag w:uri="urn:schemas-microsoft-com:office:smarttags" w:element="place">
          <w:r>
            <w:rPr>
              <w:sz w:val="24"/>
              <w:szCs w:val="24"/>
              <w:lang w:val="en-GB"/>
            </w:rPr>
            <w:t>Europe</w:t>
          </w:r>
        </w:smartTag>
      </w:smartTag>
      <w:r>
        <w:rPr>
          <w:sz w:val="24"/>
          <w:szCs w:val="24"/>
          <w:lang w:val="en-GB"/>
        </w:rPr>
        <w:t xml:space="preserve">. </w:t>
      </w:r>
      <w:smartTag w:uri="urn:schemas-microsoft-com:office:smarttags" w:element="City">
        <w:smartTag w:uri="urn:schemas-microsoft-com:office:smarttags" w:element="country-region">
          <w:r>
            <w:rPr>
              <w:sz w:val="24"/>
              <w:szCs w:val="24"/>
              <w:lang w:val="en-GB"/>
            </w:rPr>
            <w:t>Norway</w:t>
          </w:r>
        </w:smartTag>
      </w:smartTag>
      <w:r>
        <w:rPr>
          <w:sz w:val="24"/>
          <w:szCs w:val="24"/>
          <w:lang w:val="en-GB"/>
        </w:rPr>
        <w:t xml:space="preserve">, </w:t>
      </w:r>
      <w:smartTag w:uri="urn:schemas-microsoft-com:office:smarttags" w:element="City">
        <w:smartTag w:uri="urn:schemas-microsoft-com:office:smarttags" w:element="country-region">
          <w:r>
            <w:rPr>
              <w:sz w:val="24"/>
              <w:szCs w:val="24"/>
              <w:lang w:val="en-GB"/>
            </w:rPr>
            <w:t>Finland</w:t>
          </w:r>
        </w:smartTag>
      </w:smartTag>
      <w:r>
        <w:rPr>
          <w:sz w:val="24"/>
          <w:szCs w:val="24"/>
          <w:lang w:val="en-GB"/>
        </w:rPr>
        <w:t xml:space="preserve"> and </w:t>
      </w:r>
      <w:smartTag w:uri="urn:schemas-microsoft-com:office:smarttags" w:element="City">
        <w:smartTag w:uri="urn:schemas-microsoft-com:office:smarttags" w:element="country-region">
          <w:r>
            <w:rPr>
              <w:sz w:val="24"/>
              <w:szCs w:val="24"/>
              <w:lang w:val="en-GB"/>
            </w:rPr>
            <w:t>Sweden</w:t>
          </w:r>
        </w:smartTag>
      </w:smartTag>
      <w:r>
        <w:rPr>
          <w:sz w:val="24"/>
          <w:szCs w:val="24"/>
          <w:lang w:val="en-GB"/>
        </w:rPr>
        <w:t xml:space="preserve"> also have many immigrants from </w:t>
      </w:r>
      <w:smartTag w:uri="urn:schemas-microsoft-com:office:smarttags" w:element="City">
        <w:smartTag w:uri="urn:schemas-microsoft-com:office:smarttags" w:element="place">
          <w:r>
            <w:rPr>
              <w:sz w:val="24"/>
              <w:szCs w:val="24"/>
              <w:lang w:val="en-GB"/>
            </w:rPr>
            <w:t>Eastern Europe</w:t>
          </w:r>
        </w:smartTag>
      </w:smartTag>
      <w:r>
        <w:rPr>
          <w:sz w:val="24"/>
          <w:szCs w:val="24"/>
          <w:lang w:val="en-GB"/>
        </w:rPr>
        <w:t>.</w:t>
      </w:r>
    </w:p>
    <w:p w:rsidR="00C81166" w:rsidRPr="00C506B2" w:rsidRDefault="00C81166" w:rsidP="00C506B2">
      <w:pPr>
        <w:pStyle w:val="Overskrift3"/>
        <w:rPr>
          <w:lang w:val="en-GB"/>
        </w:rPr>
      </w:pPr>
      <w:r w:rsidRPr="00EA1C82">
        <w:rPr>
          <w:lang w:val="en-US"/>
        </w:rPr>
        <w:t xml:space="preserve">Housing policies </w:t>
      </w:r>
      <w:r w:rsidRPr="00610DA3">
        <w:rPr>
          <w:lang w:val="en-GB"/>
        </w:rPr>
        <w:t xml:space="preserve">in </w:t>
      </w:r>
      <w:r w:rsidR="00D348F4">
        <w:rPr>
          <w:lang w:val="en-GB"/>
        </w:rPr>
        <w:t xml:space="preserve">four </w:t>
      </w:r>
      <w:r w:rsidRPr="00610DA3">
        <w:rPr>
          <w:lang w:val="en-GB"/>
        </w:rPr>
        <w:t>Nordic countries</w:t>
      </w:r>
    </w:p>
    <w:p w:rsidR="00C81166" w:rsidRDefault="00C81166" w:rsidP="009B3419">
      <w:pPr>
        <w:rPr>
          <w:lang w:val="en-GB"/>
        </w:rPr>
      </w:pPr>
      <w:r>
        <w:rPr>
          <w:rFonts w:cs="Arial"/>
          <w:sz w:val="24"/>
          <w:szCs w:val="24"/>
          <w:lang w:val="en-GB"/>
        </w:rPr>
        <w:t xml:space="preserve">The </w:t>
      </w:r>
      <w:r w:rsidR="006348D0">
        <w:rPr>
          <w:rFonts w:cs="Arial"/>
          <w:sz w:val="24"/>
          <w:szCs w:val="24"/>
          <w:lang w:val="en-GB"/>
        </w:rPr>
        <w:t>functioning</w:t>
      </w:r>
      <w:r w:rsidRPr="009B3419">
        <w:rPr>
          <w:rFonts w:cs="Arial"/>
          <w:sz w:val="24"/>
          <w:szCs w:val="24"/>
          <w:lang w:val="en-GB"/>
        </w:rPr>
        <w:t xml:space="preserve"> of the housing markets </w:t>
      </w:r>
      <w:r>
        <w:rPr>
          <w:rFonts w:cs="Arial"/>
          <w:sz w:val="24"/>
          <w:szCs w:val="24"/>
          <w:lang w:val="en-GB"/>
        </w:rPr>
        <w:t xml:space="preserve">is </w:t>
      </w:r>
      <w:r w:rsidRPr="009B3419">
        <w:rPr>
          <w:rFonts w:cs="Arial"/>
          <w:sz w:val="24"/>
          <w:szCs w:val="24"/>
          <w:lang w:val="en-GB"/>
        </w:rPr>
        <w:t xml:space="preserve">the outcome of policies influencing housing conditions. </w:t>
      </w:r>
      <w:r>
        <w:rPr>
          <w:rFonts w:cs="Arial"/>
          <w:sz w:val="24"/>
          <w:szCs w:val="24"/>
          <w:lang w:val="en-GB"/>
        </w:rPr>
        <w:t>The</w:t>
      </w:r>
      <w:r w:rsidRPr="009B3419">
        <w:rPr>
          <w:rFonts w:cs="Arial"/>
          <w:sz w:val="24"/>
          <w:szCs w:val="24"/>
          <w:lang w:val="en-GB"/>
        </w:rPr>
        <w:t xml:space="preserve"> important </w:t>
      </w:r>
      <w:r>
        <w:rPr>
          <w:rFonts w:cs="Arial"/>
          <w:sz w:val="24"/>
          <w:szCs w:val="24"/>
          <w:lang w:val="en-GB"/>
        </w:rPr>
        <w:t xml:space="preserve">issue in this article </w:t>
      </w:r>
      <w:r w:rsidRPr="009B3419">
        <w:rPr>
          <w:rFonts w:cs="Arial"/>
          <w:sz w:val="24"/>
          <w:szCs w:val="24"/>
          <w:lang w:val="en-GB"/>
        </w:rPr>
        <w:t xml:space="preserve">is whether housing </w:t>
      </w:r>
      <w:r w:rsidRPr="003657B2">
        <w:rPr>
          <w:rFonts w:cs="Arial"/>
          <w:sz w:val="24"/>
          <w:szCs w:val="24"/>
          <w:lang w:val="en-GB"/>
        </w:rPr>
        <w:t xml:space="preserve">policy has a different impact </w:t>
      </w:r>
      <w:r w:rsidR="00462F01">
        <w:rPr>
          <w:rFonts w:cs="Arial"/>
          <w:sz w:val="24"/>
          <w:szCs w:val="24"/>
          <w:lang w:val="en-GB"/>
        </w:rPr>
        <w:t>on</w:t>
      </w:r>
      <w:r w:rsidRPr="003657B2">
        <w:rPr>
          <w:rFonts w:cs="Arial"/>
          <w:sz w:val="24"/>
          <w:szCs w:val="24"/>
          <w:lang w:val="en-GB"/>
        </w:rPr>
        <w:t xml:space="preserve"> the housing of the immigrant population than </w:t>
      </w:r>
      <w:r w:rsidR="005151D7">
        <w:rPr>
          <w:rFonts w:cs="Arial"/>
          <w:sz w:val="24"/>
          <w:szCs w:val="24"/>
          <w:lang w:val="en-GB"/>
        </w:rPr>
        <w:t xml:space="preserve">that of </w:t>
      </w:r>
      <w:r w:rsidRPr="003657B2">
        <w:rPr>
          <w:rFonts w:cs="Arial"/>
          <w:sz w:val="24"/>
          <w:szCs w:val="24"/>
          <w:lang w:val="en-GB"/>
        </w:rPr>
        <w:t xml:space="preserve">the </w:t>
      </w:r>
      <w:r w:rsidRPr="00661B7C">
        <w:rPr>
          <w:rFonts w:cs="Arial"/>
          <w:sz w:val="24"/>
          <w:szCs w:val="24"/>
          <w:lang w:val="en-GB"/>
        </w:rPr>
        <w:t>majority</w:t>
      </w:r>
      <w:r w:rsidRPr="003657B2">
        <w:rPr>
          <w:rFonts w:cs="Arial"/>
          <w:sz w:val="24"/>
          <w:szCs w:val="24"/>
          <w:lang w:val="en-GB"/>
        </w:rPr>
        <w:t>.</w:t>
      </w:r>
      <w:r w:rsidRPr="009B3419">
        <w:rPr>
          <w:rFonts w:cs="Arial"/>
          <w:sz w:val="24"/>
          <w:szCs w:val="24"/>
          <w:lang w:val="en-GB"/>
        </w:rPr>
        <w:t xml:space="preserve"> In the following</w:t>
      </w:r>
      <w:r w:rsidR="00462F01">
        <w:rPr>
          <w:rFonts w:cs="Arial"/>
          <w:sz w:val="24"/>
          <w:szCs w:val="24"/>
          <w:lang w:val="en-GB"/>
        </w:rPr>
        <w:t>,</w:t>
      </w:r>
      <w:r w:rsidRPr="009B3419">
        <w:rPr>
          <w:rFonts w:cs="Arial"/>
          <w:sz w:val="24"/>
          <w:szCs w:val="24"/>
          <w:lang w:val="en-GB"/>
        </w:rPr>
        <w:t xml:space="preserve"> we will present major traits of the housing policies </w:t>
      </w:r>
      <w:r>
        <w:rPr>
          <w:rFonts w:cs="Arial"/>
          <w:sz w:val="24"/>
          <w:szCs w:val="24"/>
          <w:lang w:val="en-GB"/>
        </w:rPr>
        <w:t xml:space="preserve">and housing markets in </w:t>
      </w:r>
      <w:r w:rsidR="00D348F4">
        <w:rPr>
          <w:rFonts w:cs="Arial"/>
          <w:sz w:val="24"/>
          <w:szCs w:val="24"/>
          <w:lang w:val="en-GB"/>
        </w:rPr>
        <w:t xml:space="preserve">four </w:t>
      </w:r>
      <w:r>
        <w:rPr>
          <w:rFonts w:cs="Arial"/>
          <w:sz w:val="24"/>
          <w:szCs w:val="24"/>
          <w:lang w:val="en-GB"/>
        </w:rPr>
        <w:t>Nordic countries</w:t>
      </w:r>
      <w:r w:rsidRPr="009B3419">
        <w:rPr>
          <w:rFonts w:cs="Arial"/>
          <w:sz w:val="24"/>
          <w:szCs w:val="24"/>
          <w:lang w:val="en-GB"/>
        </w:rPr>
        <w:t xml:space="preserve"> to explain immigrants’ position and segmentation </w:t>
      </w:r>
      <w:r>
        <w:rPr>
          <w:rFonts w:cs="Arial"/>
          <w:sz w:val="24"/>
          <w:szCs w:val="24"/>
          <w:lang w:val="en-GB"/>
        </w:rPr>
        <w:t>in</w:t>
      </w:r>
      <w:r w:rsidRPr="009B3419">
        <w:rPr>
          <w:rFonts w:cs="Arial"/>
          <w:sz w:val="24"/>
          <w:szCs w:val="24"/>
          <w:lang w:val="en-GB"/>
        </w:rPr>
        <w:t xml:space="preserve"> the housing market. </w:t>
      </w:r>
      <w:r w:rsidR="00517819">
        <w:rPr>
          <w:rFonts w:cs="Arial"/>
          <w:sz w:val="24"/>
          <w:szCs w:val="24"/>
          <w:lang w:val="en-GB"/>
        </w:rPr>
        <w:t>There is not space for a detailed description in this article, but a</w:t>
      </w:r>
      <w:r>
        <w:rPr>
          <w:rFonts w:cs="Arial"/>
          <w:sz w:val="24"/>
          <w:szCs w:val="24"/>
          <w:lang w:val="en-GB"/>
        </w:rPr>
        <w:t xml:space="preserve"> more thorough description can be</w:t>
      </w:r>
      <w:r w:rsidR="00C13B73">
        <w:rPr>
          <w:rFonts w:cs="Arial"/>
          <w:sz w:val="24"/>
          <w:szCs w:val="24"/>
          <w:lang w:val="en-GB"/>
        </w:rPr>
        <w:t xml:space="preserve"> found in Skifter Andersen (2012</w:t>
      </w:r>
      <w:r>
        <w:rPr>
          <w:rFonts w:cs="Arial"/>
          <w:sz w:val="24"/>
          <w:szCs w:val="24"/>
          <w:lang w:val="en-GB"/>
        </w:rPr>
        <w:t>).</w:t>
      </w:r>
    </w:p>
    <w:p w:rsidR="00632976" w:rsidRDefault="00632976" w:rsidP="009B3419">
      <w:pPr>
        <w:rPr>
          <w:rFonts w:cs="Arial"/>
          <w:sz w:val="24"/>
          <w:szCs w:val="24"/>
          <w:lang w:val="en-GB"/>
        </w:rPr>
      </w:pPr>
    </w:p>
    <w:p w:rsidR="00C13B73" w:rsidRDefault="00C13B73" w:rsidP="009B3419">
      <w:pPr>
        <w:rPr>
          <w:rFonts w:cs="Arial"/>
          <w:sz w:val="24"/>
          <w:szCs w:val="24"/>
          <w:lang w:val="en-GB"/>
        </w:rPr>
      </w:pPr>
      <w:r w:rsidRPr="00FE3159">
        <w:rPr>
          <w:rFonts w:cs="Arial"/>
          <w:sz w:val="24"/>
          <w:szCs w:val="24"/>
          <w:lang w:val="en-GB"/>
        </w:rPr>
        <w:t xml:space="preserve">Housing policy can be defined as public initiatives </w:t>
      </w:r>
      <w:r>
        <w:rPr>
          <w:rFonts w:cs="Arial"/>
          <w:sz w:val="24"/>
          <w:szCs w:val="24"/>
          <w:lang w:val="en-GB"/>
        </w:rPr>
        <w:t>that</w:t>
      </w:r>
      <w:r w:rsidRPr="00FE3159">
        <w:rPr>
          <w:rFonts w:cs="Arial"/>
          <w:sz w:val="24"/>
          <w:szCs w:val="24"/>
          <w:lang w:val="en-GB"/>
        </w:rPr>
        <w:t xml:space="preserve"> affect the supply, price and quality of dwellings plus how they are distributed </w:t>
      </w:r>
      <w:r>
        <w:rPr>
          <w:rFonts w:cs="Arial"/>
          <w:sz w:val="24"/>
          <w:szCs w:val="24"/>
          <w:lang w:val="en-GB"/>
        </w:rPr>
        <w:t xml:space="preserve">on </w:t>
      </w:r>
      <w:r w:rsidRPr="00FE3159">
        <w:rPr>
          <w:rFonts w:cs="Arial"/>
          <w:sz w:val="24"/>
          <w:szCs w:val="24"/>
          <w:lang w:val="en-GB"/>
        </w:rPr>
        <w:t>households. Housing policy is to some extent intertwined with urban policy</w:t>
      </w:r>
      <w:r>
        <w:rPr>
          <w:rFonts w:cs="Arial"/>
          <w:sz w:val="24"/>
          <w:szCs w:val="24"/>
          <w:lang w:val="en-GB"/>
        </w:rPr>
        <w:t>,</w:t>
      </w:r>
      <w:r w:rsidRPr="00FE3159">
        <w:rPr>
          <w:rFonts w:cs="Arial"/>
          <w:sz w:val="24"/>
          <w:szCs w:val="24"/>
          <w:lang w:val="en-GB"/>
        </w:rPr>
        <w:t xml:space="preserve"> </w:t>
      </w:r>
      <w:r>
        <w:rPr>
          <w:rFonts w:cs="Arial"/>
          <w:sz w:val="24"/>
          <w:szCs w:val="24"/>
          <w:lang w:val="en-GB"/>
        </w:rPr>
        <w:t>which</w:t>
      </w:r>
      <w:r w:rsidRPr="00FE3159">
        <w:rPr>
          <w:rFonts w:cs="Arial"/>
          <w:sz w:val="24"/>
          <w:szCs w:val="24"/>
          <w:lang w:val="en-GB"/>
        </w:rPr>
        <w:t xml:space="preserve"> influences where and how dwellings are located and the qualities of their neighbourhoods.</w:t>
      </w:r>
    </w:p>
    <w:p w:rsidR="00C13B73" w:rsidRDefault="00C13B73" w:rsidP="009B3419">
      <w:pPr>
        <w:rPr>
          <w:lang w:val="en-GB"/>
        </w:rPr>
      </w:pPr>
    </w:p>
    <w:p w:rsidR="0072553D" w:rsidRDefault="00761D49" w:rsidP="0072553D">
      <w:pPr>
        <w:rPr>
          <w:rFonts w:cs="Arial"/>
          <w:sz w:val="24"/>
          <w:szCs w:val="24"/>
          <w:lang w:val="en-GB"/>
        </w:rPr>
      </w:pPr>
      <w:r>
        <w:rPr>
          <w:rFonts w:cs="Arial"/>
          <w:sz w:val="24"/>
          <w:szCs w:val="24"/>
          <w:lang w:val="en-GB"/>
        </w:rPr>
        <w:t>S</w:t>
      </w:r>
      <w:r w:rsidR="0072553D">
        <w:rPr>
          <w:rFonts w:cs="Arial"/>
          <w:sz w:val="24"/>
          <w:szCs w:val="24"/>
          <w:lang w:val="en-GB"/>
        </w:rPr>
        <w:t>ome general features of housing policies</w:t>
      </w:r>
      <w:r>
        <w:rPr>
          <w:rFonts w:cs="Arial"/>
          <w:sz w:val="24"/>
          <w:szCs w:val="24"/>
          <w:lang w:val="en-GB"/>
        </w:rPr>
        <w:t xml:space="preserve"> </w:t>
      </w:r>
      <w:r w:rsidR="00DB1C34">
        <w:rPr>
          <w:rFonts w:cs="Arial"/>
          <w:sz w:val="24"/>
          <w:szCs w:val="24"/>
          <w:lang w:val="en-GB"/>
        </w:rPr>
        <w:t xml:space="preserve">can be </w:t>
      </w:r>
      <w:r>
        <w:rPr>
          <w:rFonts w:cs="Arial"/>
          <w:sz w:val="24"/>
          <w:szCs w:val="24"/>
          <w:lang w:val="en-GB"/>
        </w:rPr>
        <w:t>indicated</w:t>
      </w:r>
      <w:r w:rsidR="0072553D">
        <w:rPr>
          <w:rFonts w:cs="Arial"/>
          <w:sz w:val="24"/>
          <w:szCs w:val="24"/>
          <w:lang w:val="en-GB"/>
        </w:rPr>
        <w:t xml:space="preserve"> </w:t>
      </w:r>
      <w:r>
        <w:rPr>
          <w:rFonts w:cs="Arial"/>
          <w:sz w:val="24"/>
          <w:szCs w:val="24"/>
          <w:lang w:val="en-GB"/>
        </w:rPr>
        <w:t xml:space="preserve">that are </w:t>
      </w:r>
      <w:r w:rsidR="0072553D">
        <w:rPr>
          <w:rFonts w:cs="Arial"/>
          <w:sz w:val="24"/>
          <w:szCs w:val="24"/>
          <w:lang w:val="en-GB"/>
        </w:rPr>
        <w:t>importan</w:t>
      </w:r>
      <w:r>
        <w:rPr>
          <w:rFonts w:cs="Arial"/>
          <w:sz w:val="24"/>
          <w:szCs w:val="24"/>
          <w:lang w:val="en-GB"/>
        </w:rPr>
        <w:t>t</w:t>
      </w:r>
      <w:r w:rsidR="0072553D">
        <w:rPr>
          <w:rFonts w:cs="Arial"/>
          <w:sz w:val="24"/>
          <w:szCs w:val="24"/>
          <w:lang w:val="en-GB"/>
        </w:rPr>
        <w:t xml:space="preserve"> for immigrants. As stated above</w:t>
      </w:r>
      <w:r>
        <w:rPr>
          <w:rFonts w:cs="Arial"/>
          <w:sz w:val="24"/>
          <w:szCs w:val="24"/>
          <w:lang w:val="en-GB"/>
        </w:rPr>
        <w:t>,</w:t>
      </w:r>
      <w:r w:rsidR="0072553D">
        <w:rPr>
          <w:rFonts w:cs="Arial"/>
          <w:sz w:val="24"/>
          <w:szCs w:val="24"/>
          <w:lang w:val="en-GB"/>
        </w:rPr>
        <w:t xml:space="preserve"> immigrants’ housing options are very dependent on the general options on the housing market for low-income groups and the ethnic segmentation of the market depends much on the degree of income segmentation. This segmentation depends on to what extent housing policy creates equal opportunities and economic incentives in different tenures. If </w:t>
      </w:r>
      <w:r w:rsidR="0056434B">
        <w:rPr>
          <w:rFonts w:cs="Arial"/>
          <w:sz w:val="24"/>
          <w:szCs w:val="24"/>
          <w:lang w:val="en-GB"/>
        </w:rPr>
        <w:t xml:space="preserve">housing </w:t>
      </w:r>
      <w:r w:rsidR="0072553D">
        <w:rPr>
          <w:rFonts w:cs="Arial"/>
          <w:sz w:val="24"/>
          <w:szCs w:val="24"/>
          <w:lang w:val="en-GB"/>
        </w:rPr>
        <w:t xml:space="preserve">subsidies or tax incentives are </w:t>
      </w:r>
      <w:r w:rsidR="0056434B">
        <w:rPr>
          <w:rFonts w:cs="Arial"/>
          <w:sz w:val="24"/>
          <w:szCs w:val="24"/>
          <w:lang w:val="en-GB"/>
        </w:rPr>
        <w:t>designed in such a way that high</w:t>
      </w:r>
      <w:r>
        <w:rPr>
          <w:rFonts w:cs="Arial"/>
          <w:sz w:val="24"/>
          <w:szCs w:val="24"/>
          <w:lang w:val="en-GB"/>
        </w:rPr>
        <w:t>-</w:t>
      </w:r>
      <w:r w:rsidR="0056434B">
        <w:rPr>
          <w:rFonts w:cs="Arial"/>
          <w:sz w:val="24"/>
          <w:szCs w:val="24"/>
          <w:lang w:val="en-GB"/>
        </w:rPr>
        <w:t xml:space="preserve">income groups </w:t>
      </w:r>
      <w:r>
        <w:rPr>
          <w:rFonts w:cs="Arial"/>
          <w:sz w:val="24"/>
          <w:szCs w:val="24"/>
          <w:lang w:val="en-GB"/>
        </w:rPr>
        <w:t>receive</w:t>
      </w:r>
      <w:r w:rsidR="0056434B">
        <w:rPr>
          <w:rFonts w:cs="Arial"/>
          <w:sz w:val="24"/>
          <w:szCs w:val="24"/>
          <w:lang w:val="en-GB"/>
        </w:rPr>
        <w:t xml:space="preserve"> the largest support in owner-occupation and only low</w:t>
      </w:r>
      <w:r>
        <w:rPr>
          <w:rFonts w:cs="Arial"/>
          <w:sz w:val="24"/>
          <w:szCs w:val="24"/>
          <w:lang w:val="en-GB"/>
        </w:rPr>
        <w:t>-</w:t>
      </w:r>
      <w:r w:rsidR="0056434B">
        <w:rPr>
          <w:rFonts w:cs="Arial"/>
          <w:sz w:val="24"/>
          <w:szCs w:val="24"/>
          <w:lang w:val="en-GB"/>
        </w:rPr>
        <w:t xml:space="preserve">income groups are supported in rental housing, it can be expected that there will be </w:t>
      </w:r>
      <w:r w:rsidR="00627D9F">
        <w:rPr>
          <w:rFonts w:cs="Arial"/>
          <w:sz w:val="24"/>
          <w:szCs w:val="24"/>
          <w:lang w:val="en-GB"/>
        </w:rPr>
        <w:lastRenderedPageBreak/>
        <w:t>pronounced</w:t>
      </w:r>
      <w:r w:rsidR="0056434B">
        <w:rPr>
          <w:rFonts w:cs="Arial"/>
          <w:sz w:val="24"/>
          <w:szCs w:val="24"/>
          <w:lang w:val="en-GB"/>
        </w:rPr>
        <w:t xml:space="preserve"> income segmentation. On the other hand, if housing policy is more universalistic </w:t>
      </w:r>
      <w:r w:rsidR="0056434B" w:rsidRPr="00610DA3">
        <w:rPr>
          <w:rFonts w:cs="Arial"/>
          <w:sz w:val="24"/>
          <w:szCs w:val="24"/>
          <w:lang w:val="en-GB"/>
        </w:rPr>
        <w:t xml:space="preserve">in the sense that </w:t>
      </w:r>
      <w:r w:rsidR="00482B0E">
        <w:rPr>
          <w:rFonts w:cs="Arial"/>
          <w:sz w:val="24"/>
          <w:szCs w:val="24"/>
          <w:lang w:val="en-GB"/>
        </w:rPr>
        <w:t xml:space="preserve">it </w:t>
      </w:r>
      <w:r w:rsidR="00482B0E" w:rsidRPr="00482B0E">
        <w:rPr>
          <w:rFonts w:cs="Arial"/>
          <w:sz w:val="24"/>
          <w:szCs w:val="24"/>
          <w:lang w:val="en-GB"/>
        </w:rPr>
        <w:t>is</w:t>
      </w:r>
      <w:r w:rsidR="0056434B">
        <w:rPr>
          <w:rFonts w:cs="Arial"/>
          <w:sz w:val="24"/>
          <w:szCs w:val="24"/>
          <w:lang w:val="en-GB"/>
        </w:rPr>
        <w:t xml:space="preserve"> </w:t>
      </w:r>
      <w:r w:rsidR="0056434B" w:rsidRPr="00610DA3">
        <w:rPr>
          <w:rFonts w:cs="Arial"/>
          <w:sz w:val="24"/>
          <w:szCs w:val="24"/>
          <w:lang w:val="en-GB"/>
        </w:rPr>
        <w:t xml:space="preserve">to a greater extent </w:t>
      </w:r>
      <w:r w:rsidR="0056434B">
        <w:rPr>
          <w:rFonts w:cs="Arial"/>
          <w:sz w:val="24"/>
          <w:szCs w:val="24"/>
          <w:lang w:val="en-GB"/>
        </w:rPr>
        <w:t xml:space="preserve"> aimed </w:t>
      </w:r>
      <w:r w:rsidR="0056434B" w:rsidRPr="00610DA3">
        <w:rPr>
          <w:rFonts w:cs="Arial"/>
          <w:sz w:val="24"/>
          <w:szCs w:val="24"/>
          <w:lang w:val="en-GB"/>
        </w:rPr>
        <w:t>at housing for the whole population and not only for vulnerable low-income groups</w:t>
      </w:r>
      <w:r w:rsidR="0056434B">
        <w:rPr>
          <w:rFonts w:cs="Arial"/>
          <w:sz w:val="24"/>
          <w:szCs w:val="24"/>
          <w:lang w:val="en-GB"/>
        </w:rPr>
        <w:t>, income segmentation will be lower.</w:t>
      </w:r>
    </w:p>
    <w:p w:rsidR="0056434B" w:rsidRDefault="0056434B" w:rsidP="0072553D">
      <w:pPr>
        <w:rPr>
          <w:rFonts w:cs="Arial"/>
          <w:sz w:val="24"/>
          <w:szCs w:val="24"/>
          <w:lang w:val="en-GB"/>
        </w:rPr>
      </w:pPr>
    </w:p>
    <w:p w:rsidR="0056434B" w:rsidRPr="009B3419" w:rsidRDefault="0056434B" w:rsidP="0072553D">
      <w:pPr>
        <w:rPr>
          <w:rFonts w:cs="Arial"/>
          <w:sz w:val="24"/>
          <w:szCs w:val="24"/>
          <w:lang w:val="en-GB"/>
        </w:rPr>
      </w:pPr>
      <w:r>
        <w:rPr>
          <w:rFonts w:cs="Arial"/>
          <w:sz w:val="24"/>
          <w:szCs w:val="24"/>
          <w:lang w:val="en-GB"/>
        </w:rPr>
        <w:t xml:space="preserve">Another important feature is </w:t>
      </w:r>
      <w:r w:rsidR="00761D49">
        <w:rPr>
          <w:rFonts w:cs="Arial"/>
          <w:sz w:val="24"/>
          <w:szCs w:val="24"/>
          <w:lang w:val="en-GB"/>
        </w:rPr>
        <w:t>whether</w:t>
      </w:r>
      <w:r>
        <w:rPr>
          <w:rFonts w:cs="Arial"/>
          <w:sz w:val="24"/>
          <w:szCs w:val="24"/>
          <w:lang w:val="en-GB"/>
        </w:rPr>
        <w:t xml:space="preserve"> housing policy makes the market more</w:t>
      </w:r>
      <w:r w:rsidR="001302B8">
        <w:rPr>
          <w:rFonts w:cs="Arial"/>
          <w:sz w:val="24"/>
          <w:szCs w:val="24"/>
          <w:lang w:val="en-GB"/>
        </w:rPr>
        <w:t>,</w:t>
      </w:r>
      <w:r>
        <w:rPr>
          <w:rFonts w:cs="Arial"/>
          <w:sz w:val="24"/>
          <w:szCs w:val="24"/>
          <w:lang w:val="en-GB"/>
        </w:rPr>
        <w:t xml:space="preserve"> or less</w:t>
      </w:r>
      <w:r w:rsidR="001302B8">
        <w:rPr>
          <w:rFonts w:cs="Arial"/>
          <w:sz w:val="24"/>
          <w:szCs w:val="24"/>
          <w:lang w:val="en-GB"/>
        </w:rPr>
        <w:t>,</w:t>
      </w:r>
      <w:r>
        <w:rPr>
          <w:rFonts w:cs="Arial"/>
          <w:sz w:val="24"/>
          <w:szCs w:val="24"/>
          <w:lang w:val="en-GB"/>
        </w:rPr>
        <w:t xml:space="preserve"> transparent. Complicated systems of </w:t>
      </w:r>
      <w:r w:rsidR="00401241">
        <w:rPr>
          <w:rFonts w:cs="Arial"/>
          <w:sz w:val="24"/>
          <w:szCs w:val="24"/>
          <w:lang w:val="en-GB"/>
        </w:rPr>
        <w:t xml:space="preserve">economic </w:t>
      </w:r>
      <w:r>
        <w:rPr>
          <w:rFonts w:cs="Arial"/>
          <w:sz w:val="24"/>
          <w:szCs w:val="24"/>
          <w:lang w:val="en-GB"/>
        </w:rPr>
        <w:t xml:space="preserve">support and </w:t>
      </w:r>
      <w:r w:rsidR="00401241">
        <w:rPr>
          <w:rFonts w:cs="Arial"/>
          <w:sz w:val="24"/>
          <w:szCs w:val="24"/>
          <w:lang w:val="en-GB"/>
        </w:rPr>
        <w:t xml:space="preserve">of </w:t>
      </w:r>
      <w:r>
        <w:rPr>
          <w:rFonts w:cs="Arial"/>
          <w:sz w:val="24"/>
          <w:szCs w:val="24"/>
          <w:lang w:val="en-GB"/>
        </w:rPr>
        <w:t xml:space="preserve">rules for access to housing make it more difficult for immigrants, with limited knowledge of the housing systems, to identify good housing options. Connected to this is </w:t>
      </w:r>
      <w:r w:rsidR="001302B8">
        <w:rPr>
          <w:rFonts w:cs="Arial"/>
          <w:sz w:val="24"/>
          <w:szCs w:val="24"/>
          <w:lang w:val="en-GB"/>
        </w:rPr>
        <w:t>whether</w:t>
      </w:r>
      <w:r w:rsidR="00401241">
        <w:rPr>
          <w:rFonts w:cs="Arial"/>
          <w:sz w:val="24"/>
          <w:szCs w:val="24"/>
          <w:lang w:val="en-GB"/>
        </w:rPr>
        <w:t xml:space="preserve"> conditions for discrimination </w:t>
      </w:r>
      <w:r w:rsidR="00313F13">
        <w:rPr>
          <w:rFonts w:cs="Arial"/>
          <w:sz w:val="24"/>
          <w:szCs w:val="24"/>
          <w:lang w:val="en-GB"/>
        </w:rPr>
        <w:t>are</w:t>
      </w:r>
      <w:r w:rsidR="00401241">
        <w:rPr>
          <w:rFonts w:cs="Arial"/>
          <w:sz w:val="24"/>
          <w:szCs w:val="24"/>
          <w:lang w:val="en-GB"/>
        </w:rPr>
        <w:t xml:space="preserve"> </w:t>
      </w:r>
      <w:r w:rsidR="00401241" w:rsidRPr="00401241">
        <w:rPr>
          <w:rFonts w:cs="Arial"/>
          <w:sz w:val="24"/>
          <w:szCs w:val="24"/>
          <w:lang w:val="en-GB"/>
        </w:rPr>
        <w:t>enhance</w:t>
      </w:r>
      <w:r w:rsidR="00401241">
        <w:rPr>
          <w:rFonts w:cs="Arial"/>
          <w:sz w:val="24"/>
          <w:szCs w:val="24"/>
          <w:lang w:val="en-GB"/>
        </w:rPr>
        <w:t>d. If rules for access to rental dwellings are unclear</w:t>
      </w:r>
      <w:r w:rsidR="001302B8">
        <w:rPr>
          <w:rFonts w:cs="Arial"/>
          <w:sz w:val="24"/>
          <w:szCs w:val="24"/>
          <w:lang w:val="en-GB"/>
        </w:rPr>
        <w:t>,</w:t>
      </w:r>
      <w:r w:rsidR="00401241">
        <w:rPr>
          <w:rFonts w:cs="Arial"/>
          <w:sz w:val="24"/>
          <w:szCs w:val="24"/>
          <w:lang w:val="en-GB"/>
        </w:rPr>
        <w:t xml:space="preserve"> or if allocation is </w:t>
      </w:r>
      <w:r w:rsidR="00401241" w:rsidRPr="00401241">
        <w:rPr>
          <w:rFonts w:cs="Arial"/>
          <w:sz w:val="24"/>
          <w:szCs w:val="24"/>
          <w:lang w:val="en-GB"/>
        </w:rPr>
        <w:t>entrust</w:t>
      </w:r>
      <w:r w:rsidR="00401241">
        <w:rPr>
          <w:rFonts w:cs="Arial"/>
          <w:sz w:val="24"/>
          <w:szCs w:val="24"/>
          <w:lang w:val="en-GB"/>
        </w:rPr>
        <w:t>ed to landlords alone, the ris</w:t>
      </w:r>
      <w:r w:rsidR="001302B8">
        <w:rPr>
          <w:rFonts w:cs="Arial"/>
          <w:sz w:val="24"/>
          <w:szCs w:val="24"/>
          <w:lang w:val="en-GB"/>
        </w:rPr>
        <w:t>k</w:t>
      </w:r>
      <w:r w:rsidR="00401241">
        <w:rPr>
          <w:rFonts w:cs="Arial"/>
          <w:sz w:val="24"/>
          <w:szCs w:val="24"/>
          <w:lang w:val="en-GB"/>
        </w:rPr>
        <w:t xml:space="preserve"> of discrimination is greater. </w:t>
      </w:r>
    </w:p>
    <w:p w:rsidR="0072553D" w:rsidRDefault="0072553D" w:rsidP="009B3419">
      <w:pPr>
        <w:rPr>
          <w:lang w:val="en-GB"/>
        </w:rPr>
      </w:pPr>
    </w:p>
    <w:p w:rsidR="00C81166" w:rsidRDefault="00C81166" w:rsidP="00610DA3">
      <w:pPr>
        <w:rPr>
          <w:rFonts w:cs="Arial"/>
          <w:sz w:val="24"/>
          <w:szCs w:val="24"/>
          <w:lang w:val="en-GB"/>
        </w:rPr>
      </w:pPr>
      <w:r w:rsidRPr="00610DA3">
        <w:rPr>
          <w:rFonts w:cs="Arial"/>
          <w:sz w:val="24"/>
          <w:szCs w:val="24"/>
          <w:lang w:val="en-GB"/>
        </w:rPr>
        <w:t xml:space="preserve">Housing policies vary much between Nordic countries in spite of their common background as welfare states. In a comparison of housing policy instruments in the </w:t>
      </w:r>
      <w:r>
        <w:rPr>
          <w:rFonts w:cs="Arial"/>
          <w:sz w:val="24"/>
          <w:szCs w:val="24"/>
          <w:lang w:val="en-GB"/>
        </w:rPr>
        <w:t xml:space="preserve">four </w:t>
      </w:r>
      <w:r w:rsidRPr="00610DA3">
        <w:rPr>
          <w:rFonts w:cs="Arial"/>
          <w:sz w:val="24"/>
          <w:szCs w:val="24"/>
          <w:lang w:val="en-GB"/>
        </w:rPr>
        <w:t>countries (</w:t>
      </w:r>
      <w:proofErr w:type="spellStart"/>
      <w:r w:rsidRPr="00610DA3">
        <w:rPr>
          <w:rFonts w:cs="Arial"/>
          <w:sz w:val="24"/>
          <w:szCs w:val="24"/>
          <w:lang w:val="en-GB"/>
        </w:rPr>
        <w:t>Lujanen</w:t>
      </w:r>
      <w:proofErr w:type="spellEnd"/>
      <w:r w:rsidRPr="00610DA3">
        <w:rPr>
          <w:rFonts w:cs="Arial"/>
          <w:sz w:val="24"/>
          <w:szCs w:val="24"/>
          <w:lang w:val="en-GB"/>
        </w:rPr>
        <w:t xml:space="preserve"> (eds</w:t>
      </w:r>
      <w:r>
        <w:rPr>
          <w:rFonts w:cs="Arial"/>
          <w:sz w:val="24"/>
          <w:szCs w:val="24"/>
          <w:lang w:val="en-GB"/>
        </w:rPr>
        <w:t>.</w:t>
      </w:r>
      <w:r w:rsidRPr="00610DA3">
        <w:rPr>
          <w:rFonts w:cs="Arial"/>
          <w:sz w:val="24"/>
          <w:szCs w:val="24"/>
          <w:lang w:val="en-GB"/>
        </w:rPr>
        <w:t>) 2004)</w:t>
      </w:r>
      <w:r w:rsidR="00677E31">
        <w:rPr>
          <w:rFonts w:cs="Arial"/>
          <w:sz w:val="24"/>
          <w:szCs w:val="24"/>
          <w:lang w:val="en-GB"/>
        </w:rPr>
        <w:t>,</w:t>
      </w:r>
      <w:r w:rsidRPr="00610DA3">
        <w:rPr>
          <w:rFonts w:cs="Arial"/>
          <w:sz w:val="24"/>
          <w:szCs w:val="24"/>
          <w:lang w:val="en-GB"/>
        </w:rPr>
        <w:t xml:space="preserve"> it was </w:t>
      </w:r>
      <w:r w:rsidRPr="005151D7">
        <w:rPr>
          <w:rFonts w:cs="Arial"/>
          <w:sz w:val="24"/>
          <w:szCs w:val="24"/>
          <w:lang w:val="en-GB"/>
        </w:rPr>
        <w:t>sai</w:t>
      </w:r>
      <w:r w:rsidRPr="00661B7C">
        <w:rPr>
          <w:rFonts w:cs="Arial"/>
          <w:sz w:val="24"/>
          <w:szCs w:val="24"/>
          <w:lang w:val="en-GB"/>
        </w:rPr>
        <w:t>d</w:t>
      </w:r>
      <w:r w:rsidRPr="00610DA3">
        <w:rPr>
          <w:rFonts w:cs="Arial"/>
          <w:sz w:val="24"/>
          <w:szCs w:val="24"/>
          <w:lang w:val="en-GB"/>
        </w:rPr>
        <w:t xml:space="preserve"> that 'surprisingly big differences' was found in implementation and in means used. Similar</w:t>
      </w:r>
      <w:r>
        <w:rPr>
          <w:rFonts w:cs="Arial"/>
          <w:sz w:val="24"/>
          <w:szCs w:val="24"/>
          <w:lang w:val="en-GB"/>
        </w:rPr>
        <w:t>ly</w:t>
      </w:r>
      <w:r w:rsidRPr="00610DA3">
        <w:rPr>
          <w:rFonts w:cs="Arial"/>
          <w:sz w:val="24"/>
          <w:szCs w:val="24"/>
          <w:lang w:val="en-GB"/>
        </w:rPr>
        <w:t xml:space="preserve">, another comparative study of housing policy in </w:t>
      </w:r>
      <w:r w:rsidR="00025180" w:rsidRPr="005151D7">
        <w:rPr>
          <w:rFonts w:cs="Arial"/>
          <w:sz w:val="24"/>
          <w:szCs w:val="24"/>
          <w:lang w:val="en-GB"/>
        </w:rPr>
        <w:t>four</w:t>
      </w:r>
      <w:r w:rsidRPr="00610DA3">
        <w:rPr>
          <w:rFonts w:cs="Arial"/>
          <w:sz w:val="24"/>
          <w:szCs w:val="24"/>
          <w:lang w:val="en-GB"/>
        </w:rPr>
        <w:t xml:space="preserve"> Nordic countries (</w:t>
      </w:r>
      <w:proofErr w:type="spellStart"/>
      <w:r w:rsidRPr="00610DA3">
        <w:rPr>
          <w:rFonts w:cs="Arial"/>
          <w:sz w:val="24"/>
          <w:szCs w:val="24"/>
          <w:lang w:val="en-GB"/>
        </w:rPr>
        <w:t>Bengtsson</w:t>
      </w:r>
      <w:proofErr w:type="spellEnd"/>
      <w:r w:rsidRPr="00610DA3">
        <w:rPr>
          <w:rFonts w:cs="Arial"/>
          <w:sz w:val="24"/>
          <w:szCs w:val="24"/>
          <w:lang w:val="en-GB"/>
        </w:rPr>
        <w:t xml:space="preserve"> et al. 2006, p 12) </w:t>
      </w:r>
      <w:r>
        <w:rPr>
          <w:rFonts w:cs="Arial"/>
          <w:sz w:val="24"/>
          <w:szCs w:val="24"/>
          <w:lang w:val="en-GB"/>
        </w:rPr>
        <w:t>conclude</w:t>
      </w:r>
      <w:r w:rsidR="00677E31">
        <w:rPr>
          <w:rFonts w:cs="Arial"/>
          <w:sz w:val="24"/>
          <w:szCs w:val="24"/>
          <w:lang w:val="en-GB"/>
        </w:rPr>
        <w:t>s</w:t>
      </w:r>
      <w:r w:rsidRPr="00610DA3">
        <w:rPr>
          <w:rFonts w:cs="Arial"/>
          <w:sz w:val="24"/>
          <w:szCs w:val="24"/>
          <w:lang w:val="en-GB"/>
        </w:rPr>
        <w:t xml:space="preserve"> that the way housing policy has been implemented in the different countries show</w:t>
      </w:r>
      <w:r w:rsidR="00677E31">
        <w:rPr>
          <w:rFonts w:cs="Arial"/>
          <w:sz w:val="24"/>
          <w:szCs w:val="24"/>
          <w:lang w:val="en-GB"/>
        </w:rPr>
        <w:t>s</w:t>
      </w:r>
      <w:r w:rsidRPr="00610DA3">
        <w:rPr>
          <w:rFonts w:cs="Arial"/>
          <w:sz w:val="24"/>
          <w:szCs w:val="24"/>
          <w:lang w:val="en-GB"/>
        </w:rPr>
        <w:t xml:space="preserve"> so </w:t>
      </w:r>
      <w:r>
        <w:rPr>
          <w:rFonts w:cs="Arial"/>
          <w:sz w:val="24"/>
          <w:szCs w:val="24"/>
          <w:lang w:val="en-GB"/>
        </w:rPr>
        <w:t>important</w:t>
      </w:r>
      <w:r w:rsidRPr="00610DA3" w:rsidDel="0010142E">
        <w:rPr>
          <w:rFonts w:cs="Arial"/>
          <w:sz w:val="24"/>
          <w:szCs w:val="24"/>
          <w:lang w:val="en-GB"/>
        </w:rPr>
        <w:t xml:space="preserve"> </w:t>
      </w:r>
      <w:r w:rsidRPr="00610DA3">
        <w:rPr>
          <w:rFonts w:cs="Arial"/>
          <w:sz w:val="24"/>
          <w:szCs w:val="24"/>
          <w:lang w:val="en-GB"/>
        </w:rPr>
        <w:t xml:space="preserve">differences that one can talk about quite different </w:t>
      </w:r>
      <w:r>
        <w:rPr>
          <w:rFonts w:cs="Arial"/>
          <w:sz w:val="24"/>
          <w:szCs w:val="24"/>
          <w:lang w:val="en-GB"/>
        </w:rPr>
        <w:t xml:space="preserve">housing </w:t>
      </w:r>
      <w:r w:rsidRPr="00610DA3">
        <w:rPr>
          <w:rFonts w:cs="Arial"/>
          <w:sz w:val="24"/>
          <w:szCs w:val="24"/>
          <w:lang w:val="en-GB"/>
        </w:rPr>
        <w:t>systems</w:t>
      </w:r>
      <w:r w:rsidR="00517819">
        <w:rPr>
          <w:rFonts w:cs="Arial"/>
          <w:sz w:val="24"/>
          <w:szCs w:val="24"/>
          <w:lang w:val="en-GB"/>
        </w:rPr>
        <w:t>; differences in both policies institutions and markets</w:t>
      </w:r>
      <w:r w:rsidRPr="00610DA3">
        <w:rPr>
          <w:rFonts w:cs="Arial"/>
          <w:sz w:val="24"/>
          <w:szCs w:val="24"/>
          <w:lang w:val="en-GB"/>
        </w:rPr>
        <w:t>. The Danish and</w:t>
      </w:r>
      <w:r>
        <w:rPr>
          <w:rFonts w:cs="Arial"/>
          <w:sz w:val="24"/>
          <w:szCs w:val="24"/>
          <w:lang w:val="en-GB"/>
        </w:rPr>
        <w:t xml:space="preserve"> </w:t>
      </w:r>
      <w:r w:rsidRPr="00610DA3">
        <w:rPr>
          <w:rFonts w:cs="Arial"/>
          <w:sz w:val="24"/>
          <w:szCs w:val="24"/>
          <w:lang w:val="en-GB"/>
        </w:rPr>
        <w:t xml:space="preserve">Swedish housing policies are characterised </w:t>
      </w:r>
      <w:r w:rsidR="00462F01">
        <w:rPr>
          <w:rFonts w:cs="Arial"/>
          <w:sz w:val="24"/>
          <w:szCs w:val="24"/>
          <w:lang w:val="en-GB"/>
        </w:rPr>
        <w:t>by being</w:t>
      </w:r>
      <w:r w:rsidRPr="00610DA3">
        <w:rPr>
          <w:rFonts w:cs="Arial"/>
          <w:sz w:val="24"/>
          <w:szCs w:val="24"/>
          <w:lang w:val="en-GB"/>
        </w:rPr>
        <w:t xml:space="preserve"> more general and universalistic</w:t>
      </w:r>
      <w:r>
        <w:rPr>
          <w:rFonts w:cs="Arial"/>
          <w:sz w:val="24"/>
          <w:szCs w:val="24"/>
          <w:lang w:val="en-GB"/>
        </w:rPr>
        <w:t xml:space="preserve">. In </w:t>
      </w:r>
      <w:smartTag w:uri="urn:schemas-microsoft-com:office:smarttags" w:element="City">
        <w:smartTag w:uri="urn:schemas-microsoft-com:office:smarttags" w:element="country-region">
          <w:r>
            <w:rPr>
              <w:rFonts w:cs="Arial"/>
              <w:sz w:val="24"/>
              <w:szCs w:val="24"/>
              <w:lang w:val="en-GB"/>
            </w:rPr>
            <w:t>Norway</w:t>
          </w:r>
        </w:smartTag>
      </w:smartTag>
      <w:r>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Finland</w:t>
            </w:r>
          </w:smartTag>
        </w:smartTag>
      </w:smartTag>
      <w:r>
        <w:rPr>
          <w:rFonts w:cs="Arial"/>
          <w:sz w:val="24"/>
          <w:szCs w:val="24"/>
          <w:lang w:val="en-GB"/>
        </w:rPr>
        <w:t xml:space="preserve"> there are to a greater extent special policies for low</w:t>
      </w:r>
      <w:r w:rsidR="00677E31">
        <w:rPr>
          <w:rFonts w:cs="Arial"/>
          <w:sz w:val="24"/>
          <w:szCs w:val="24"/>
          <w:lang w:val="en-GB"/>
        </w:rPr>
        <w:t>-</w:t>
      </w:r>
      <w:r>
        <w:rPr>
          <w:rFonts w:cs="Arial"/>
          <w:sz w:val="24"/>
          <w:szCs w:val="24"/>
          <w:lang w:val="en-GB"/>
        </w:rPr>
        <w:t>income groups regulated by means tests.</w:t>
      </w:r>
      <w:r w:rsidRPr="00610DA3">
        <w:rPr>
          <w:rFonts w:cs="Arial"/>
          <w:sz w:val="24"/>
          <w:szCs w:val="24"/>
          <w:lang w:val="en-GB"/>
        </w:rPr>
        <w:t xml:space="preserve"> </w:t>
      </w:r>
    </w:p>
    <w:p w:rsidR="00C81166" w:rsidRDefault="00C81166" w:rsidP="00610DA3">
      <w:pPr>
        <w:rPr>
          <w:rFonts w:cs="Arial"/>
          <w:sz w:val="24"/>
          <w:szCs w:val="24"/>
          <w:lang w:val="en-GB"/>
        </w:rPr>
      </w:pPr>
    </w:p>
    <w:p w:rsidR="00C81166" w:rsidRDefault="00C81166" w:rsidP="00610DA3">
      <w:pPr>
        <w:rPr>
          <w:rFonts w:cs="Arial"/>
          <w:sz w:val="24"/>
          <w:szCs w:val="24"/>
          <w:lang w:val="en-GB"/>
        </w:rPr>
      </w:pPr>
      <w:smartTag w:uri="urn:schemas-microsoft-com:office:smarttags" w:element="City">
        <w:smartTag w:uri="urn:schemas-microsoft-com:office:smarttags" w:element="country-region">
          <w:smartTag w:uri="urn:schemas-microsoft-com:office:smarttags" w:element="place">
            <w:r w:rsidRPr="00C506B2">
              <w:rPr>
                <w:rFonts w:cs="Arial"/>
                <w:sz w:val="24"/>
                <w:szCs w:val="24"/>
                <w:lang w:val="en-GB"/>
              </w:rPr>
              <w:t>Sweden</w:t>
            </w:r>
          </w:smartTag>
        </w:smartTag>
      </w:smartTag>
      <w:r w:rsidRPr="00C506B2">
        <w:rPr>
          <w:rFonts w:cs="Arial"/>
          <w:sz w:val="24"/>
          <w:szCs w:val="24"/>
          <w:lang w:val="en-GB"/>
        </w:rPr>
        <w:t xml:space="preserve"> has been the country that has put most weight on housing as a social good with equal housing possibilities for all (Turner and Whitehead 2002, Magnusson Turner 2010). </w:t>
      </w:r>
      <w:smartTag w:uri="urn:schemas-microsoft-com:office:smarttags" w:element="City">
        <w:smartTag w:uri="urn:schemas-microsoft-com:office:smarttags" w:element="country-region">
          <w:r w:rsidRPr="00C506B2">
            <w:rPr>
              <w:rFonts w:cs="Arial"/>
              <w:sz w:val="24"/>
              <w:szCs w:val="24"/>
              <w:lang w:val="en-GB"/>
            </w:rPr>
            <w:t>Denmark</w:t>
          </w:r>
        </w:smartTag>
      </w:smartTag>
      <w:r w:rsidRPr="00C506B2">
        <w:rPr>
          <w:rFonts w:cs="Arial"/>
          <w:sz w:val="24"/>
          <w:szCs w:val="24"/>
          <w:lang w:val="en-GB"/>
        </w:rPr>
        <w:t xml:space="preserve"> also had strong social objectives for housing but not as pronounced as in </w:t>
      </w:r>
      <w:smartTag w:uri="urn:schemas-microsoft-com:office:smarttags" w:element="City">
        <w:smartTag w:uri="urn:schemas-microsoft-com:office:smarttags" w:element="country-region">
          <w:smartTag w:uri="urn:schemas-microsoft-com:office:smarttags" w:element="place">
            <w:r w:rsidRPr="00C506B2">
              <w:rPr>
                <w:rFonts w:cs="Arial"/>
                <w:sz w:val="24"/>
                <w:szCs w:val="24"/>
                <w:lang w:val="en-GB"/>
              </w:rPr>
              <w:t>Sweden</w:t>
            </w:r>
          </w:smartTag>
        </w:smartTag>
      </w:smartTag>
      <w:r w:rsidRPr="00C506B2">
        <w:rPr>
          <w:rFonts w:cs="Arial"/>
          <w:sz w:val="24"/>
          <w:szCs w:val="24"/>
          <w:lang w:val="en-GB"/>
        </w:rPr>
        <w:t xml:space="preserve">. More weight has been put on the market and less on state control. </w:t>
      </w:r>
      <w:r w:rsidR="00677E31">
        <w:rPr>
          <w:rFonts w:cs="Arial"/>
          <w:sz w:val="24"/>
          <w:szCs w:val="24"/>
          <w:lang w:val="en-GB"/>
        </w:rPr>
        <w:t xml:space="preserve">Earlier </w:t>
      </w:r>
      <w:smartTag w:uri="urn:schemas-microsoft-com:office:smarttags" w:element="City">
        <w:smartTag w:uri="urn:schemas-microsoft-com:office:smarttags" w:element="country-region">
          <w:smartTag w:uri="urn:schemas-microsoft-com:office:smarttags" w:element="place">
            <w:r w:rsidRPr="00C506B2">
              <w:rPr>
                <w:rFonts w:cs="Arial"/>
                <w:sz w:val="24"/>
                <w:szCs w:val="24"/>
                <w:lang w:val="en-GB"/>
              </w:rPr>
              <w:t>Norway</w:t>
            </w:r>
          </w:smartTag>
        </w:smartTag>
      </w:smartTag>
      <w:r w:rsidRPr="00C506B2">
        <w:rPr>
          <w:rFonts w:cs="Arial"/>
          <w:sz w:val="24"/>
          <w:szCs w:val="24"/>
          <w:lang w:val="en-GB"/>
        </w:rPr>
        <w:t xml:space="preserve"> had a strong state control of housing finance with supply subsidies for all kinds of tenures</w:t>
      </w:r>
      <w:r>
        <w:rPr>
          <w:rFonts w:cs="Arial"/>
          <w:sz w:val="24"/>
          <w:szCs w:val="24"/>
          <w:lang w:val="en-GB"/>
        </w:rPr>
        <w:t>, but</w:t>
      </w:r>
      <w:r w:rsidRPr="00C506B2">
        <w:rPr>
          <w:rFonts w:cs="Arial"/>
          <w:sz w:val="24"/>
          <w:szCs w:val="24"/>
          <w:lang w:val="en-GB"/>
        </w:rPr>
        <w:t xml:space="preserve"> </w:t>
      </w:r>
      <w:r>
        <w:rPr>
          <w:rFonts w:cs="Arial"/>
          <w:sz w:val="24"/>
          <w:szCs w:val="24"/>
          <w:lang w:val="en-GB"/>
        </w:rPr>
        <w:t>t</w:t>
      </w:r>
      <w:r w:rsidRPr="00C506B2">
        <w:rPr>
          <w:rFonts w:cs="Arial"/>
          <w:sz w:val="24"/>
          <w:szCs w:val="24"/>
          <w:lang w:val="en-GB"/>
        </w:rPr>
        <w:t xml:space="preserve">his has been abolished since the 1990s. </w:t>
      </w:r>
      <w:r>
        <w:rPr>
          <w:rFonts w:cs="Arial"/>
          <w:sz w:val="24"/>
          <w:szCs w:val="24"/>
          <w:lang w:val="en-GB"/>
        </w:rPr>
        <w:t>P</w:t>
      </w:r>
      <w:r w:rsidRPr="00C506B2">
        <w:rPr>
          <w:rFonts w:cs="Arial"/>
          <w:sz w:val="24"/>
          <w:szCs w:val="24"/>
          <w:lang w:val="en-GB"/>
        </w:rPr>
        <w:t xml:space="preserve">olicies in </w:t>
      </w:r>
      <w:smartTag w:uri="urn:schemas-microsoft-com:office:smarttags" w:element="City">
        <w:smartTag w:uri="urn:schemas-microsoft-com:office:smarttags" w:element="country-region">
          <w:smartTag w:uri="urn:schemas-microsoft-com:office:smarttags" w:element="place">
            <w:r w:rsidRPr="00C506B2">
              <w:rPr>
                <w:rFonts w:cs="Arial"/>
                <w:sz w:val="24"/>
                <w:szCs w:val="24"/>
                <w:lang w:val="en-GB"/>
              </w:rPr>
              <w:t>Norway</w:t>
            </w:r>
          </w:smartTag>
        </w:smartTag>
      </w:smartTag>
      <w:r w:rsidRPr="00C506B2">
        <w:rPr>
          <w:rFonts w:cs="Arial"/>
          <w:sz w:val="24"/>
          <w:szCs w:val="24"/>
          <w:lang w:val="en-GB"/>
        </w:rPr>
        <w:t xml:space="preserve"> have always been more selective and needs tests have been extensive. In Finland</w:t>
      </w:r>
      <w:r w:rsidR="00677E31">
        <w:rPr>
          <w:rFonts w:cs="Arial"/>
          <w:sz w:val="24"/>
          <w:szCs w:val="24"/>
          <w:lang w:val="en-GB"/>
        </w:rPr>
        <w:t>,</w:t>
      </w:r>
      <w:r w:rsidRPr="00C506B2">
        <w:rPr>
          <w:rFonts w:cs="Arial"/>
          <w:sz w:val="24"/>
          <w:szCs w:val="24"/>
          <w:lang w:val="en-GB"/>
        </w:rPr>
        <w:t xml:space="preserve"> housing policy to a greater extent </w:t>
      </w:r>
      <w:r>
        <w:rPr>
          <w:rFonts w:cs="Arial"/>
          <w:sz w:val="24"/>
          <w:szCs w:val="24"/>
          <w:lang w:val="en-GB"/>
        </w:rPr>
        <w:t xml:space="preserve">than in the other three countries </w:t>
      </w:r>
      <w:r w:rsidRPr="00C506B2">
        <w:rPr>
          <w:rFonts w:cs="Arial"/>
          <w:sz w:val="24"/>
          <w:szCs w:val="24"/>
          <w:lang w:val="en-GB"/>
        </w:rPr>
        <w:t>has been seen as social policy for the weaker groups in society. Housing policy has earlier been characterised as 'provisional' (</w:t>
      </w:r>
      <w:proofErr w:type="spellStart"/>
      <w:r w:rsidRPr="00C506B2">
        <w:rPr>
          <w:rFonts w:cs="Arial"/>
          <w:sz w:val="24"/>
          <w:szCs w:val="24"/>
          <w:lang w:val="en-GB"/>
        </w:rPr>
        <w:t>Niva</w:t>
      </w:r>
      <w:proofErr w:type="spellEnd"/>
      <w:r w:rsidRPr="00C506B2">
        <w:rPr>
          <w:rFonts w:cs="Arial"/>
          <w:sz w:val="24"/>
          <w:szCs w:val="24"/>
          <w:lang w:val="en-GB"/>
        </w:rPr>
        <w:t xml:space="preserve"> 1989) or as 'non-policy' (</w:t>
      </w:r>
      <w:proofErr w:type="spellStart"/>
      <w:r w:rsidRPr="00C506B2">
        <w:rPr>
          <w:rFonts w:cs="Arial"/>
          <w:sz w:val="24"/>
          <w:szCs w:val="24"/>
          <w:lang w:val="en-GB"/>
        </w:rPr>
        <w:t>Juntto</w:t>
      </w:r>
      <w:proofErr w:type="spellEnd"/>
      <w:r w:rsidRPr="00C506B2">
        <w:rPr>
          <w:rFonts w:cs="Arial"/>
          <w:sz w:val="24"/>
          <w:szCs w:val="24"/>
          <w:lang w:val="en-GB"/>
        </w:rPr>
        <w:t xml:space="preserve"> 1992). What is meant is that housing policy to a greater extent has been a kind of ad-hoc policy adjusted to economic fluctuations and actual problems appearing on the housing market.</w:t>
      </w:r>
    </w:p>
    <w:p w:rsidR="00C81166" w:rsidRPr="00C506B2" w:rsidRDefault="00C81166" w:rsidP="00610DA3">
      <w:pPr>
        <w:rPr>
          <w:rFonts w:cs="Arial"/>
          <w:sz w:val="24"/>
          <w:szCs w:val="24"/>
          <w:lang w:val="en-GB"/>
        </w:rPr>
      </w:pPr>
    </w:p>
    <w:p w:rsidR="00C81166" w:rsidRPr="00F75935" w:rsidRDefault="00C81166" w:rsidP="001F4083">
      <w:pPr>
        <w:rPr>
          <w:rFonts w:cs="Arial"/>
          <w:sz w:val="24"/>
          <w:szCs w:val="24"/>
          <w:lang w:val="en-GB"/>
        </w:rPr>
      </w:pPr>
      <w:r>
        <w:rPr>
          <w:rFonts w:cs="Arial"/>
          <w:sz w:val="24"/>
          <w:szCs w:val="24"/>
          <w:lang w:val="en-GB"/>
        </w:rPr>
        <w:t>One of the reasons for the differences in the composition of the h</w:t>
      </w:r>
      <w:r w:rsidR="0018676A">
        <w:rPr>
          <w:rFonts w:cs="Arial"/>
          <w:sz w:val="24"/>
          <w:szCs w:val="24"/>
          <w:lang w:val="en-GB"/>
        </w:rPr>
        <w:t>ousing markets, shown in Table 2</w:t>
      </w:r>
      <w:r>
        <w:rPr>
          <w:rFonts w:cs="Arial"/>
          <w:sz w:val="24"/>
          <w:szCs w:val="24"/>
          <w:lang w:val="en-GB"/>
        </w:rPr>
        <w:t xml:space="preserve">, is that political objectives concerning the desirability of different kinds of housing tenures has differed.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Sweden</w:t>
            </w:r>
          </w:smartTag>
        </w:smartTag>
      </w:smartTag>
      <w:r>
        <w:rPr>
          <w:rFonts w:cs="Arial"/>
          <w:sz w:val="24"/>
          <w:szCs w:val="24"/>
          <w:lang w:val="en-GB"/>
        </w:rPr>
        <w:t xml:space="preserve"> is the only country </w:t>
      </w:r>
      <w:r w:rsidR="007237D2">
        <w:rPr>
          <w:rFonts w:cs="Arial"/>
          <w:sz w:val="24"/>
          <w:szCs w:val="24"/>
          <w:lang w:val="en-GB"/>
        </w:rPr>
        <w:t>that</w:t>
      </w:r>
      <w:r>
        <w:rPr>
          <w:rFonts w:cs="Arial"/>
          <w:sz w:val="24"/>
          <w:szCs w:val="24"/>
          <w:lang w:val="en-GB"/>
        </w:rPr>
        <w:t xml:space="preserve"> has had an explicit objective to </w:t>
      </w:r>
      <w:r w:rsidRPr="00F75935">
        <w:rPr>
          <w:rFonts w:cs="Arial"/>
          <w:sz w:val="24"/>
          <w:szCs w:val="24"/>
          <w:lang w:val="en-GB"/>
        </w:rPr>
        <w:t>give equal status</w:t>
      </w:r>
      <w:r>
        <w:rPr>
          <w:rFonts w:cs="Arial"/>
          <w:sz w:val="24"/>
          <w:szCs w:val="24"/>
          <w:lang w:val="en-GB"/>
        </w:rPr>
        <w:t xml:space="preserve"> to all tenures. In Norway</w:t>
      </w:r>
      <w:r w:rsidR="007237D2">
        <w:rPr>
          <w:rFonts w:cs="Arial"/>
          <w:sz w:val="24"/>
          <w:szCs w:val="24"/>
          <w:lang w:val="en-GB"/>
        </w:rPr>
        <w:t>,</w:t>
      </w:r>
      <w:r>
        <w:rPr>
          <w:rFonts w:cs="Arial"/>
          <w:sz w:val="24"/>
          <w:szCs w:val="24"/>
          <w:lang w:val="en-GB"/>
        </w:rPr>
        <w:t xml:space="preserve"> it has been an explicit political notion that homeownership is </w:t>
      </w:r>
      <w:r w:rsidRPr="00610DA3">
        <w:rPr>
          <w:rFonts w:cs="Arial"/>
          <w:sz w:val="24"/>
          <w:szCs w:val="24"/>
          <w:lang w:val="en-GB"/>
        </w:rPr>
        <w:t>the most desirable kind of housing</w:t>
      </w:r>
      <w:r>
        <w:rPr>
          <w:rFonts w:cs="Arial"/>
          <w:sz w:val="24"/>
          <w:szCs w:val="24"/>
          <w:lang w:val="en-GB"/>
        </w:rPr>
        <w:t xml:space="preserve"> for all.</w:t>
      </w:r>
      <w:r w:rsidR="006348D0">
        <w:rPr>
          <w:rFonts w:cs="Arial"/>
          <w:sz w:val="24"/>
          <w:szCs w:val="24"/>
          <w:lang w:val="en-GB"/>
        </w:rPr>
        <w:t xml:space="preserve"> Rental</w:t>
      </w:r>
      <w:r>
        <w:rPr>
          <w:rFonts w:cs="Arial"/>
          <w:sz w:val="24"/>
          <w:szCs w:val="24"/>
          <w:lang w:val="en-GB"/>
        </w:rPr>
        <w:t xml:space="preserve"> housing is regarded as a temporary stage in the housing career.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Finland</w:t>
            </w:r>
          </w:smartTag>
        </w:smartTag>
      </w:smartTag>
      <w:r>
        <w:rPr>
          <w:rFonts w:cs="Arial"/>
          <w:sz w:val="24"/>
          <w:szCs w:val="24"/>
          <w:lang w:val="en-GB"/>
        </w:rPr>
        <w:t xml:space="preserve"> has not formulated political objectives concerning tenures, but in pra</w:t>
      </w:r>
      <w:r w:rsidR="005E3A52">
        <w:rPr>
          <w:rFonts w:cs="Arial"/>
          <w:sz w:val="24"/>
          <w:szCs w:val="24"/>
          <w:lang w:val="en-GB"/>
        </w:rPr>
        <w:t>c</w:t>
      </w:r>
      <w:r w:rsidR="007237D2">
        <w:rPr>
          <w:rFonts w:cs="Arial"/>
          <w:sz w:val="24"/>
          <w:szCs w:val="24"/>
          <w:lang w:val="en-GB"/>
        </w:rPr>
        <w:t>tice</w:t>
      </w:r>
      <w:r>
        <w:rPr>
          <w:rFonts w:cs="Arial"/>
          <w:sz w:val="24"/>
          <w:szCs w:val="24"/>
          <w:lang w:val="en-GB"/>
        </w:rPr>
        <w:t xml:space="preserve"> their policies have been most favourable for owner-occupation.</w:t>
      </w:r>
    </w:p>
    <w:p w:rsidR="00C81166" w:rsidRDefault="00C81166" w:rsidP="00610DA3">
      <w:pPr>
        <w:rPr>
          <w:rFonts w:cs="Arial"/>
          <w:sz w:val="24"/>
          <w:szCs w:val="24"/>
          <w:lang w:val="en-GB"/>
        </w:rPr>
      </w:pPr>
    </w:p>
    <w:p w:rsidR="00C81166" w:rsidRDefault="0018676A" w:rsidP="00610DA3">
      <w:pPr>
        <w:rPr>
          <w:rFonts w:cs="Arial"/>
          <w:sz w:val="24"/>
          <w:szCs w:val="24"/>
          <w:lang w:val="en-GB"/>
        </w:rPr>
      </w:pPr>
      <w:r>
        <w:rPr>
          <w:rFonts w:cs="Arial"/>
          <w:sz w:val="24"/>
          <w:szCs w:val="24"/>
          <w:lang w:val="en-GB"/>
        </w:rPr>
        <w:t>(Table 2</w:t>
      </w:r>
      <w:r w:rsidR="00C81166">
        <w:rPr>
          <w:rFonts w:cs="Arial"/>
          <w:sz w:val="24"/>
          <w:szCs w:val="24"/>
          <w:lang w:val="en-GB"/>
        </w:rPr>
        <w:t>)</w:t>
      </w:r>
    </w:p>
    <w:p w:rsidR="00C81166" w:rsidRPr="00C506B2" w:rsidRDefault="00C81166" w:rsidP="00610DA3">
      <w:pPr>
        <w:rPr>
          <w:rFonts w:cs="Arial"/>
          <w:sz w:val="24"/>
          <w:szCs w:val="24"/>
          <w:lang w:val="en-GB"/>
        </w:rPr>
      </w:pPr>
    </w:p>
    <w:p w:rsidR="00C81166" w:rsidRPr="00C506B2" w:rsidRDefault="00C81166" w:rsidP="00610DA3">
      <w:pPr>
        <w:rPr>
          <w:rFonts w:cs="Arial"/>
          <w:sz w:val="24"/>
          <w:szCs w:val="24"/>
          <w:lang w:val="en-GB"/>
        </w:rPr>
      </w:pPr>
      <w:r>
        <w:rPr>
          <w:rFonts w:cs="Arial"/>
          <w:sz w:val="24"/>
          <w:szCs w:val="24"/>
          <w:lang w:val="en-GB"/>
        </w:rPr>
        <w:lastRenderedPageBreak/>
        <w:t>One of the key elements in housing policy, the provision of a social/public housing sector, has been</w:t>
      </w:r>
      <w:r w:rsidR="00DC683F">
        <w:rPr>
          <w:rFonts w:cs="Arial"/>
          <w:sz w:val="24"/>
          <w:szCs w:val="24"/>
          <w:lang w:val="en-GB"/>
        </w:rPr>
        <w:t xml:space="preserve"> carried out</w:t>
      </w:r>
      <w:r>
        <w:rPr>
          <w:rFonts w:cs="Arial"/>
          <w:sz w:val="24"/>
          <w:szCs w:val="24"/>
          <w:lang w:val="en-GB"/>
        </w:rPr>
        <w:t xml:space="preserve"> somewhat different</w:t>
      </w:r>
      <w:r w:rsidR="0018676A">
        <w:rPr>
          <w:rFonts w:cs="Arial"/>
          <w:sz w:val="24"/>
          <w:szCs w:val="24"/>
          <w:lang w:val="en-GB"/>
        </w:rPr>
        <w:t>ly in the countries (see Table 2</w:t>
      </w:r>
      <w:r>
        <w:rPr>
          <w:rFonts w:cs="Arial"/>
          <w:sz w:val="24"/>
          <w:szCs w:val="24"/>
          <w:lang w:val="en-GB"/>
        </w:rPr>
        <w:t xml:space="preserve">). </w:t>
      </w:r>
      <w:r w:rsidR="005E3A52">
        <w:rPr>
          <w:rFonts w:cs="Arial"/>
          <w:sz w:val="24"/>
          <w:szCs w:val="24"/>
          <w:lang w:val="en-GB"/>
        </w:rPr>
        <w:t xml:space="preserve">Earlier,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Sweden</w:t>
            </w:r>
          </w:smartTag>
        </w:smartTag>
      </w:smartTag>
      <w:r>
        <w:rPr>
          <w:rFonts w:cs="Arial"/>
          <w:sz w:val="24"/>
          <w:szCs w:val="24"/>
          <w:lang w:val="en-GB"/>
        </w:rPr>
        <w:t xml:space="preserve"> had the largest social/public housing sector, but conversion into cooperatives has reduced the sector to 14 per cent of the housing stock.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has about the same amount of social/public housing, while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Denmark</w:t>
            </w:r>
          </w:smartTag>
        </w:smartTag>
      </w:smartTag>
      <w:r>
        <w:rPr>
          <w:rFonts w:cs="Arial"/>
          <w:sz w:val="24"/>
          <w:szCs w:val="24"/>
          <w:lang w:val="en-GB"/>
        </w:rPr>
        <w:t xml:space="preserve"> has the largest sector (21 per cent). In Norway</w:t>
      </w:r>
      <w:r w:rsidR="005E3A52">
        <w:rPr>
          <w:rFonts w:cs="Arial"/>
          <w:sz w:val="24"/>
          <w:szCs w:val="24"/>
          <w:lang w:val="en-GB"/>
        </w:rPr>
        <w:t>,</w:t>
      </w:r>
      <w:r>
        <w:rPr>
          <w:rFonts w:cs="Arial"/>
          <w:sz w:val="24"/>
          <w:szCs w:val="24"/>
          <w:lang w:val="en-GB"/>
        </w:rPr>
        <w:t xml:space="preserve"> the social/public housing sector is very small, only about five per cent of the stock.</w:t>
      </w:r>
    </w:p>
    <w:p w:rsidR="00C81166" w:rsidRDefault="00C81166" w:rsidP="00610DA3">
      <w:pPr>
        <w:rPr>
          <w:rFonts w:cs="Arial"/>
          <w:sz w:val="24"/>
          <w:szCs w:val="24"/>
          <w:lang w:val="en-GB"/>
        </w:rPr>
      </w:pPr>
    </w:p>
    <w:p w:rsidR="00C81166" w:rsidRPr="00CD1CBB" w:rsidRDefault="00C81166" w:rsidP="00610DA3">
      <w:pPr>
        <w:rPr>
          <w:sz w:val="24"/>
          <w:lang w:val="sv-SE"/>
        </w:rPr>
      </w:pPr>
      <w:r>
        <w:rPr>
          <w:rFonts w:cs="Arial"/>
          <w:sz w:val="24"/>
          <w:szCs w:val="24"/>
          <w:lang w:val="en-GB"/>
        </w:rPr>
        <w:t>Instead of social/public housing</w:t>
      </w:r>
      <w:r w:rsidR="00681BD7">
        <w:rPr>
          <w:rFonts w:cs="Arial"/>
          <w:sz w:val="24"/>
          <w:szCs w:val="24"/>
          <w:lang w:val="en-GB"/>
        </w:rPr>
        <w:t>,</w:t>
      </w:r>
      <w:r>
        <w:rPr>
          <w:rFonts w:cs="Arial"/>
          <w:sz w:val="24"/>
          <w:szCs w:val="24"/>
          <w:lang w:val="en-GB"/>
        </w:rPr>
        <w:t xml:space="preserve"> Norway has historically </w:t>
      </w:r>
      <w:r w:rsidR="005151D7">
        <w:rPr>
          <w:rFonts w:cs="Arial"/>
          <w:sz w:val="24"/>
          <w:szCs w:val="24"/>
          <w:lang w:val="en-GB"/>
        </w:rPr>
        <w:t xml:space="preserve">focused </w:t>
      </w:r>
      <w:r w:rsidR="00DC683F">
        <w:rPr>
          <w:rFonts w:cs="Arial"/>
          <w:sz w:val="24"/>
          <w:szCs w:val="24"/>
          <w:lang w:val="en-GB"/>
        </w:rPr>
        <w:t xml:space="preserve">on </w:t>
      </w:r>
      <w:r>
        <w:rPr>
          <w:rFonts w:cs="Arial"/>
          <w:sz w:val="24"/>
          <w:szCs w:val="24"/>
          <w:lang w:val="en-GB"/>
        </w:rPr>
        <w:t>cooperative housing as housing for middle and low</w:t>
      </w:r>
      <w:r w:rsidR="005E3A52">
        <w:rPr>
          <w:rFonts w:cs="Arial"/>
          <w:sz w:val="24"/>
          <w:szCs w:val="24"/>
          <w:lang w:val="en-GB"/>
        </w:rPr>
        <w:t>-</w:t>
      </w:r>
      <w:r>
        <w:rPr>
          <w:rFonts w:cs="Arial"/>
          <w:sz w:val="24"/>
          <w:szCs w:val="24"/>
          <w:lang w:val="en-GB"/>
        </w:rPr>
        <w:t xml:space="preserve">income groups. Today prices for cooperative housing in the metropolitan region have increased to the same level as home-ownership. The main socio-political means are to supply low-income households with subsidised state loans and housing allowances </w:t>
      </w:r>
      <w:r w:rsidR="00462F01">
        <w:rPr>
          <w:rFonts w:cs="Arial"/>
          <w:sz w:val="24"/>
          <w:szCs w:val="24"/>
          <w:lang w:val="en-GB"/>
        </w:rPr>
        <w:t xml:space="preserve">in order </w:t>
      </w:r>
      <w:r>
        <w:rPr>
          <w:rFonts w:cs="Arial"/>
          <w:sz w:val="24"/>
          <w:szCs w:val="24"/>
          <w:lang w:val="en-GB"/>
        </w:rPr>
        <w:t xml:space="preserve">to </w:t>
      </w:r>
      <w:r w:rsidRPr="005151D7">
        <w:rPr>
          <w:rFonts w:cs="Arial"/>
          <w:sz w:val="24"/>
          <w:szCs w:val="24"/>
          <w:lang w:val="en-GB"/>
        </w:rPr>
        <w:t xml:space="preserve">be able </w:t>
      </w:r>
      <w:r>
        <w:rPr>
          <w:rFonts w:cs="Arial"/>
          <w:sz w:val="24"/>
          <w:szCs w:val="24"/>
          <w:lang w:val="en-GB"/>
        </w:rPr>
        <w:t xml:space="preserve">to buy and keep a dwelling, regardless of </w:t>
      </w:r>
      <w:r w:rsidR="00681BD7">
        <w:rPr>
          <w:rFonts w:cs="Arial"/>
          <w:sz w:val="24"/>
          <w:szCs w:val="24"/>
          <w:lang w:val="en-GB"/>
        </w:rPr>
        <w:t xml:space="preserve">the </w:t>
      </w:r>
      <w:r>
        <w:rPr>
          <w:rFonts w:cs="Arial"/>
          <w:sz w:val="24"/>
          <w:szCs w:val="24"/>
          <w:lang w:val="en-GB"/>
        </w:rPr>
        <w:t>kind of ownership</w:t>
      </w:r>
      <w:r>
        <w:rPr>
          <w:rFonts w:cs="Arial"/>
          <w:sz w:val="24"/>
          <w:szCs w:val="24"/>
          <w:lang w:val="en-US"/>
        </w:rPr>
        <w:t>.</w:t>
      </w:r>
      <w:r>
        <w:rPr>
          <w:sz w:val="24"/>
          <w:lang w:val="en-GB"/>
        </w:rPr>
        <w:t xml:space="preserve"> The cooperative</w:t>
      </w:r>
      <w:r w:rsidRPr="00A23F5E">
        <w:rPr>
          <w:sz w:val="24"/>
          <w:lang w:val="en-GB"/>
        </w:rPr>
        <w:t xml:space="preserve"> sector is of very </w:t>
      </w:r>
      <w:r>
        <w:rPr>
          <w:rFonts w:cs="Arial"/>
          <w:sz w:val="24"/>
          <w:szCs w:val="24"/>
          <w:lang w:val="en-GB"/>
        </w:rPr>
        <w:t xml:space="preserve">little importance in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and is also only a small sector in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Denmark</w:t>
            </w:r>
          </w:smartTag>
        </w:smartTag>
      </w:smartTag>
      <w:r>
        <w:rPr>
          <w:rFonts w:cs="Arial"/>
          <w:sz w:val="24"/>
          <w:szCs w:val="24"/>
          <w:lang w:val="en-GB"/>
        </w:rPr>
        <w:t xml:space="preserve">.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Sweden</w:t>
            </w:r>
          </w:smartTag>
        </w:smartTag>
      </w:smartTag>
      <w:r>
        <w:rPr>
          <w:rFonts w:cs="Arial"/>
          <w:sz w:val="24"/>
          <w:szCs w:val="24"/>
          <w:lang w:val="en-GB"/>
        </w:rPr>
        <w:t xml:space="preserve"> has the largest cooperative sector. It can to some extent be seen as </w:t>
      </w:r>
      <w:r w:rsidR="00681BD7">
        <w:rPr>
          <w:rFonts w:cs="Arial"/>
          <w:sz w:val="24"/>
          <w:szCs w:val="24"/>
          <w:lang w:val="en-GB"/>
        </w:rPr>
        <w:t xml:space="preserve">a </w:t>
      </w:r>
      <w:r w:rsidRPr="00CC6749">
        <w:rPr>
          <w:rFonts w:cs="Arial"/>
          <w:sz w:val="24"/>
          <w:szCs w:val="24"/>
          <w:lang w:val="en-GB"/>
        </w:rPr>
        <w:t>substitution</w:t>
      </w:r>
      <w:r>
        <w:rPr>
          <w:rFonts w:cs="Arial"/>
          <w:sz w:val="24"/>
          <w:szCs w:val="24"/>
          <w:lang w:val="en-GB"/>
        </w:rPr>
        <w:t xml:space="preserve"> for owner-occupied flats, which to a limited extent exist in Sweden, and the average incomes in the secto</w:t>
      </w:r>
      <w:r w:rsidR="0018676A">
        <w:rPr>
          <w:rFonts w:cs="Arial"/>
          <w:sz w:val="24"/>
          <w:szCs w:val="24"/>
          <w:lang w:val="en-GB"/>
        </w:rPr>
        <w:t>r are above average (see Table 5</w:t>
      </w:r>
      <w:r>
        <w:rPr>
          <w:rFonts w:cs="Arial"/>
          <w:sz w:val="24"/>
          <w:szCs w:val="24"/>
          <w:lang w:val="en-GB"/>
        </w:rPr>
        <w:t xml:space="preserve">).). The history of cooperatives in </w:t>
      </w:r>
      <w:smartTag w:uri="urn:schemas-microsoft-com:office:smarttags" w:element="City">
        <w:smartTag w:uri="urn:schemas-microsoft-com:office:smarttags" w:element="country-region">
          <w:r>
            <w:rPr>
              <w:rFonts w:cs="Arial"/>
              <w:sz w:val="24"/>
              <w:szCs w:val="24"/>
              <w:lang w:val="en-GB"/>
            </w:rPr>
            <w:t>Norway</w:t>
          </w:r>
        </w:smartTag>
      </w:smartTag>
      <w:r>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Sweden</w:t>
            </w:r>
          </w:smartTag>
        </w:smartTag>
      </w:smartTag>
      <w:r>
        <w:rPr>
          <w:rFonts w:cs="Arial"/>
          <w:sz w:val="24"/>
          <w:szCs w:val="24"/>
          <w:lang w:val="en-GB"/>
        </w:rPr>
        <w:t xml:space="preserve"> is somewhat similar and in both countries </w:t>
      </w:r>
      <w:r w:rsidR="00462F01">
        <w:rPr>
          <w:rFonts w:cs="Arial"/>
          <w:sz w:val="24"/>
          <w:szCs w:val="24"/>
          <w:lang w:val="en-GB"/>
        </w:rPr>
        <w:t xml:space="preserve">the sector is </w:t>
      </w:r>
      <w:r>
        <w:rPr>
          <w:rFonts w:cs="Arial"/>
          <w:sz w:val="24"/>
          <w:szCs w:val="24"/>
          <w:lang w:val="en-GB"/>
        </w:rPr>
        <w:t xml:space="preserve">dominated by </w:t>
      </w:r>
      <w:r w:rsidR="006348D0">
        <w:rPr>
          <w:rFonts w:cs="Arial"/>
          <w:sz w:val="24"/>
          <w:szCs w:val="24"/>
          <w:lang w:val="en-GB"/>
        </w:rPr>
        <w:t>large</w:t>
      </w:r>
      <w:r>
        <w:rPr>
          <w:rFonts w:cs="Arial"/>
          <w:sz w:val="24"/>
          <w:szCs w:val="24"/>
          <w:lang w:val="en-GB"/>
        </w:rPr>
        <w:t xml:space="preserve"> housing associations. </w:t>
      </w:r>
      <w:r w:rsidR="00517819">
        <w:rPr>
          <w:rFonts w:cs="Arial"/>
          <w:sz w:val="24"/>
          <w:szCs w:val="24"/>
          <w:lang w:val="en-GB"/>
        </w:rPr>
        <w:t xml:space="preserve">Cooperatives in Denmark are quite different. They have mostly been converted from private renting and they have been subject to a strict price control, which </w:t>
      </w:r>
      <w:r w:rsidR="00E2279D">
        <w:rPr>
          <w:rFonts w:cs="Arial"/>
          <w:sz w:val="24"/>
          <w:szCs w:val="24"/>
          <w:lang w:val="en-GB"/>
        </w:rPr>
        <w:t xml:space="preserve">has </w:t>
      </w:r>
      <w:r w:rsidR="00517819">
        <w:rPr>
          <w:rFonts w:cs="Arial"/>
          <w:sz w:val="24"/>
          <w:szCs w:val="24"/>
          <w:lang w:val="en-GB"/>
        </w:rPr>
        <w:t xml:space="preserve">to some extent been </w:t>
      </w:r>
      <w:r w:rsidR="00517819" w:rsidRPr="00517819">
        <w:rPr>
          <w:rFonts w:cs="Arial"/>
          <w:sz w:val="24"/>
          <w:szCs w:val="24"/>
          <w:lang w:val="en-GB"/>
        </w:rPr>
        <w:t>lighten</w:t>
      </w:r>
      <w:r w:rsidR="00517819">
        <w:rPr>
          <w:rFonts w:cs="Arial"/>
          <w:sz w:val="24"/>
          <w:szCs w:val="24"/>
          <w:lang w:val="en-GB"/>
        </w:rPr>
        <w:t>ed in recent years.</w:t>
      </w:r>
    </w:p>
    <w:p w:rsidR="00C81166" w:rsidRDefault="00C81166" w:rsidP="00A30137">
      <w:pPr>
        <w:rPr>
          <w:rFonts w:cs="Arial"/>
          <w:sz w:val="24"/>
          <w:szCs w:val="24"/>
          <w:lang w:val="en-GB"/>
        </w:rPr>
      </w:pPr>
    </w:p>
    <w:p w:rsidR="00C81166" w:rsidRDefault="005151D7" w:rsidP="00A30137">
      <w:pPr>
        <w:rPr>
          <w:rFonts w:cs="Arial"/>
          <w:sz w:val="24"/>
          <w:szCs w:val="24"/>
          <w:lang w:val="en-GB"/>
        </w:rPr>
      </w:pPr>
      <w:r>
        <w:rPr>
          <w:rFonts w:cs="Arial"/>
          <w:sz w:val="24"/>
          <w:szCs w:val="24"/>
          <w:lang w:val="en-GB"/>
        </w:rPr>
        <w:t>O</w:t>
      </w:r>
      <w:r w:rsidR="00E2279D">
        <w:rPr>
          <w:rFonts w:cs="Arial"/>
          <w:sz w:val="24"/>
          <w:szCs w:val="24"/>
          <w:lang w:val="en-GB"/>
        </w:rPr>
        <w:t>verall</w:t>
      </w:r>
      <w:proofErr w:type="gramStart"/>
      <w:r w:rsidR="00DC683F">
        <w:rPr>
          <w:rFonts w:cs="Arial"/>
          <w:sz w:val="24"/>
          <w:szCs w:val="24"/>
          <w:lang w:val="en-GB"/>
        </w:rPr>
        <w:t>,</w:t>
      </w:r>
      <w:r>
        <w:rPr>
          <w:rFonts w:cs="Arial"/>
          <w:sz w:val="24"/>
          <w:szCs w:val="24"/>
          <w:lang w:val="en-GB"/>
        </w:rPr>
        <w:t xml:space="preserve"> </w:t>
      </w:r>
      <w:r w:rsidR="00C81166">
        <w:rPr>
          <w:rFonts w:cs="Arial"/>
          <w:sz w:val="24"/>
          <w:szCs w:val="24"/>
          <w:lang w:val="en-GB"/>
        </w:rPr>
        <w:t xml:space="preserve"> the</w:t>
      </w:r>
      <w:proofErr w:type="gramEnd"/>
      <w:r w:rsidR="00C81166">
        <w:rPr>
          <w:rFonts w:cs="Arial"/>
          <w:sz w:val="24"/>
          <w:szCs w:val="24"/>
          <w:lang w:val="en-GB"/>
        </w:rPr>
        <w:t xml:space="preserve"> rental sector is largest in </w:t>
      </w:r>
      <w:smartTag w:uri="urn:schemas-microsoft-com:office:smarttags" w:element="City">
        <w:smartTag w:uri="urn:schemas-microsoft-com:office:smarttags" w:element="country-region">
          <w:r w:rsidR="00C81166">
            <w:rPr>
              <w:rFonts w:cs="Arial"/>
              <w:sz w:val="24"/>
              <w:szCs w:val="24"/>
              <w:lang w:val="en-GB"/>
            </w:rPr>
            <w:t>Denmark</w:t>
          </w:r>
        </w:smartTag>
      </w:smartTag>
      <w:r w:rsidR="00C81166">
        <w:rPr>
          <w:rFonts w:cs="Arial"/>
          <w:sz w:val="24"/>
          <w:szCs w:val="24"/>
          <w:lang w:val="en-GB"/>
        </w:rPr>
        <w:t xml:space="preserve"> with about 40 per cent followed by </w:t>
      </w:r>
      <w:smartTag w:uri="urn:schemas-microsoft-com:office:smarttags" w:element="City">
        <w:smartTag w:uri="urn:schemas-microsoft-com:office:smarttags" w:element="country-region">
          <w:r w:rsidR="00C81166">
            <w:rPr>
              <w:rFonts w:cs="Arial"/>
              <w:sz w:val="24"/>
              <w:szCs w:val="24"/>
              <w:lang w:val="en-GB"/>
            </w:rPr>
            <w:t>Sweden</w:t>
          </w:r>
        </w:smartTag>
      </w:smartTag>
      <w:r w:rsidR="00C81166">
        <w:rPr>
          <w:rFonts w:cs="Arial"/>
          <w:sz w:val="24"/>
          <w:szCs w:val="24"/>
          <w:lang w:val="en-GB"/>
        </w:rPr>
        <w:t xml:space="preserve"> with 30 per cent, </w:t>
      </w:r>
      <w:smartTag w:uri="urn:schemas-microsoft-com:office:smarttags" w:element="City">
        <w:smartTag w:uri="urn:schemas-microsoft-com:office:smarttags" w:element="country-region">
          <w:r w:rsidR="00C81166">
            <w:rPr>
              <w:rFonts w:cs="Arial"/>
              <w:sz w:val="24"/>
              <w:szCs w:val="24"/>
              <w:lang w:val="en-GB"/>
            </w:rPr>
            <w:t>Finland</w:t>
          </w:r>
        </w:smartTag>
      </w:smartTag>
      <w:r w:rsidR="00C81166">
        <w:rPr>
          <w:rFonts w:cs="Arial"/>
          <w:sz w:val="24"/>
          <w:szCs w:val="24"/>
          <w:lang w:val="en-GB"/>
        </w:rPr>
        <w:t xml:space="preserve"> with 30 per cent and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Norway</w:t>
            </w:r>
          </w:smartTag>
        </w:smartTag>
      </w:smartTag>
      <w:r w:rsidR="00C81166">
        <w:rPr>
          <w:rFonts w:cs="Arial"/>
          <w:sz w:val="24"/>
          <w:szCs w:val="24"/>
          <w:lang w:val="en-GB"/>
        </w:rPr>
        <w:t xml:space="preserve"> with 23 per cent</w:t>
      </w:r>
      <w:r w:rsidR="00462F01">
        <w:rPr>
          <w:rFonts w:cs="Arial"/>
          <w:sz w:val="24"/>
          <w:szCs w:val="24"/>
          <w:lang w:val="en-GB"/>
        </w:rPr>
        <w:t xml:space="preserve"> respectively</w:t>
      </w:r>
      <w:r w:rsidR="00C81166">
        <w:rPr>
          <w:rFonts w:cs="Arial"/>
          <w:sz w:val="24"/>
          <w:szCs w:val="24"/>
          <w:lang w:val="en-GB"/>
        </w:rPr>
        <w:t>.</w:t>
      </w:r>
    </w:p>
    <w:p w:rsidR="00C81166" w:rsidRDefault="00C81166" w:rsidP="00610DA3">
      <w:pPr>
        <w:rPr>
          <w:rFonts w:cs="Arial"/>
          <w:sz w:val="24"/>
          <w:szCs w:val="24"/>
          <w:lang w:val="en-GB"/>
        </w:rPr>
      </w:pPr>
    </w:p>
    <w:p w:rsidR="00C81166" w:rsidRPr="003C7A07" w:rsidRDefault="00E2279D" w:rsidP="00DB5A56">
      <w:pPr>
        <w:rPr>
          <w:rFonts w:cs="Arial"/>
          <w:sz w:val="24"/>
          <w:szCs w:val="24"/>
          <w:lang w:val="en-GB"/>
        </w:rPr>
      </w:pPr>
      <w:r>
        <w:rPr>
          <w:rFonts w:cs="Arial"/>
          <w:sz w:val="24"/>
          <w:szCs w:val="24"/>
          <w:lang w:val="en-GB"/>
        </w:rPr>
        <w:t>In all the countries p</w:t>
      </w:r>
      <w:r w:rsidR="00C81166">
        <w:rPr>
          <w:rFonts w:cs="Arial"/>
          <w:sz w:val="24"/>
          <w:szCs w:val="24"/>
          <w:lang w:val="en-GB"/>
        </w:rPr>
        <w:t xml:space="preserve">rivate renting </w:t>
      </w:r>
      <w:r w:rsidR="00DC683F">
        <w:rPr>
          <w:rFonts w:cs="Arial"/>
          <w:sz w:val="24"/>
          <w:szCs w:val="24"/>
          <w:lang w:val="en-GB"/>
        </w:rPr>
        <w:t>is a</w:t>
      </w:r>
      <w:r w:rsidR="00495D7A">
        <w:rPr>
          <w:rFonts w:cs="Arial"/>
          <w:sz w:val="24"/>
          <w:szCs w:val="24"/>
          <w:lang w:val="en-GB"/>
        </w:rPr>
        <w:t xml:space="preserve"> </w:t>
      </w:r>
      <w:r w:rsidR="00C81166" w:rsidRPr="00661B7C">
        <w:rPr>
          <w:rFonts w:cs="Arial"/>
          <w:sz w:val="24"/>
          <w:szCs w:val="24"/>
          <w:lang w:val="en-GB"/>
        </w:rPr>
        <w:t>reminiscence</w:t>
      </w:r>
      <w:r w:rsidR="00C81166">
        <w:rPr>
          <w:rFonts w:cs="Arial"/>
          <w:sz w:val="24"/>
          <w:szCs w:val="24"/>
          <w:lang w:val="en-GB"/>
        </w:rPr>
        <w:t xml:space="preserve"> </w:t>
      </w:r>
      <w:r>
        <w:rPr>
          <w:rFonts w:cs="Arial"/>
          <w:sz w:val="24"/>
          <w:szCs w:val="24"/>
          <w:lang w:val="en-GB"/>
        </w:rPr>
        <w:t>of</w:t>
      </w:r>
      <w:r w:rsidR="00C81166">
        <w:rPr>
          <w:rFonts w:cs="Arial"/>
          <w:sz w:val="24"/>
          <w:szCs w:val="24"/>
          <w:lang w:val="en-GB"/>
        </w:rPr>
        <w:t xml:space="preserve"> earlier times and has been declining over time in both absolute and relative size. In </w:t>
      </w:r>
      <w:smartTag w:uri="urn:schemas-microsoft-com:office:smarttags" w:element="City">
        <w:smartTag w:uri="urn:schemas-microsoft-com:office:smarttags" w:element="country-region">
          <w:r w:rsidR="00C81166">
            <w:rPr>
              <w:rFonts w:cs="Arial"/>
              <w:sz w:val="24"/>
              <w:szCs w:val="24"/>
              <w:lang w:val="en-GB"/>
            </w:rPr>
            <w:t>Denmark</w:t>
          </w:r>
        </w:smartTag>
      </w:smartTag>
      <w:r w:rsidR="00C81166">
        <w:rPr>
          <w:rFonts w:cs="Arial"/>
          <w:sz w:val="24"/>
          <w:szCs w:val="24"/>
          <w:lang w:val="en-GB"/>
        </w:rPr>
        <w:t xml:space="preserve"> and Norway</w:t>
      </w:r>
      <w:r>
        <w:rPr>
          <w:rFonts w:cs="Arial"/>
          <w:sz w:val="24"/>
          <w:szCs w:val="24"/>
          <w:lang w:val="en-GB"/>
        </w:rPr>
        <w:t>,</w:t>
      </w:r>
      <w:r w:rsidR="00C81166">
        <w:rPr>
          <w:rFonts w:cs="Arial"/>
          <w:sz w:val="24"/>
          <w:szCs w:val="24"/>
          <w:lang w:val="en-GB"/>
        </w:rPr>
        <w:t xml:space="preserve"> it is still about one fifth of the stock, while </w:t>
      </w:r>
      <w:smartTag w:uri="urn:schemas-microsoft-com:office:smarttags" w:element="City">
        <w:smartTag w:uri="urn:schemas-microsoft-com:office:smarttags" w:element="country-region">
          <w:r w:rsidR="00C81166">
            <w:rPr>
              <w:rFonts w:cs="Arial"/>
              <w:sz w:val="24"/>
              <w:szCs w:val="24"/>
              <w:lang w:val="en-GB"/>
            </w:rPr>
            <w:t>Sweden</w:t>
          </w:r>
        </w:smartTag>
      </w:smartTag>
      <w:r w:rsidR="00C81166">
        <w:rPr>
          <w:rFonts w:cs="Arial"/>
          <w:sz w:val="24"/>
          <w:szCs w:val="24"/>
          <w:lang w:val="en-GB"/>
        </w:rPr>
        <w:t xml:space="preserve"> has 15 per cent left and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Finland</w:t>
            </w:r>
          </w:smartTag>
        </w:smartTag>
      </w:smartTag>
      <w:r w:rsidR="00C81166">
        <w:rPr>
          <w:rFonts w:cs="Arial"/>
          <w:sz w:val="24"/>
          <w:szCs w:val="24"/>
          <w:lang w:val="en-GB"/>
        </w:rPr>
        <w:t xml:space="preserve"> 14 per cent. There are, however, marked differences between the countries concerning the conditions for private renting. </w:t>
      </w:r>
      <w:smartTag w:uri="urn:schemas-microsoft-com:office:smarttags" w:element="City">
        <w:smartTag w:uri="urn:schemas-microsoft-com:office:smarttags" w:element="country-region">
          <w:r w:rsidR="00C81166">
            <w:rPr>
              <w:rFonts w:cs="Arial"/>
              <w:sz w:val="24"/>
              <w:szCs w:val="24"/>
              <w:lang w:val="en-GB"/>
            </w:rPr>
            <w:t>Denmark</w:t>
          </w:r>
        </w:smartTag>
      </w:smartTag>
      <w:r w:rsidR="00C81166">
        <w:rPr>
          <w:rFonts w:cs="Arial"/>
          <w:sz w:val="24"/>
          <w:szCs w:val="24"/>
          <w:lang w:val="en-GB"/>
        </w:rPr>
        <w:t xml:space="preserve"> still has a strict rent control; </w:t>
      </w:r>
      <w:smartTag w:uri="urn:schemas-microsoft-com:office:smarttags" w:element="City">
        <w:smartTag w:uri="urn:schemas-microsoft-com:office:smarttags" w:element="country-region">
          <w:r w:rsidR="00C81166">
            <w:rPr>
              <w:rFonts w:cs="Arial"/>
              <w:sz w:val="24"/>
              <w:szCs w:val="24"/>
              <w:lang w:val="en-GB"/>
            </w:rPr>
            <w:t>Sweden</w:t>
          </w:r>
        </w:smartTag>
      </w:smartTag>
      <w:r w:rsidR="00C81166">
        <w:rPr>
          <w:rFonts w:cs="Arial"/>
          <w:sz w:val="24"/>
          <w:szCs w:val="24"/>
          <w:lang w:val="en-GB"/>
        </w:rPr>
        <w:t xml:space="preserve"> has a modest control</w:t>
      </w:r>
      <w:r w:rsidR="006348D0">
        <w:rPr>
          <w:rFonts w:cs="Arial"/>
          <w:sz w:val="24"/>
          <w:szCs w:val="24"/>
          <w:lang w:val="en-GB"/>
        </w:rPr>
        <w:t>,</w:t>
      </w:r>
      <w:r w:rsidR="00C81166">
        <w:rPr>
          <w:rFonts w:cs="Arial"/>
          <w:sz w:val="24"/>
          <w:szCs w:val="24"/>
          <w:lang w:val="en-GB"/>
        </w:rPr>
        <w:t xml:space="preserve"> while rents in </w:t>
      </w:r>
      <w:smartTag w:uri="urn:schemas-microsoft-com:office:smarttags" w:element="City">
        <w:smartTag w:uri="urn:schemas-microsoft-com:office:smarttags" w:element="country-region">
          <w:r w:rsidR="00C81166">
            <w:rPr>
              <w:rFonts w:cs="Arial"/>
              <w:sz w:val="24"/>
              <w:szCs w:val="24"/>
              <w:lang w:val="en-GB"/>
            </w:rPr>
            <w:t>Norway</w:t>
          </w:r>
        </w:smartTag>
      </w:smartTag>
      <w:r w:rsidR="00C81166">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Finland</w:t>
            </w:r>
          </w:smartTag>
        </w:smartTag>
      </w:smartTag>
      <w:r w:rsidR="00C81166">
        <w:rPr>
          <w:rFonts w:cs="Arial"/>
          <w:sz w:val="24"/>
          <w:szCs w:val="24"/>
          <w:lang w:val="en-GB"/>
        </w:rPr>
        <w:t xml:space="preserve"> are determined by the market. </w:t>
      </w:r>
      <w:r w:rsidR="00681BD7">
        <w:rPr>
          <w:rFonts w:cs="Arial"/>
          <w:sz w:val="24"/>
          <w:szCs w:val="24"/>
          <w:lang w:val="en-GB"/>
        </w:rPr>
        <w:t>I</w:t>
      </w:r>
      <w:r w:rsidR="00681BD7" w:rsidRPr="003C7A07">
        <w:rPr>
          <w:rFonts w:cs="Arial"/>
          <w:sz w:val="24"/>
          <w:szCs w:val="24"/>
          <w:lang w:val="en-GB"/>
        </w:rPr>
        <w:t>n Denmark and Sweden</w:t>
      </w:r>
      <w:r w:rsidR="008A6601">
        <w:rPr>
          <w:rFonts w:cs="Arial"/>
          <w:sz w:val="24"/>
          <w:szCs w:val="24"/>
          <w:lang w:val="en-GB"/>
        </w:rPr>
        <w:t>,</w:t>
      </w:r>
      <w:r w:rsidR="00681BD7">
        <w:rPr>
          <w:rFonts w:cs="Arial"/>
          <w:sz w:val="24"/>
          <w:szCs w:val="24"/>
          <w:lang w:val="en-GB"/>
        </w:rPr>
        <w:t xml:space="preserve"> r</w:t>
      </w:r>
      <w:r w:rsidR="00C81166" w:rsidRPr="003C7A07">
        <w:rPr>
          <w:rFonts w:cs="Arial"/>
          <w:sz w:val="24"/>
          <w:szCs w:val="24"/>
          <w:lang w:val="en-GB"/>
        </w:rPr>
        <w:t xml:space="preserve">ent regulation </w:t>
      </w:r>
      <w:r w:rsidR="00C81166">
        <w:rPr>
          <w:rFonts w:cs="Arial"/>
          <w:sz w:val="24"/>
          <w:szCs w:val="24"/>
          <w:lang w:val="en-GB"/>
        </w:rPr>
        <w:t>to some extent</w:t>
      </w:r>
      <w:r w:rsidR="00C81166" w:rsidRPr="003C7A07">
        <w:rPr>
          <w:rFonts w:cs="Arial"/>
          <w:sz w:val="24"/>
          <w:szCs w:val="24"/>
          <w:lang w:val="en-GB"/>
        </w:rPr>
        <w:t xml:space="preserve"> results in rents below market rents. This is especially the case in </w:t>
      </w:r>
      <w:smartTag w:uri="urn:schemas-microsoft-com:office:smarttags" w:element="City">
        <w:smartTag w:uri="urn:schemas-microsoft-com:office:smarttags" w:element="country-region">
          <w:smartTag w:uri="urn:schemas-microsoft-com:office:smarttags" w:element="place">
            <w:r w:rsidR="00C81166" w:rsidRPr="003C7A07">
              <w:rPr>
                <w:rFonts w:cs="Arial"/>
                <w:sz w:val="24"/>
                <w:szCs w:val="24"/>
                <w:lang w:val="en-GB"/>
              </w:rPr>
              <w:t>Denmark</w:t>
            </w:r>
          </w:smartTag>
        </w:smartTag>
      </w:smartTag>
      <w:r w:rsidR="00C81166" w:rsidRPr="003C7A07">
        <w:rPr>
          <w:rFonts w:cs="Arial"/>
          <w:sz w:val="24"/>
          <w:szCs w:val="24"/>
          <w:lang w:val="en-GB"/>
        </w:rPr>
        <w:t xml:space="preserve">, </w:t>
      </w:r>
      <w:r w:rsidR="00C81166">
        <w:rPr>
          <w:rFonts w:cs="Arial"/>
          <w:sz w:val="24"/>
          <w:szCs w:val="24"/>
          <w:lang w:val="en-GB"/>
        </w:rPr>
        <w:t>where</w:t>
      </w:r>
      <w:r w:rsidR="00C81166" w:rsidRPr="003C7A07">
        <w:rPr>
          <w:rFonts w:cs="Arial"/>
          <w:sz w:val="24"/>
          <w:szCs w:val="24"/>
          <w:lang w:val="en-GB"/>
        </w:rPr>
        <w:t xml:space="preserve"> rents are very differentiated with at the same time very low rents in part of the market and very high rents in others. </w:t>
      </w:r>
    </w:p>
    <w:p w:rsidR="00C81166" w:rsidRDefault="00C81166" w:rsidP="00610DA3">
      <w:pPr>
        <w:rPr>
          <w:rFonts w:cs="Arial"/>
          <w:sz w:val="24"/>
          <w:szCs w:val="24"/>
          <w:lang w:val="en-GB"/>
        </w:rPr>
      </w:pPr>
    </w:p>
    <w:p w:rsidR="00C81166" w:rsidRDefault="00C81166" w:rsidP="00610DA3">
      <w:pPr>
        <w:rPr>
          <w:rFonts w:cs="Arial"/>
          <w:sz w:val="24"/>
          <w:szCs w:val="24"/>
          <w:lang w:val="en-GB"/>
        </w:rPr>
      </w:pPr>
      <w:r>
        <w:rPr>
          <w:rFonts w:cs="Arial"/>
          <w:sz w:val="24"/>
          <w:szCs w:val="24"/>
          <w:lang w:val="en-GB"/>
        </w:rPr>
        <w:t xml:space="preserve">The size of the owner-occupied sector differs somewhat as a more or less direct effect of housing policies. </w:t>
      </w:r>
      <w:smartTag w:uri="urn:schemas-microsoft-com:office:smarttags" w:element="City">
        <w:smartTag w:uri="urn:schemas-microsoft-com:office:smarttags" w:element="country-region">
          <w:r>
            <w:rPr>
              <w:rFonts w:cs="Arial"/>
              <w:sz w:val="24"/>
              <w:szCs w:val="24"/>
              <w:lang w:val="en-GB"/>
            </w:rPr>
            <w:t>Norway</w:t>
          </w:r>
        </w:smartTag>
      </w:smartTag>
      <w:r>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Finland</w:t>
            </w:r>
          </w:smartTag>
        </w:smartTag>
      </w:smartTag>
      <w:r>
        <w:rPr>
          <w:rFonts w:cs="Arial"/>
          <w:sz w:val="24"/>
          <w:szCs w:val="24"/>
          <w:lang w:val="en-GB"/>
        </w:rPr>
        <w:t xml:space="preserve"> have the largest sectors (62 and 59 per cent</w:t>
      </w:r>
      <w:r w:rsidR="005151D7">
        <w:rPr>
          <w:rFonts w:cs="Arial"/>
          <w:sz w:val="24"/>
          <w:szCs w:val="24"/>
          <w:lang w:val="en-GB"/>
        </w:rPr>
        <w:t xml:space="preserve"> respectively</w:t>
      </w:r>
      <w:r>
        <w:rPr>
          <w:rFonts w:cs="Arial"/>
          <w:sz w:val="24"/>
          <w:szCs w:val="24"/>
          <w:lang w:val="en-GB"/>
        </w:rPr>
        <w:t>). In Denmark and Sweden</w:t>
      </w:r>
      <w:r w:rsidR="00AD41B5">
        <w:rPr>
          <w:rFonts w:cs="Arial"/>
          <w:sz w:val="24"/>
          <w:szCs w:val="24"/>
          <w:lang w:val="en-GB"/>
        </w:rPr>
        <w:t>,</w:t>
      </w:r>
      <w:r>
        <w:rPr>
          <w:rFonts w:cs="Arial"/>
          <w:sz w:val="24"/>
          <w:szCs w:val="24"/>
          <w:lang w:val="en-GB"/>
        </w:rPr>
        <w:t xml:space="preserve"> owner-occupied housing accounts for </w:t>
      </w:r>
      <w:r w:rsidR="00681BD7">
        <w:rPr>
          <w:rFonts w:cs="Arial"/>
          <w:sz w:val="24"/>
          <w:szCs w:val="24"/>
          <w:lang w:val="en-GB"/>
        </w:rPr>
        <w:t xml:space="preserve">somewhat </w:t>
      </w:r>
      <w:r>
        <w:rPr>
          <w:rFonts w:cs="Arial"/>
          <w:sz w:val="24"/>
          <w:szCs w:val="24"/>
          <w:lang w:val="en-GB"/>
        </w:rPr>
        <w:t xml:space="preserve">more than half of the stock. However, if cooperatives are viewed as a kind of owner-occupation, </w:t>
      </w:r>
      <w:smartTag w:uri="urn:schemas-microsoft-com:office:smarttags" w:element="City">
        <w:smartTag w:uri="urn:schemas-microsoft-com:office:smarttags" w:element="country-region">
          <w:r>
            <w:rPr>
              <w:rFonts w:cs="Arial"/>
              <w:sz w:val="24"/>
              <w:szCs w:val="24"/>
              <w:lang w:val="en-GB"/>
            </w:rPr>
            <w:t>Norway</w:t>
          </w:r>
        </w:smartTag>
      </w:smartTag>
      <w:r>
        <w:rPr>
          <w:rFonts w:cs="Arial"/>
          <w:sz w:val="24"/>
          <w:szCs w:val="24"/>
          <w:lang w:val="en-GB"/>
        </w:rPr>
        <w:t xml:space="preserve"> has the largest share with 76 per cent followed by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Sweden</w:t>
            </w:r>
          </w:smartTag>
        </w:smartTag>
      </w:smartTag>
      <w:r>
        <w:rPr>
          <w:rFonts w:cs="Arial"/>
          <w:sz w:val="24"/>
          <w:szCs w:val="24"/>
          <w:lang w:val="en-GB"/>
        </w:rPr>
        <w:t xml:space="preserve"> with 70 per cent. </w:t>
      </w:r>
    </w:p>
    <w:p w:rsidR="00C81166" w:rsidRDefault="00C81166" w:rsidP="00610DA3">
      <w:pPr>
        <w:rPr>
          <w:rFonts w:cs="Arial"/>
          <w:sz w:val="24"/>
          <w:szCs w:val="24"/>
          <w:lang w:val="en-GB"/>
        </w:rPr>
      </w:pPr>
    </w:p>
    <w:p w:rsidR="00C81166" w:rsidRPr="0071111F" w:rsidRDefault="00A14D18" w:rsidP="00D34849">
      <w:pPr>
        <w:rPr>
          <w:rFonts w:cs="Arial"/>
          <w:sz w:val="24"/>
          <w:szCs w:val="24"/>
          <w:lang w:val="en-GB"/>
        </w:rPr>
      </w:pPr>
      <w:r>
        <w:rPr>
          <w:rFonts w:cs="Arial"/>
          <w:sz w:val="24"/>
          <w:szCs w:val="24"/>
          <w:lang w:val="en-GB"/>
        </w:rPr>
        <w:t>T</w:t>
      </w:r>
      <w:r w:rsidR="00C81166">
        <w:rPr>
          <w:rFonts w:cs="Arial"/>
          <w:sz w:val="24"/>
          <w:szCs w:val="24"/>
          <w:lang w:val="en-GB"/>
        </w:rPr>
        <w:t xml:space="preserve">he composition of tenures in </w:t>
      </w:r>
      <w:r>
        <w:rPr>
          <w:rFonts w:cs="Arial"/>
          <w:sz w:val="24"/>
          <w:szCs w:val="24"/>
          <w:lang w:val="en-GB"/>
        </w:rPr>
        <w:t xml:space="preserve">some </w:t>
      </w:r>
      <w:r w:rsidR="00C81166">
        <w:rPr>
          <w:rFonts w:cs="Arial"/>
          <w:sz w:val="24"/>
          <w:szCs w:val="24"/>
          <w:lang w:val="en-GB"/>
        </w:rPr>
        <w:t>neighbourhoods</w:t>
      </w:r>
      <w:r>
        <w:rPr>
          <w:rFonts w:cs="Arial"/>
          <w:sz w:val="24"/>
          <w:szCs w:val="24"/>
          <w:lang w:val="en-GB"/>
        </w:rPr>
        <w:t xml:space="preserve"> with low quality or low</w:t>
      </w:r>
      <w:r w:rsidR="00AD41B5">
        <w:rPr>
          <w:rFonts w:cs="Arial"/>
          <w:sz w:val="24"/>
          <w:szCs w:val="24"/>
          <w:lang w:val="en-GB"/>
        </w:rPr>
        <w:t>-</w:t>
      </w:r>
      <w:r>
        <w:rPr>
          <w:rFonts w:cs="Arial"/>
          <w:sz w:val="24"/>
          <w:szCs w:val="24"/>
          <w:lang w:val="en-GB"/>
        </w:rPr>
        <w:t xml:space="preserve">cost housing, which immigrants have had an easy access to, </w:t>
      </w:r>
      <w:r w:rsidR="00C81166">
        <w:rPr>
          <w:rFonts w:cs="Arial"/>
          <w:sz w:val="24"/>
          <w:szCs w:val="24"/>
          <w:lang w:val="en-GB"/>
        </w:rPr>
        <w:t xml:space="preserve">has to some extent initiated </w:t>
      </w:r>
      <w:r w:rsidR="00AD41B5">
        <w:rPr>
          <w:rFonts w:cs="Arial"/>
          <w:sz w:val="24"/>
          <w:szCs w:val="24"/>
          <w:lang w:val="en-GB"/>
        </w:rPr>
        <w:t xml:space="preserve">the </w:t>
      </w:r>
      <w:r w:rsidR="00C81166">
        <w:rPr>
          <w:rFonts w:cs="Arial"/>
          <w:sz w:val="24"/>
          <w:szCs w:val="24"/>
          <w:lang w:val="en-GB"/>
        </w:rPr>
        <w:t>processes of segregation of immigrants</w:t>
      </w:r>
      <w:r w:rsidR="00945E77">
        <w:rPr>
          <w:rFonts w:cs="Arial"/>
          <w:sz w:val="24"/>
          <w:szCs w:val="24"/>
          <w:lang w:val="en-GB"/>
        </w:rPr>
        <w:t>.</w:t>
      </w:r>
      <w:r w:rsidR="00C81166">
        <w:rPr>
          <w:rFonts w:cs="Arial"/>
          <w:sz w:val="24"/>
          <w:szCs w:val="24"/>
          <w:lang w:val="en-GB"/>
        </w:rPr>
        <w:t xml:space="preserve"> </w:t>
      </w:r>
      <w:r w:rsidR="00AD41B5">
        <w:rPr>
          <w:rFonts w:cs="Arial"/>
          <w:sz w:val="24"/>
          <w:szCs w:val="24"/>
          <w:lang w:val="en-GB"/>
        </w:rPr>
        <w:t>In turn, t</w:t>
      </w:r>
      <w:r w:rsidR="00945E77">
        <w:rPr>
          <w:rFonts w:cs="Arial"/>
          <w:sz w:val="24"/>
          <w:szCs w:val="24"/>
          <w:lang w:val="en-GB"/>
        </w:rPr>
        <w:t xml:space="preserve">his </w:t>
      </w:r>
      <w:r w:rsidR="00C81166">
        <w:rPr>
          <w:rFonts w:cs="Arial"/>
          <w:sz w:val="24"/>
          <w:szCs w:val="24"/>
          <w:lang w:val="en-GB"/>
        </w:rPr>
        <w:t xml:space="preserve">has influenced immigrants’ choice of tenures and their housing situation. The first immigrants to </w:t>
      </w:r>
      <w:smartTag w:uri="urn:schemas-microsoft-com:office:smarttags" w:element="City">
        <w:smartTag w:uri="urn:schemas-microsoft-com:office:smarttags" w:element="country-region">
          <w:r w:rsidR="00C81166">
            <w:rPr>
              <w:rFonts w:cs="Arial"/>
              <w:sz w:val="24"/>
              <w:szCs w:val="24"/>
              <w:lang w:val="en-GB"/>
            </w:rPr>
            <w:t>Denmark</w:t>
          </w:r>
        </w:smartTag>
      </w:smartTag>
      <w:r w:rsidR="00C81166">
        <w:rPr>
          <w:rFonts w:cs="Arial"/>
          <w:sz w:val="24"/>
          <w:szCs w:val="24"/>
          <w:lang w:val="en-GB"/>
        </w:rPr>
        <w:t xml:space="preserve">, </w:t>
      </w:r>
      <w:smartTag w:uri="urn:schemas-microsoft-com:office:smarttags" w:element="City">
        <w:smartTag w:uri="urn:schemas-microsoft-com:office:smarttags" w:element="country-region">
          <w:r w:rsidR="00C81166">
            <w:rPr>
              <w:rFonts w:cs="Arial"/>
              <w:sz w:val="24"/>
              <w:szCs w:val="24"/>
              <w:lang w:val="en-GB"/>
            </w:rPr>
            <w:t>Norway</w:t>
          </w:r>
        </w:smartTag>
      </w:smartTag>
      <w:r w:rsidR="00C81166">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Sweden</w:t>
            </w:r>
          </w:smartTag>
        </w:smartTag>
      </w:smartTag>
      <w:r w:rsidR="00C81166">
        <w:rPr>
          <w:rFonts w:cs="Arial"/>
          <w:sz w:val="24"/>
          <w:szCs w:val="24"/>
          <w:lang w:val="en-GB"/>
        </w:rPr>
        <w:t xml:space="preserve"> tended to settle in older neighbourhoods in cities</w:t>
      </w:r>
      <w:r w:rsidR="00AD41B5">
        <w:rPr>
          <w:rFonts w:cs="Arial"/>
          <w:sz w:val="24"/>
          <w:szCs w:val="24"/>
          <w:lang w:val="en-GB"/>
        </w:rPr>
        <w:t>,</w:t>
      </w:r>
      <w:r w:rsidR="00C81166">
        <w:rPr>
          <w:rFonts w:cs="Arial"/>
          <w:sz w:val="24"/>
          <w:szCs w:val="24"/>
          <w:lang w:val="en-GB"/>
        </w:rPr>
        <w:t xml:space="preserve"> dominated by private renting. This has especially been the case in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Norway</w:t>
            </w:r>
          </w:smartTag>
        </w:smartTag>
      </w:smartTag>
      <w:r w:rsidR="00C81166">
        <w:rPr>
          <w:rFonts w:cs="Arial"/>
          <w:sz w:val="24"/>
          <w:szCs w:val="24"/>
          <w:lang w:val="en-GB"/>
        </w:rPr>
        <w:t>. In the c</w:t>
      </w:r>
      <w:r w:rsidR="00AD41B5">
        <w:rPr>
          <w:rFonts w:cs="Arial"/>
          <w:sz w:val="24"/>
          <w:szCs w:val="24"/>
          <w:lang w:val="en-GB"/>
        </w:rPr>
        <w:t>ourse</w:t>
      </w:r>
      <w:r w:rsidR="00C81166">
        <w:rPr>
          <w:rFonts w:cs="Arial"/>
          <w:sz w:val="24"/>
          <w:szCs w:val="24"/>
          <w:lang w:val="en-GB"/>
        </w:rPr>
        <w:t xml:space="preserve"> of time</w:t>
      </w:r>
      <w:r w:rsidR="00AD41B5">
        <w:rPr>
          <w:rFonts w:cs="Arial"/>
          <w:sz w:val="24"/>
          <w:szCs w:val="24"/>
          <w:lang w:val="en-GB"/>
        </w:rPr>
        <w:t>,</w:t>
      </w:r>
      <w:r w:rsidR="00C81166">
        <w:rPr>
          <w:rFonts w:cs="Arial"/>
          <w:sz w:val="24"/>
          <w:szCs w:val="24"/>
          <w:lang w:val="en-GB"/>
        </w:rPr>
        <w:t xml:space="preserve"> immigrant</w:t>
      </w:r>
      <w:r w:rsidR="00AD41B5">
        <w:rPr>
          <w:rFonts w:cs="Arial"/>
          <w:sz w:val="24"/>
          <w:szCs w:val="24"/>
          <w:lang w:val="en-GB"/>
        </w:rPr>
        <w:t>-</w:t>
      </w:r>
      <w:r w:rsidR="00C81166">
        <w:rPr>
          <w:rFonts w:cs="Arial"/>
          <w:sz w:val="24"/>
          <w:szCs w:val="24"/>
          <w:lang w:val="en-GB"/>
        </w:rPr>
        <w:t xml:space="preserve">dense neighbourhoods in </w:t>
      </w:r>
      <w:smartTag w:uri="urn:schemas-microsoft-com:office:smarttags" w:element="City">
        <w:smartTag w:uri="urn:schemas-microsoft-com:office:smarttags" w:element="country-region">
          <w:r w:rsidR="00C81166">
            <w:rPr>
              <w:rFonts w:cs="Arial"/>
              <w:sz w:val="24"/>
              <w:szCs w:val="24"/>
              <w:lang w:val="en-GB"/>
            </w:rPr>
            <w:t>Denmark</w:t>
          </w:r>
        </w:smartTag>
      </w:smartTag>
      <w:r w:rsidR="00C81166">
        <w:rPr>
          <w:rFonts w:cs="Arial"/>
          <w:sz w:val="24"/>
          <w:szCs w:val="24"/>
          <w:lang w:val="en-GB"/>
        </w:rPr>
        <w:t xml:space="preserve">, </w:t>
      </w:r>
      <w:smartTag w:uri="urn:schemas-microsoft-com:office:smarttags" w:element="City">
        <w:smartTag w:uri="urn:schemas-microsoft-com:office:smarttags" w:element="country-region">
          <w:r w:rsidR="00C81166">
            <w:rPr>
              <w:rFonts w:cs="Arial"/>
              <w:sz w:val="24"/>
              <w:szCs w:val="24"/>
              <w:lang w:val="en-GB"/>
            </w:rPr>
            <w:t>Finland</w:t>
          </w:r>
        </w:smartTag>
      </w:smartTag>
      <w:r w:rsidR="00C81166">
        <w:rPr>
          <w:rFonts w:cs="Arial"/>
          <w:sz w:val="24"/>
          <w:szCs w:val="24"/>
          <w:lang w:val="en-GB"/>
        </w:rPr>
        <w:t xml:space="preserve"> and </w:t>
      </w:r>
      <w:smartTag w:uri="urn:schemas-microsoft-com:office:smarttags" w:element="City">
        <w:smartTag w:uri="urn:schemas-microsoft-com:office:smarttags" w:element="country-region">
          <w:smartTag w:uri="urn:schemas-microsoft-com:office:smarttags" w:element="place">
            <w:r w:rsidR="00C81166">
              <w:rPr>
                <w:rFonts w:cs="Arial"/>
                <w:sz w:val="24"/>
                <w:szCs w:val="24"/>
                <w:lang w:val="en-GB"/>
              </w:rPr>
              <w:t>Sweden</w:t>
            </w:r>
          </w:smartTag>
        </w:smartTag>
      </w:smartTag>
      <w:r w:rsidR="00C81166">
        <w:rPr>
          <w:rFonts w:cs="Arial"/>
          <w:sz w:val="24"/>
          <w:szCs w:val="24"/>
          <w:lang w:val="en-GB"/>
        </w:rPr>
        <w:t xml:space="preserve"> </w:t>
      </w:r>
      <w:r w:rsidR="00C81166" w:rsidRPr="005862AE">
        <w:rPr>
          <w:rFonts w:cs="Arial"/>
          <w:sz w:val="24"/>
          <w:szCs w:val="24"/>
          <w:lang w:val="en-GB"/>
        </w:rPr>
        <w:t>emerge</w:t>
      </w:r>
      <w:r w:rsidR="00C81166">
        <w:rPr>
          <w:rFonts w:cs="Arial"/>
          <w:sz w:val="24"/>
          <w:szCs w:val="24"/>
          <w:lang w:val="en-GB"/>
        </w:rPr>
        <w:t xml:space="preserve">d in areas dominated by </w:t>
      </w:r>
      <w:r>
        <w:rPr>
          <w:rFonts w:cs="Arial"/>
          <w:sz w:val="24"/>
          <w:szCs w:val="24"/>
          <w:lang w:val="en-GB"/>
        </w:rPr>
        <w:t>social/public housing</w:t>
      </w:r>
      <w:r w:rsidR="00C81166">
        <w:rPr>
          <w:rFonts w:cs="Arial"/>
          <w:sz w:val="24"/>
          <w:szCs w:val="24"/>
          <w:lang w:val="en-GB"/>
        </w:rPr>
        <w:t xml:space="preserve">. In </w:t>
      </w:r>
      <w:r w:rsidR="00C81166">
        <w:rPr>
          <w:rFonts w:cs="Arial"/>
          <w:sz w:val="24"/>
          <w:szCs w:val="24"/>
          <w:lang w:val="en-GB"/>
        </w:rPr>
        <w:lastRenderedPageBreak/>
        <w:t>Norway</w:t>
      </w:r>
      <w:r w:rsidR="00AD41B5">
        <w:rPr>
          <w:rFonts w:cs="Arial"/>
          <w:sz w:val="24"/>
          <w:szCs w:val="24"/>
          <w:lang w:val="en-GB"/>
        </w:rPr>
        <w:t>,</w:t>
      </w:r>
      <w:r w:rsidR="00C81166">
        <w:rPr>
          <w:rFonts w:cs="Arial"/>
          <w:sz w:val="24"/>
          <w:szCs w:val="24"/>
          <w:lang w:val="en-GB"/>
        </w:rPr>
        <w:t xml:space="preserve"> immigrant</w:t>
      </w:r>
      <w:r w:rsidR="00AD41B5">
        <w:rPr>
          <w:rFonts w:cs="Arial"/>
          <w:sz w:val="24"/>
          <w:szCs w:val="24"/>
          <w:lang w:val="en-GB"/>
        </w:rPr>
        <w:t>-</w:t>
      </w:r>
      <w:r w:rsidR="00C81166">
        <w:rPr>
          <w:rFonts w:cs="Arial"/>
          <w:sz w:val="24"/>
          <w:szCs w:val="24"/>
          <w:lang w:val="en-GB"/>
        </w:rPr>
        <w:t>dense neighbourhoods developed in areas dominated by cooperatives. As described in the theoretical section</w:t>
      </w:r>
      <w:r w:rsidR="00AD41B5">
        <w:rPr>
          <w:rFonts w:cs="Arial"/>
          <w:sz w:val="24"/>
          <w:szCs w:val="24"/>
          <w:lang w:val="en-GB"/>
        </w:rPr>
        <w:t>,</w:t>
      </w:r>
      <w:r w:rsidR="00C81166">
        <w:rPr>
          <w:rFonts w:cs="Arial"/>
          <w:sz w:val="24"/>
          <w:szCs w:val="24"/>
          <w:lang w:val="en-GB"/>
        </w:rPr>
        <w:t xml:space="preserve"> there is evidence </w:t>
      </w:r>
      <w:r w:rsidR="00945E77">
        <w:rPr>
          <w:rFonts w:cs="Arial"/>
          <w:sz w:val="24"/>
          <w:szCs w:val="24"/>
          <w:lang w:val="en-GB"/>
        </w:rPr>
        <w:t xml:space="preserve">in some countries </w:t>
      </w:r>
      <w:r w:rsidR="00C81166">
        <w:rPr>
          <w:rFonts w:cs="Arial"/>
          <w:sz w:val="24"/>
          <w:szCs w:val="24"/>
          <w:lang w:val="en-GB"/>
        </w:rPr>
        <w:t>that immigrant</w:t>
      </w:r>
      <w:r w:rsidR="00AD41B5">
        <w:rPr>
          <w:rFonts w:cs="Arial"/>
          <w:sz w:val="24"/>
          <w:szCs w:val="24"/>
          <w:lang w:val="en-GB"/>
        </w:rPr>
        <w:t>-</w:t>
      </w:r>
      <w:r w:rsidR="00C81166">
        <w:rPr>
          <w:rFonts w:cs="Arial"/>
          <w:sz w:val="24"/>
          <w:szCs w:val="24"/>
          <w:lang w:val="en-GB"/>
        </w:rPr>
        <w:t xml:space="preserve">dense neighbourhoods tend to attract more immigrants </w:t>
      </w:r>
      <w:r w:rsidR="00AD41B5">
        <w:rPr>
          <w:rFonts w:cs="Arial"/>
          <w:sz w:val="24"/>
          <w:szCs w:val="24"/>
          <w:lang w:val="en-GB"/>
        </w:rPr>
        <w:t>due to</w:t>
      </w:r>
      <w:r w:rsidR="00C81166">
        <w:rPr>
          <w:rFonts w:cs="Arial"/>
          <w:sz w:val="24"/>
          <w:szCs w:val="24"/>
          <w:lang w:val="en-GB"/>
        </w:rPr>
        <w:t xml:space="preserve"> white flight and avoidance, and to some extent </w:t>
      </w:r>
      <w:r w:rsidR="00AD41B5">
        <w:rPr>
          <w:rFonts w:cs="Arial"/>
          <w:sz w:val="24"/>
          <w:szCs w:val="24"/>
          <w:lang w:val="en-GB"/>
        </w:rPr>
        <w:t>due to</w:t>
      </w:r>
      <w:r w:rsidR="00C81166">
        <w:rPr>
          <w:rFonts w:cs="Arial"/>
          <w:sz w:val="24"/>
          <w:szCs w:val="24"/>
          <w:lang w:val="en-GB"/>
        </w:rPr>
        <w:t xml:space="preserve"> preferences for ethnic enclaves. It is therefore to be expected that segregation has increased the </w:t>
      </w:r>
      <w:r w:rsidR="00C81166" w:rsidRPr="005862AE">
        <w:rPr>
          <w:rFonts w:cs="Arial"/>
          <w:sz w:val="24"/>
          <w:szCs w:val="24"/>
          <w:lang w:val="en-GB"/>
        </w:rPr>
        <w:t>occurrence</w:t>
      </w:r>
      <w:r w:rsidR="00C81166">
        <w:rPr>
          <w:rFonts w:cs="Arial"/>
          <w:sz w:val="24"/>
          <w:szCs w:val="24"/>
          <w:lang w:val="en-GB"/>
        </w:rPr>
        <w:t xml:space="preserve"> of immigrants in </w:t>
      </w:r>
      <w:r>
        <w:rPr>
          <w:rFonts w:cs="Arial"/>
          <w:sz w:val="24"/>
          <w:szCs w:val="24"/>
          <w:lang w:val="en-GB"/>
        </w:rPr>
        <w:t>social/public housing</w:t>
      </w:r>
      <w:r w:rsidR="00C81166">
        <w:rPr>
          <w:rFonts w:cs="Arial"/>
          <w:sz w:val="24"/>
          <w:szCs w:val="24"/>
          <w:lang w:val="en-GB"/>
        </w:rPr>
        <w:t xml:space="preserve"> in Denmark, Finland and Sweden, while in Norway it has </w:t>
      </w:r>
      <w:r w:rsidR="0018732A">
        <w:rPr>
          <w:rFonts w:cs="Arial"/>
          <w:sz w:val="24"/>
          <w:szCs w:val="24"/>
          <w:lang w:val="en-GB"/>
        </w:rPr>
        <w:t>been</w:t>
      </w:r>
      <w:r w:rsidR="00C81166">
        <w:rPr>
          <w:rFonts w:cs="Arial"/>
          <w:sz w:val="24"/>
          <w:szCs w:val="24"/>
          <w:lang w:val="en-GB"/>
        </w:rPr>
        <w:t xml:space="preserve"> </w:t>
      </w:r>
      <w:r w:rsidR="00C81166" w:rsidRPr="005151D7">
        <w:rPr>
          <w:rFonts w:cs="Arial"/>
          <w:sz w:val="24"/>
          <w:szCs w:val="24"/>
          <w:lang w:val="en-GB"/>
        </w:rPr>
        <w:t>importan</w:t>
      </w:r>
      <w:r w:rsidR="0018732A" w:rsidRPr="006612A9">
        <w:rPr>
          <w:rFonts w:cs="Arial"/>
          <w:sz w:val="24"/>
          <w:szCs w:val="24"/>
          <w:lang w:val="en-GB"/>
        </w:rPr>
        <w:t>t</w:t>
      </w:r>
      <w:r w:rsidR="00C81166">
        <w:rPr>
          <w:rFonts w:cs="Arial"/>
          <w:sz w:val="24"/>
          <w:szCs w:val="24"/>
          <w:lang w:val="en-GB"/>
        </w:rPr>
        <w:t xml:space="preserve"> for immigrants’ </w:t>
      </w:r>
      <w:r w:rsidR="00945E77">
        <w:rPr>
          <w:rFonts w:cs="Arial"/>
          <w:sz w:val="24"/>
          <w:szCs w:val="24"/>
          <w:lang w:val="en-GB"/>
        </w:rPr>
        <w:t>settlement</w:t>
      </w:r>
      <w:r w:rsidR="00C81166">
        <w:rPr>
          <w:rFonts w:cs="Arial"/>
          <w:sz w:val="24"/>
          <w:szCs w:val="24"/>
          <w:lang w:val="en-GB"/>
        </w:rPr>
        <w:t xml:space="preserve"> in cooperatives.</w:t>
      </w:r>
      <w:r w:rsidR="00C81166" w:rsidRPr="0071111F">
        <w:rPr>
          <w:rFonts w:cs="Arial"/>
          <w:sz w:val="24"/>
          <w:szCs w:val="24"/>
          <w:lang w:val="en-GB"/>
        </w:rPr>
        <w:t xml:space="preserve"> </w:t>
      </w:r>
    </w:p>
    <w:p w:rsidR="00C81166" w:rsidRDefault="00C81166" w:rsidP="006B445A">
      <w:pPr>
        <w:pStyle w:val="Overskrift3"/>
        <w:rPr>
          <w:lang w:val="en-GB"/>
        </w:rPr>
      </w:pPr>
      <w:r>
        <w:rPr>
          <w:lang w:val="en-GB"/>
        </w:rPr>
        <w:t>Evaluation of housing a</w:t>
      </w:r>
      <w:r w:rsidRPr="0084790C">
        <w:rPr>
          <w:lang w:val="en-GB"/>
        </w:rPr>
        <w:t>ffordability</w:t>
      </w:r>
      <w:r>
        <w:rPr>
          <w:lang w:val="en-GB"/>
        </w:rPr>
        <w:t xml:space="preserve"> in the countries</w:t>
      </w:r>
    </w:p>
    <w:p w:rsidR="00C81166" w:rsidRPr="00C91E21" w:rsidRDefault="00C81166" w:rsidP="00C91E21">
      <w:pPr>
        <w:rPr>
          <w:rFonts w:cs="Arial"/>
          <w:sz w:val="24"/>
          <w:szCs w:val="24"/>
          <w:lang w:val="en-GB"/>
        </w:rPr>
      </w:pPr>
      <w:r>
        <w:rPr>
          <w:sz w:val="24"/>
          <w:szCs w:val="24"/>
          <w:lang w:val="en-GB"/>
        </w:rPr>
        <w:t>Immigrants most often belong to the low- and moderate</w:t>
      </w:r>
      <w:r w:rsidR="0018732A">
        <w:rPr>
          <w:sz w:val="24"/>
          <w:szCs w:val="24"/>
          <w:lang w:val="en-GB"/>
        </w:rPr>
        <w:t>-</w:t>
      </w:r>
      <w:r>
        <w:rPr>
          <w:sz w:val="24"/>
          <w:szCs w:val="24"/>
          <w:lang w:val="en-GB"/>
        </w:rPr>
        <w:t xml:space="preserve">income groups. </w:t>
      </w:r>
      <w:r w:rsidRPr="00A36DB6">
        <w:rPr>
          <w:sz w:val="24"/>
          <w:szCs w:val="24"/>
          <w:lang w:val="en-GB"/>
        </w:rPr>
        <w:t xml:space="preserve">Of decisive importance for immigrants’ </w:t>
      </w:r>
      <w:r>
        <w:rPr>
          <w:sz w:val="24"/>
          <w:szCs w:val="24"/>
          <w:lang w:val="en-GB"/>
        </w:rPr>
        <w:t xml:space="preserve">housing options is their ability to pay housing costs and to get loans for </w:t>
      </w:r>
      <w:r w:rsidRPr="008F2534">
        <w:rPr>
          <w:sz w:val="24"/>
          <w:szCs w:val="24"/>
          <w:lang w:val="en-GB"/>
        </w:rPr>
        <w:t>acquisition</w:t>
      </w:r>
      <w:r w:rsidR="00A14D18">
        <w:rPr>
          <w:sz w:val="24"/>
          <w:szCs w:val="24"/>
          <w:lang w:val="en-GB"/>
        </w:rPr>
        <w:t xml:space="preserve"> of owner-occupied dwellings and co-operative housing</w:t>
      </w:r>
      <w:r>
        <w:rPr>
          <w:sz w:val="24"/>
          <w:szCs w:val="24"/>
          <w:lang w:val="en-GB"/>
        </w:rPr>
        <w:t xml:space="preserve">. This on the one hand depends on price and rent levels on the housing market, on the other hand on housing subsidies and finance systems. It is not an easy task to disentangle the effects of housing policy because prices and rents on the housing markets are affected by subsidies and finance. Subsidies are thus to some extent passed on to the prices on the market. Moreover, </w:t>
      </w:r>
      <w:r w:rsidRPr="00FF0D8B">
        <w:rPr>
          <w:rFonts w:cs="Arial"/>
          <w:sz w:val="24"/>
          <w:szCs w:val="24"/>
          <w:lang w:val="en-GB"/>
        </w:rPr>
        <w:t xml:space="preserve">the structure of subsidies not only influences access and </w:t>
      </w:r>
      <w:r w:rsidR="0018732A">
        <w:rPr>
          <w:rFonts w:cs="Arial"/>
          <w:sz w:val="24"/>
          <w:szCs w:val="24"/>
          <w:lang w:val="en-GB"/>
        </w:rPr>
        <w:t xml:space="preserve">the </w:t>
      </w:r>
      <w:r w:rsidRPr="005151D7">
        <w:rPr>
          <w:rFonts w:cs="Arial"/>
          <w:sz w:val="24"/>
          <w:szCs w:val="24"/>
          <w:lang w:val="en-GB"/>
        </w:rPr>
        <w:t>possibility</w:t>
      </w:r>
      <w:r w:rsidRPr="00FF0D8B">
        <w:rPr>
          <w:rFonts w:cs="Arial"/>
          <w:sz w:val="24"/>
          <w:szCs w:val="24"/>
          <w:lang w:val="en-GB"/>
        </w:rPr>
        <w:t xml:space="preserve"> </w:t>
      </w:r>
      <w:r w:rsidR="003C5EB3">
        <w:rPr>
          <w:rFonts w:cs="Arial"/>
          <w:sz w:val="24"/>
          <w:szCs w:val="24"/>
          <w:lang w:val="en-GB"/>
        </w:rPr>
        <w:t>of</w:t>
      </w:r>
      <w:r w:rsidRPr="00FF0D8B">
        <w:rPr>
          <w:rFonts w:cs="Arial"/>
          <w:sz w:val="24"/>
          <w:szCs w:val="24"/>
          <w:lang w:val="en-GB"/>
        </w:rPr>
        <w:t xml:space="preserve"> keep</w:t>
      </w:r>
      <w:r w:rsidR="003C5EB3">
        <w:rPr>
          <w:rFonts w:cs="Arial"/>
          <w:sz w:val="24"/>
          <w:szCs w:val="24"/>
          <w:lang w:val="en-GB"/>
        </w:rPr>
        <w:t>ing</w:t>
      </w:r>
      <w:r w:rsidRPr="00FF0D8B">
        <w:rPr>
          <w:rFonts w:cs="Arial"/>
          <w:sz w:val="24"/>
          <w:szCs w:val="24"/>
          <w:lang w:val="en-GB"/>
        </w:rPr>
        <w:t xml:space="preserve"> a dwelling, but also what kind of tenures that are produced.</w:t>
      </w:r>
      <w:r>
        <w:rPr>
          <w:rFonts w:cs="Arial"/>
          <w:sz w:val="24"/>
          <w:szCs w:val="24"/>
          <w:lang w:val="en-GB"/>
        </w:rPr>
        <w:t xml:space="preserve"> For example high</w:t>
      </w:r>
      <w:r w:rsidRPr="00FF0D8B">
        <w:rPr>
          <w:rFonts w:cs="Arial"/>
          <w:sz w:val="24"/>
          <w:szCs w:val="24"/>
          <w:lang w:val="en-GB"/>
        </w:rPr>
        <w:t xml:space="preserve"> indirect tax subsidies promote homeownership. </w:t>
      </w:r>
      <w:r>
        <w:rPr>
          <w:rFonts w:cs="Arial"/>
          <w:sz w:val="24"/>
          <w:szCs w:val="24"/>
          <w:lang w:val="en-GB"/>
        </w:rPr>
        <w:t xml:space="preserve">Social/public housing requires </w:t>
      </w:r>
      <w:r w:rsidR="0018732A">
        <w:rPr>
          <w:rFonts w:cs="Arial"/>
          <w:sz w:val="24"/>
          <w:szCs w:val="24"/>
          <w:lang w:val="en-GB"/>
        </w:rPr>
        <w:t xml:space="preserve">the existence of </w:t>
      </w:r>
      <w:r>
        <w:rPr>
          <w:rFonts w:cs="Arial"/>
          <w:sz w:val="24"/>
          <w:szCs w:val="24"/>
          <w:lang w:val="en-GB"/>
        </w:rPr>
        <w:t>specific subsidies.</w:t>
      </w:r>
    </w:p>
    <w:p w:rsidR="00C81166" w:rsidRDefault="00C81166" w:rsidP="00C91E21">
      <w:pPr>
        <w:rPr>
          <w:lang w:val="en-GB"/>
        </w:rPr>
      </w:pPr>
    </w:p>
    <w:p w:rsidR="00C81166" w:rsidRDefault="00C81166" w:rsidP="00A36DB6">
      <w:pPr>
        <w:rPr>
          <w:rFonts w:cs="Arial"/>
          <w:sz w:val="24"/>
          <w:szCs w:val="24"/>
          <w:lang w:val="en-GB"/>
        </w:rPr>
      </w:pPr>
      <w:r>
        <w:rPr>
          <w:rFonts w:cs="Arial"/>
          <w:sz w:val="24"/>
          <w:szCs w:val="24"/>
          <w:lang w:val="en-GB"/>
        </w:rPr>
        <w:t xml:space="preserve">Table </w:t>
      </w:r>
      <w:r w:rsidR="0018676A">
        <w:rPr>
          <w:rFonts w:cs="Arial"/>
          <w:sz w:val="24"/>
          <w:szCs w:val="24"/>
          <w:lang w:val="en-GB"/>
        </w:rPr>
        <w:t>3</w:t>
      </w:r>
      <w:r>
        <w:rPr>
          <w:rFonts w:cs="Arial"/>
          <w:sz w:val="24"/>
          <w:szCs w:val="24"/>
          <w:lang w:val="en-GB"/>
        </w:rPr>
        <w:t xml:space="preserve"> </w:t>
      </w:r>
      <w:r w:rsidR="002371BD">
        <w:rPr>
          <w:rFonts w:cs="Arial"/>
          <w:sz w:val="24"/>
          <w:szCs w:val="24"/>
          <w:lang w:val="en-GB"/>
        </w:rPr>
        <w:t>shows</w:t>
      </w:r>
      <w:r>
        <w:rPr>
          <w:rFonts w:cs="Arial"/>
          <w:sz w:val="24"/>
          <w:szCs w:val="24"/>
          <w:lang w:val="en-GB"/>
        </w:rPr>
        <w:t xml:space="preserve"> an evaluation of the differences in affordability for household with lower incomes in the different tenures in the countries. The table is based on a detailed comparison and evaluation of housing prices, rents and subsidy systems in </w:t>
      </w:r>
      <w:r w:rsidR="002371BD">
        <w:rPr>
          <w:rFonts w:cs="Arial"/>
          <w:sz w:val="24"/>
          <w:szCs w:val="24"/>
          <w:lang w:val="en-GB"/>
        </w:rPr>
        <w:t>four</w:t>
      </w:r>
      <w:r w:rsidR="003C5EB3">
        <w:rPr>
          <w:rFonts w:cs="Arial"/>
          <w:sz w:val="24"/>
          <w:szCs w:val="24"/>
          <w:lang w:val="en-GB"/>
        </w:rPr>
        <w:t xml:space="preserve"> </w:t>
      </w:r>
      <w:r>
        <w:rPr>
          <w:rFonts w:cs="Arial"/>
          <w:sz w:val="24"/>
          <w:szCs w:val="24"/>
          <w:lang w:val="en-GB"/>
        </w:rPr>
        <w:t xml:space="preserve">Nordic </w:t>
      </w:r>
      <w:r w:rsidR="00C13B73">
        <w:rPr>
          <w:rFonts w:cs="Arial"/>
          <w:sz w:val="24"/>
          <w:szCs w:val="24"/>
          <w:lang w:val="en-GB"/>
        </w:rPr>
        <w:t>countries (Skifter Andersen 2012</w:t>
      </w:r>
      <w:r>
        <w:rPr>
          <w:rFonts w:cs="Arial"/>
          <w:sz w:val="24"/>
          <w:szCs w:val="24"/>
          <w:lang w:val="en-GB"/>
        </w:rPr>
        <w:t xml:space="preserve">).  Below is a further argumentation for the judgements. </w:t>
      </w:r>
    </w:p>
    <w:p w:rsidR="00C81166" w:rsidRDefault="00C81166" w:rsidP="00A36DB6">
      <w:pPr>
        <w:rPr>
          <w:rFonts w:cs="Arial"/>
          <w:sz w:val="24"/>
          <w:szCs w:val="24"/>
          <w:lang w:val="en-GB"/>
        </w:rPr>
      </w:pPr>
    </w:p>
    <w:p w:rsidR="00C81166" w:rsidRPr="0071111F" w:rsidRDefault="0018676A" w:rsidP="00A36DB6">
      <w:pPr>
        <w:rPr>
          <w:sz w:val="24"/>
          <w:lang w:val="en-GB"/>
        </w:rPr>
      </w:pPr>
      <w:r>
        <w:rPr>
          <w:sz w:val="24"/>
          <w:lang w:val="en-GB"/>
        </w:rPr>
        <w:t>(Table 3</w:t>
      </w:r>
      <w:r w:rsidR="00C81166" w:rsidRPr="0071111F">
        <w:rPr>
          <w:sz w:val="24"/>
          <w:lang w:val="en-GB"/>
        </w:rPr>
        <w:t>)</w:t>
      </w:r>
    </w:p>
    <w:p w:rsidR="00C81166" w:rsidRPr="0071111F" w:rsidRDefault="00C81166" w:rsidP="00A36DB6">
      <w:pPr>
        <w:rPr>
          <w:sz w:val="24"/>
          <w:lang w:val="en-GB"/>
        </w:rPr>
      </w:pPr>
    </w:p>
    <w:p w:rsidR="00C81166" w:rsidRPr="003C7A07" w:rsidRDefault="00C81166" w:rsidP="00DD2271">
      <w:pPr>
        <w:rPr>
          <w:rFonts w:cs="Arial"/>
          <w:sz w:val="24"/>
          <w:szCs w:val="24"/>
          <w:lang w:val="en-GB"/>
        </w:rPr>
      </w:pPr>
      <w:r>
        <w:rPr>
          <w:rFonts w:cs="Arial"/>
          <w:sz w:val="24"/>
          <w:szCs w:val="24"/>
          <w:lang w:val="en-GB"/>
        </w:rPr>
        <w:t>Social/public housing</w:t>
      </w:r>
      <w:r w:rsidRPr="003C7A07">
        <w:rPr>
          <w:rFonts w:cs="Arial"/>
          <w:sz w:val="24"/>
          <w:szCs w:val="24"/>
          <w:lang w:val="en-GB"/>
        </w:rPr>
        <w:t xml:space="preserve"> in Denmark is in pr</w:t>
      </w:r>
      <w:r w:rsidR="00681BD7">
        <w:rPr>
          <w:rFonts w:cs="Arial"/>
          <w:sz w:val="24"/>
          <w:szCs w:val="24"/>
          <w:lang w:val="en-GB"/>
        </w:rPr>
        <w:t>inciple affordable for</w:t>
      </w:r>
      <w:r>
        <w:rPr>
          <w:rFonts w:cs="Arial"/>
          <w:sz w:val="24"/>
          <w:szCs w:val="24"/>
          <w:lang w:val="en-GB"/>
        </w:rPr>
        <w:t xml:space="preserve"> everyone.</w:t>
      </w:r>
      <w:r w:rsidRPr="003C7A07">
        <w:rPr>
          <w:rFonts w:cs="Arial"/>
          <w:sz w:val="24"/>
          <w:szCs w:val="24"/>
          <w:lang w:val="en-GB"/>
        </w:rPr>
        <w:t xml:space="preserve"> Also in Finland</w:t>
      </w:r>
      <w:r w:rsidR="00681BD7">
        <w:rPr>
          <w:rFonts w:cs="Arial"/>
          <w:sz w:val="24"/>
          <w:szCs w:val="24"/>
          <w:lang w:val="en-GB"/>
        </w:rPr>
        <w:t>,</w:t>
      </w:r>
      <w:r w:rsidRPr="003C7A07">
        <w:rPr>
          <w:rFonts w:cs="Arial"/>
          <w:sz w:val="24"/>
          <w:szCs w:val="24"/>
          <w:lang w:val="en-GB"/>
        </w:rPr>
        <w:t xml:space="preserve"> rent setting and subsidies make it affordable to live in </w:t>
      </w:r>
      <w:r>
        <w:rPr>
          <w:rFonts w:cs="Arial"/>
          <w:sz w:val="24"/>
          <w:szCs w:val="24"/>
          <w:lang w:val="en-GB"/>
        </w:rPr>
        <w:t>social/public housing</w:t>
      </w:r>
      <w:r w:rsidRPr="003C7A07">
        <w:rPr>
          <w:rFonts w:cs="Arial"/>
          <w:sz w:val="24"/>
          <w:szCs w:val="24"/>
          <w:lang w:val="en-GB"/>
        </w:rPr>
        <w:t xml:space="preserve">. The municipalities' autonomy in rent setting principles for </w:t>
      </w:r>
      <w:r>
        <w:rPr>
          <w:rFonts w:cs="Arial"/>
          <w:sz w:val="24"/>
          <w:szCs w:val="24"/>
          <w:lang w:val="en-GB"/>
        </w:rPr>
        <w:t>social/public housing</w:t>
      </w:r>
      <w:r w:rsidRPr="003C7A07">
        <w:rPr>
          <w:rFonts w:cs="Arial"/>
          <w:sz w:val="24"/>
          <w:szCs w:val="24"/>
          <w:lang w:val="en-GB"/>
        </w:rPr>
        <w:t xml:space="preserve"> in </w:t>
      </w:r>
      <w:smartTag w:uri="urn:schemas-microsoft-com:office:smarttags" w:element="City">
        <w:smartTag w:uri="urn:schemas-microsoft-com:office:smarttags" w:element="place">
          <w:smartTag w:uri="urn:schemas-microsoft-com:office:smarttags" w:element="country-region">
            <w:r w:rsidRPr="003C7A07">
              <w:rPr>
                <w:rFonts w:cs="Arial"/>
                <w:sz w:val="24"/>
                <w:szCs w:val="24"/>
                <w:lang w:val="en-GB"/>
              </w:rPr>
              <w:t>Norway</w:t>
            </w:r>
          </w:smartTag>
        </w:smartTag>
      </w:smartTag>
      <w:r w:rsidRPr="003C7A07">
        <w:rPr>
          <w:rFonts w:cs="Arial"/>
          <w:sz w:val="24"/>
          <w:szCs w:val="24"/>
          <w:lang w:val="en-GB"/>
        </w:rPr>
        <w:t xml:space="preserve"> has resulted in market prices in the metropolitan area</w:t>
      </w:r>
      <w:r>
        <w:rPr>
          <w:rFonts w:cs="Arial"/>
          <w:sz w:val="24"/>
          <w:szCs w:val="24"/>
          <w:lang w:val="en-GB"/>
        </w:rPr>
        <w:t xml:space="preserve"> (</w:t>
      </w:r>
      <w:proofErr w:type="spellStart"/>
      <w:r>
        <w:rPr>
          <w:rFonts w:cs="Arial"/>
          <w:sz w:val="24"/>
          <w:szCs w:val="24"/>
          <w:lang w:val="en-GB"/>
        </w:rPr>
        <w:t>Medby</w:t>
      </w:r>
      <w:proofErr w:type="spellEnd"/>
      <w:r>
        <w:rPr>
          <w:rFonts w:cs="Arial"/>
          <w:sz w:val="24"/>
          <w:szCs w:val="24"/>
          <w:lang w:val="en-GB"/>
        </w:rPr>
        <w:t xml:space="preserve"> and </w:t>
      </w:r>
      <w:proofErr w:type="spellStart"/>
      <w:r>
        <w:rPr>
          <w:rFonts w:cs="Arial"/>
          <w:sz w:val="24"/>
          <w:szCs w:val="24"/>
          <w:lang w:val="en-GB"/>
        </w:rPr>
        <w:t>Langsether</w:t>
      </w:r>
      <w:proofErr w:type="spellEnd"/>
      <w:r>
        <w:rPr>
          <w:rFonts w:cs="Arial"/>
          <w:sz w:val="24"/>
          <w:szCs w:val="24"/>
          <w:lang w:val="en-GB"/>
        </w:rPr>
        <w:t xml:space="preserve"> 2007)</w:t>
      </w:r>
      <w:r w:rsidRPr="003C7A07">
        <w:rPr>
          <w:rFonts w:cs="Arial"/>
          <w:sz w:val="24"/>
          <w:szCs w:val="24"/>
          <w:lang w:val="en-GB"/>
        </w:rPr>
        <w:t xml:space="preserve">. To survive this rent policy, </w:t>
      </w:r>
      <w:r>
        <w:rPr>
          <w:rFonts w:cs="Arial"/>
          <w:sz w:val="24"/>
          <w:szCs w:val="24"/>
          <w:lang w:val="en-GB"/>
        </w:rPr>
        <w:t xml:space="preserve">tenants </w:t>
      </w:r>
      <w:r w:rsidRPr="003C7A07">
        <w:rPr>
          <w:rFonts w:cs="Arial"/>
          <w:sz w:val="24"/>
          <w:szCs w:val="24"/>
          <w:lang w:val="en-GB"/>
        </w:rPr>
        <w:t>are dependent o</w:t>
      </w:r>
      <w:r>
        <w:rPr>
          <w:rFonts w:cs="Arial"/>
          <w:sz w:val="24"/>
          <w:szCs w:val="24"/>
          <w:lang w:val="en-GB"/>
        </w:rPr>
        <w:t>n</w:t>
      </w:r>
      <w:r w:rsidRPr="003C7A07">
        <w:rPr>
          <w:rFonts w:cs="Arial"/>
          <w:sz w:val="24"/>
          <w:szCs w:val="24"/>
          <w:lang w:val="en-GB"/>
        </w:rPr>
        <w:t xml:space="preserve"> housing allowance, often combined with social allowance. </w:t>
      </w:r>
    </w:p>
    <w:p w:rsidR="00C81166" w:rsidRDefault="00C81166" w:rsidP="00DD2271">
      <w:pPr>
        <w:rPr>
          <w:rFonts w:cs="Arial"/>
          <w:sz w:val="24"/>
          <w:szCs w:val="24"/>
          <w:lang w:val="en-GB"/>
        </w:rPr>
      </w:pPr>
    </w:p>
    <w:p w:rsidR="00C81166" w:rsidRPr="003C7A07" w:rsidRDefault="00C81166" w:rsidP="00DD2271">
      <w:pPr>
        <w:rPr>
          <w:rFonts w:cs="Arial"/>
          <w:sz w:val="24"/>
          <w:szCs w:val="24"/>
          <w:lang w:val="en-GB"/>
        </w:rPr>
      </w:pPr>
      <w:r w:rsidRPr="003C7A07">
        <w:rPr>
          <w:rFonts w:cs="Arial"/>
          <w:sz w:val="24"/>
          <w:szCs w:val="24"/>
          <w:lang w:val="en-GB"/>
        </w:rPr>
        <w:t>Rent</w:t>
      </w:r>
      <w:r>
        <w:rPr>
          <w:rFonts w:cs="Arial"/>
          <w:sz w:val="24"/>
          <w:szCs w:val="24"/>
          <w:lang w:val="en-GB"/>
        </w:rPr>
        <w:t>s, which are</w:t>
      </w:r>
      <w:r w:rsidRPr="003C7A07">
        <w:rPr>
          <w:rFonts w:cs="Arial"/>
          <w:sz w:val="24"/>
          <w:szCs w:val="24"/>
          <w:lang w:val="en-GB"/>
        </w:rPr>
        <w:t xml:space="preserve"> below market rents</w:t>
      </w:r>
      <w:r>
        <w:rPr>
          <w:rFonts w:cs="Arial"/>
          <w:sz w:val="24"/>
          <w:szCs w:val="24"/>
          <w:lang w:val="en-GB"/>
        </w:rPr>
        <w:t xml:space="preserve"> in the private renting sector in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 xml:space="preserve"> (only in the more urbanised areas), may make these dwellings more affordable.</w:t>
      </w:r>
      <w:r w:rsidRPr="003C7A07">
        <w:rPr>
          <w:rFonts w:cs="Arial"/>
          <w:sz w:val="24"/>
          <w:szCs w:val="24"/>
          <w:lang w:val="en-GB"/>
        </w:rPr>
        <w:t xml:space="preserve"> This is especially the case in Denmark, but rents are </w:t>
      </w:r>
      <w:proofErr w:type="gramStart"/>
      <w:r w:rsidRPr="003C7A07">
        <w:rPr>
          <w:rFonts w:cs="Arial"/>
          <w:sz w:val="24"/>
          <w:szCs w:val="24"/>
          <w:lang w:val="en-GB"/>
        </w:rPr>
        <w:t>very</w:t>
      </w:r>
      <w:proofErr w:type="gramEnd"/>
      <w:r w:rsidRPr="003C7A07">
        <w:rPr>
          <w:rFonts w:cs="Arial"/>
          <w:sz w:val="24"/>
          <w:szCs w:val="24"/>
          <w:lang w:val="en-GB"/>
        </w:rPr>
        <w:t xml:space="preserve"> differentiated with very low rents in part of the market and </w:t>
      </w:r>
      <w:r w:rsidR="00681BD7" w:rsidRPr="003C7A07">
        <w:rPr>
          <w:rFonts w:cs="Arial"/>
          <w:sz w:val="24"/>
          <w:szCs w:val="24"/>
          <w:lang w:val="en-GB"/>
        </w:rPr>
        <w:t xml:space="preserve">at the same time </w:t>
      </w:r>
      <w:r w:rsidRPr="003C7A07">
        <w:rPr>
          <w:rFonts w:cs="Arial"/>
          <w:sz w:val="24"/>
          <w:szCs w:val="24"/>
          <w:lang w:val="en-GB"/>
        </w:rPr>
        <w:t xml:space="preserve">very high rents in others. </w:t>
      </w:r>
      <w:r>
        <w:rPr>
          <w:rFonts w:cs="Arial"/>
          <w:sz w:val="24"/>
          <w:szCs w:val="24"/>
          <w:lang w:val="en-GB"/>
        </w:rPr>
        <w:t xml:space="preserve">Earlier </w:t>
      </w:r>
      <w:r w:rsidRPr="003C7A07">
        <w:rPr>
          <w:rFonts w:cs="Arial"/>
          <w:sz w:val="24"/>
          <w:szCs w:val="24"/>
          <w:lang w:val="en-GB"/>
        </w:rPr>
        <w:t xml:space="preserve">lower prices on co-operatives in </w:t>
      </w:r>
      <w:smartTag w:uri="urn:schemas-microsoft-com:office:smarttags" w:element="City">
        <w:smartTag w:uri="urn:schemas-microsoft-com:office:smarttags" w:element="place">
          <w:smartTag w:uri="urn:schemas-microsoft-com:office:smarttags" w:element="country-region">
            <w:r w:rsidRPr="003C7A07">
              <w:rPr>
                <w:rFonts w:cs="Arial"/>
                <w:sz w:val="24"/>
                <w:szCs w:val="24"/>
                <w:lang w:val="en-GB"/>
              </w:rPr>
              <w:t>Denmark</w:t>
            </w:r>
          </w:smartTag>
        </w:smartTag>
      </w:smartTag>
      <w:r w:rsidRPr="003C7A07">
        <w:rPr>
          <w:rFonts w:cs="Arial"/>
          <w:sz w:val="24"/>
          <w:szCs w:val="24"/>
          <w:lang w:val="en-GB"/>
        </w:rPr>
        <w:t xml:space="preserve"> </w:t>
      </w:r>
      <w:r>
        <w:rPr>
          <w:rFonts w:cs="Arial"/>
          <w:sz w:val="24"/>
          <w:szCs w:val="24"/>
          <w:lang w:val="en-GB"/>
        </w:rPr>
        <w:t>made them more affordable, but in recent years, prices have increased to market levels in parts of the stock.</w:t>
      </w:r>
    </w:p>
    <w:p w:rsidR="00C81166" w:rsidRPr="003C7A07" w:rsidRDefault="00C81166" w:rsidP="00DD2271">
      <w:pPr>
        <w:rPr>
          <w:rFonts w:cs="Arial"/>
          <w:sz w:val="24"/>
          <w:szCs w:val="24"/>
          <w:lang w:val="en-GB"/>
        </w:rPr>
      </w:pPr>
    </w:p>
    <w:p w:rsidR="00C81166" w:rsidRPr="00610DA3" w:rsidRDefault="00C81166" w:rsidP="00A36DB6">
      <w:pPr>
        <w:rPr>
          <w:rFonts w:cs="Arial"/>
          <w:sz w:val="24"/>
          <w:szCs w:val="24"/>
          <w:lang w:val="en-GB"/>
        </w:rPr>
      </w:pPr>
      <w:r w:rsidRPr="003C7A07">
        <w:rPr>
          <w:rFonts w:cs="Arial"/>
          <w:sz w:val="24"/>
          <w:szCs w:val="24"/>
          <w:lang w:val="en-GB"/>
        </w:rPr>
        <w:t xml:space="preserve">Affordability </w:t>
      </w:r>
      <w:r>
        <w:rPr>
          <w:rFonts w:cs="Arial"/>
          <w:sz w:val="24"/>
          <w:szCs w:val="24"/>
          <w:lang w:val="en-GB"/>
        </w:rPr>
        <w:t xml:space="preserve">in owner-occupied housing </w:t>
      </w:r>
      <w:r w:rsidRPr="003C7A07">
        <w:rPr>
          <w:rFonts w:cs="Arial"/>
          <w:sz w:val="24"/>
          <w:szCs w:val="24"/>
          <w:lang w:val="en-GB"/>
        </w:rPr>
        <w:t xml:space="preserve">depends on property prices, finance systems, tax support and supply support. </w:t>
      </w:r>
      <w:r>
        <w:rPr>
          <w:rFonts w:cs="Arial"/>
          <w:sz w:val="24"/>
          <w:szCs w:val="24"/>
          <w:lang w:val="en-GB"/>
        </w:rPr>
        <w:t xml:space="preserve">Subsidies and state guaranties </w:t>
      </w:r>
      <w:r w:rsidR="00945E77">
        <w:rPr>
          <w:rFonts w:cs="Arial"/>
          <w:sz w:val="24"/>
          <w:szCs w:val="24"/>
          <w:lang w:val="en-GB"/>
        </w:rPr>
        <w:t xml:space="preserve">for loans </w:t>
      </w:r>
      <w:r>
        <w:rPr>
          <w:rFonts w:cs="Arial"/>
          <w:sz w:val="24"/>
          <w:szCs w:val="24"/>
          <w:lang w:val="en-GB"/>
        </w:rPr>
        <w:t xml:space="preserve">make it easier for first time buyers and low-income groups to acquire a home in </w:t>
      </w:r>
      <w:smartTag w:uri="urn:schemas-microsoft-com:office:smarttags" w:element="City">
        <w:smartTag w:uri="urn:schemas-microsoft-com:office:smarttags" w:element="country-region">
          <w:r>
            <w:rPr>
              <w:rFonts w:cs="Arial"/>
              <w:sz w:val="24"/>
              <w:szCs w:val="24"/>
              <w:lang w:val="en-GB"/>
            </w:rPr>
            <w:t>Norway</w:t>
          </w:r>
        </w:smartTag>
      </w:smartTag>
      <w:r>
        <w:rPr>
          <w:rFonts w:cs="Arial"/>
          <w:sz w:val="24"/>
          <w:szCs w:val="24"/>
          <w:lang w:val="en-GB"/>
        </w:rPr>
        <w:t xml:space="preserve">,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 xml:space="preserve">. Low-income home-owners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also benefit from housing allowance. </w:t>
      </w:r>
      <w:r w:rsidR="002371BD">
        <w:rPr>
          <w:rFonts w:cs="Arial"/>
          <w:sz w:val="24"/>
          <w:szCs w:val="24"/>
          <w:lang w:val="en-GB"/>
        </w:rPr>
        <w:t>However, n</w:t>
      </w:r>
      <w:r>
        <w:rPr>
          <w:rFonts w:cs="Arial"/>
          <w:sz w:val="24"/>
          <w:szCs w:val="24"/>
          <w:lang w:val="en-GB"/>
        </w:rPr>
        <w:t>ew research document</w:t>
      </w:r>
      <w:r w:rsidR="002371BD">
        <w:rPr>
          <w:rFonts w:cs="Arial"/>
          <w:sz w:val="24"/>
          <w:szCs w:val="24"/>
          <w:lang w:val="en-GB"/>
        </w:rPr>
        <w:t>s</w:t>
      </w:r>
      <w:r>
        <w:rPr>
          <w:rFonts w:cs="Arial"/>
          <w:sz w:val="24"/>
          <w:szCs w:val="24"/>
          <w:lang w:val="en-GB"/>
        </w:rPr>
        <w:t xml:space="preserve"> that twice as many of the immigrant population have debts three times their yearly income, compared </w:t>
      </w:r>
      <w:r w:rsidR="002371BD">
        <w:rPr>
          <w:rFonts w:cs="Arial"/>
          <w:sz w:val="24"/>
          <w:szCs w:val="24"/>
          <w:lang w:val="en-GB"/>
        </w:rPr>
        <w:t>with</w:t>
      </w:r>
      <w:r>
        <w:rPr>
          <w:rFonts w:cs="Arial"/>
          <w:sz w:val="24"/>
          <w:szCs w:val="24"/>
          <w:lang w:val="en-GB"/>
        </w:rPr>
        <w:t xml:space="preserve"> the whole population (</w:t>
      </w:r>
      <w:proofErr w:type="spellStart"/>
      <w:r>
        <w:rPr>
          <w:rFonts w:cs="Arial"/>
          <w:sz w:val="24"/>
          <w:szCs w:val="24"/>
          <w:lang w:val="en-GB"/>
        </w:rPr>
        <w:t>Ellingsen</w:t>
      </w:r>
      <w:proofErr w:type="spellEnd"/>
      <w:r>
        <w:rPr>
          <w:rFonts w:cs="Arial"/>
          <w:sz w:val="24"/>
          <w:szCs w:val="24"/>
          <w:lang w:val="en-GB"/>
        </w:rPr>
        <w:t xml:space="preserve">, </w:t>
      </w:r>
      <w:r>
        <w:rPr>
          <w:rFonts w:cs="Arial"/>
          <w:sz w:val="24"/>
          <w:szCs w:val="24"/>
          <w:lang w:val="en-GB"/>
        </w:rPr>
        <w:lastRenderedPageBreak/>
        <w:t xml:space="preserve">2011). Combined with the fact that immigrants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have a </w:t>
      </w:r>
      <w:r w:rsidR="00DC683F">
        <w:rPr>
          <w:rFonts w:cs="Arial"/>
          <w:sz w:val="24"/>
          <w:szCs w:val="24"/>
          <w:lang w:val="en-GB"/>
        </w:rPr>
        <w:t>large</w:t>
      </w:r>
      <w:r w:rsidR="002371BD">
        <w:rPr>
          <w:rFonts w:cs="Arial"/>
          <w:sz w:val="24"/>
          <w:szCs w:val="24"/>
          <w:lang w:val="en-GB"/>
        </w:rPr>
        <w:t xml:space="preserve"> </w:t>
      </w:r>
      <w:r>
        <w:rPr>
          <w:rFonts w:cs="Arial"/>
          <w:sz w:val="24"/>
          <w:szCs w:val="24"/>
          <w:lang w:val="en-GB"/>
        </w:rPr>
        <w:t xml:space="preserve">share of ownership, the high </w:t>
      </w:r>
      <w:r w:rsidR="002371BD">
        <w:rPr>
          <w:rFonts w:cs="Arial"/>
          <w:sz w:val="24"/>
          <w:szCs w:val="24"/>
          <w:lang w:val="en-GB"/>
        </w:rPr>
        <w:t xml:space="preserve">rate of </w:t>
      </w:r>
      <w:r>
        <w:rPr>
          <w:rFonts w:cs="Arial"/>
          <w:sz w:val="24"/>
          <w:szCs w:val="24"/>
          <w:lang w:val="en-GB"/>
        </w:rPr>
        <w:t xml:space="preserve">borrowing can be interpreted as lack of rental housing, little attractive conditions in the rental market, and a push to enter the owner’s market to get a satisfactory home. </w:t>
      </w:r>
    </w:p>
    <w:p w:rsidR="00C81166" w:rsidRDefault="00C81166" w:rsidP="008C157E">
      <w:pPr>
        <w:pStyle w:val="Overskrift3"/>
        <w:rPr>
          <w:lang w:val="en-GB"/>
        </w:rPr>
      </w:pPr>
      <w:r>
        <w:rPr>
          <w:lang w:val="en-GB"/>
        </w:rPr>
        <w:t xml:space="preserve">Income inequalities on </w:t>
      </w:r>
      <w:r w:rsidR="008C1BC5">
        <w:rPr>
          <w:lang w:val="en-GB"/>
        </w:rPr>
        <w:t>four</w:t>
      </w:r>
      <w:r w:rsidR="003C5EB3">
        <w:rPr>
          <w:lang w:val="en-GB"/>
        </w:rPr>
        <w:t xml:space="preserve"> </w:t>
      </w:r>
      <w:r>
        <w:rPr>
          <w:lang w:val="en-GB"/>
        </w:rPr>
        <w:t>Nordic housing markets</w:t>
      </w:r>
    </w:p>
    <w:p w:rsidR="00C81166" w:rsidRDefault="00C81166" w:rsidP="008C157E">
      <w:pPr>
        <w:rPr>
          <w:sz w:val="24"/>
          <w:szCs w:val="24"/>
          <w:lang w:val="en-GB"/>
        </w:rPr>
      </w:pPr>
      <w:r w:rsidRPr="005660D3">
        <w:rPr>
          <w:sz w:val="24"/>
          <w:szCs w:val="24"/>
          <w:lang w:val="en-GB"/>
        </w:rPr>
        <w:t>Immigrants tend to have lower incomes than the rest of the population</w:t>
      </w:r>
      <w:r>
        <w:rPr>
          <w:sz w:val="24"/>
          <w:szCs w:val="24"/>
          <w:lang w:val="en-GB"/>
        </w:rPr>
        <w:t>. T</w:t>
      </w:r>
      <w:r w:rsidRPr="005660D3">
        <w:rPr>
          <w:sz w:val="24"/>
          <w:szCs w:val="24"/>
          <w:lang w:val="en-GB"/>
        </w:rPr>
        <w:t xml:space="preserve">he housing situation of immigrants can thus partly be explained by differences in </w:t>
      </w:r>
      <w:r w:rsidR="008C1BC5">
        <w:rPr>
          <w:sz w:val="24"/>
          <w:szCs w:val="24"/>
          <w:lang w:val="en-GB"/>
        </w:rPr>
        <w:t xml:space="preserve">the </w:t>
      </w:r>
      <w:r w:rsidRPr="005660D3">
        <w:rPr>
          <w:sz w:val="24"/>
          <w:szCs w:val="24"/>
          <w:lang w:val="en-GB"/>
        </w:rPr>
        <w:t xml:space="preserve">housing situation of different income groups in </w:t>
      </w:r>
      <w:r w:rsidRPr="005151D7">
        <w:rPr>
          <w:sz w:val="24"/>
          <w:szCs w:val="24"/>
          <w:lang w:val="en-GB"/>
        </w:rPr>
        <w:t>the</w:t>
      </w:r>
      <w:r w:rsidRPr="005660D3">
        <w:rPr>
          <w:sz w:val="24"/>
          <w:szCs w:val="24"/>
          <w:lang w:val="en-GB"/>
        </w:rPr>
        <w:t xml:space="preserve"> </w:t>
      </w:r>
      <w:r w:rsidR="0018732A">
        <w:rPr>
          <w:sz w:val="24"/>
          <w:szCs w:val="24"/>
          <w:lang w:val="en-GB"/>
        </w:rPr>
        <w:t>various</w:t>
      </w:r>
      <w:r w:rsidR="003C5EB3">
        <w:rPr>
          <w:sz w:val="24"/>
          <w:szCs w:val="24"/>
          <w:lang w:val="en-GB"/>
        </w:rPr>
        <w:t xml:space="preserve"> </w:t>
      </w:r>
      <w:r w:rsidRPr="005660D3">
        <w:rPr>
          <w:sz w:val="24"/>
          <w:szCs w:val="24"/>
          <w:lang w:val="en-GB"/>
        </w:rPr>
        <w:t xml:space="preserve">countries. In the following we will look at these differences described by </w:t>
      </w:r>
      <w:r>
        <w:rPr>
          <w:sz w:val="24"/>
          <w:szCs w:val="24"/>
          <w:lang w:val="en-GB"/>
        </w:rPr>
        <w:t xml:space="preserve">the extent of tenure segmentation and </w:t>
      </w:r>
      <w:r w:rsidRPr="005660D3">
        <w:rPr>
          <w:sz w:val="24"/>
          <w:szCs w:val="24"/>
          <w:lang w:val="en-GB"/>
        </w:rPr>
        <w:t>differences in</w:t>
      </w:r>
      <w:r>
        <w:rPr>
          <w:sz w:val="24"/>
          <w:szCs w:val="24"/>
          <w:lang w:val="en-GB"/>
        </w:rPr>
        <w:t xml:space="preserve"> overcrowding </w:t>
      </w:r>
      <w:r w:rsidRPr="005660D3">
        <w:rPr>
          <w:sz w:val="24"/>
          <w:szCs w:val="24"/>
          <w:lang w:val="en-GB"/>
        </w:rPr>
        <w:t>between income groups</w:t>
      </w:r>
      <w:r>
        <w:rPr>
          <w:sz w:val="24"/>
          <w:szCs w:val="24"/>
          <w:lang w:val="en-GB"/>
        </w:rPr>
        <w:t>.</w:t>
      </w:r>
    </w:p>
    <w:p w:rsidR="00C81166" w:rsidRDefault="00C81166" w:rsidP="008C157E">
      <w:pPr>
        <w:rPr>
          <w:sz w:val="24"/>
          <w:szCs w:val="24"/>
          <w:lang w:val="en-GB"/>
        </w:rPr>
      </w:pPr>
    </w:p>
    <w:p w:rsidR="00C81166" w:rsidRPr="0052166E" w:rsidRDefault="00C81166" w:rsidP="008C157E">
      <w:pPr>
        <w:rPr>
          <w:i/>
          <w:sz w:val="24"/>
          <w:szCs w:val="24"/>
          <w:lang w:val="en-GB"/>
        </w:rPr>
      </w:pPr>
      <w:r w:rsidRPr="0052166E">
        <w:rPr>
          <w:i/>
          <w:sz w:val="24"/>
          <w:szCs w:val="24"/>
          <w:lang w:val="en-GB"/>
        </w:rPr>
        <w:t>Income segmentation of the housing market</w:t>
      </w:r>
    </w:p>
    <w:p w:rsidR="00C81166" w:rsidRPr="00D92085" w:rsidRDefault="00C81166" w:rsidP="008C157E">
      <w:pPr>
        <w:rPr>
          <w:sz w:val="24"/>
          <w:szCs w:val="24"/>
          <w:lang w:val="en-GB"/>
        </w:rPr>
      </w:pPr>
      <w:r>
        <w:rPr>
          <w:sz w:val="24"/>
          <w:szCs w:val="24"/>
          <w:lang w:val="en-GB"/>
        </w:rPr>
        <w:t xml:space="preserve">It </w:t>
      </w:r>
      <w:r w:rsidRPr="00AB2997">
        <w:rPr>
          <w:sz w:val="24"/>
          <w:szCs w:val="24"/>
          <w:lang w:val="en-GB"/>
        </w:rPr>
        <w:t xml:space="preserve">has been difficult to obtain comparable data on income segmentation in the </w:t>
      </w:r>
      <w:r w:rsidR="0018732A">
        <w:rPr>
          <w:sz w:val="24"/>
          <w:szCs w:val="24"/>
          <w:lang w:val="en-GB"/>
        </w:rPr>
        <w:t xml:space="preserve">various </w:t>
      </w:r>
      <w:r w:rsidRPr="00AB2997">
        <w:rPr>
          <w:sz w:val="24"/>
          <w:szCs w:val="24"/>
          <w:lang w:val="en-GB"/>
        </w:rPr>
        <w:t xml:space="preserve">countries. In </w:t>
      </w:r>
      <w:r w:rsidR="008C1BC5">
        <w:rPr>
          <w:sz w:val="24"/>
          <w:szCs w:val="24"/>
          <w:lang w:val="en-GB"/>
        </w:rPr>
        <w:t>T</w:t>
      </w:r>
      <w:r w:rsidR="0018676A">
        <w:rPr>
          <w:sz w:val="24"/>
          <w:szCs w:val="24"/>
          <w:lang w:val="en-GB"/>
        </w:rPr>
        <w:t>able 4</w:t>
      </w:r>
      <w:r>
        <w:rPr>
          <w:sz w:val="24"/>
          <w:szCs w:val="24"/>
          <w:lang w:val="en-GB"/>
        </w:rPr>
        <w:t xml:space="preserve"> </w:t>
      </w:r>
      <w:r w:rsidRPr="00AB2997">
        <w:rPr>
          <w:sz w:val="24"/>
          <w:szCs w:val="24"/>
          <w:lang w:val="en-GB"/>
        </w:rPr>
        <w:t xml:space="preserve">the proportion of homeowners in different </w:t>
      </w:r>
      <w:r>
        <w:rPr>
          <w:sz w:val="24"/>
          <w:szCs w:val="24"/>
          <w:lang w:val="en-GB"/>
        </w:rPr>
        <w:t>income quar</w:t>
      </w:r>
      <w:r w:rsidR="0018676A">
        <w:rPr>
          <w:sz w:val="24"/>
          <w:szCs w:val="24"/>
          <w:lang w:val="en-GB"/>
        </w:rPr>
        <w:t xml:space="preserve">tiles is compared, while </w:t>
      </w:r>
      <w:r w:rsidR="008C1BC5">
        <w:rPr>
          <w:sz w:val="24"/>
          <w:szCs w:val="24"/>
          <w:lang w:val="en-GB"/>
        </w:rPr>
        <w:t>T</w:t>
      </w:r>
      <w:r w:rsidR="0018676A">
        <w:rPr>
          <w:sz w:val="24"/>
          <w:szCs w:val="24"/>
          <w:lang w:val="en-GB"/>
        </w:rPr>
        <w:t>able 5</w:t>
      </w:r>
      <w:r>
        <w:rPr>
          <w:sz w:val="24"/>
          <w:szCs w:val="24"/>
          <w:lang w:val="en-GB"/>
        </w:rPr>
        <w:t xml:space="preserve"> compare</w:t>
      </w:r>
      <w:r w:rsidR="00681BD7">
        <w:rPr>
          <w:sz w:val="24"/>
          <w:szCs w:val="24"/>
          <w:lang w:val="en-GB"/>
        </w:rPr>
        <w:t>s</w:t>
      </w:r>
      <w:r>
        <w:rPr>
          <w:sz w:val="24"/>
          <w:szCs w:val="24"/>
          <w:lang w:val="en-GB"/>
        </w:rPr>
        <w:t xml:space="preserve"> the average personal incomes in the different tenures. Based on these figures</w:t>
      </w:r>
      <w:r w:rsidR="00681BD7">
        <w:rPr>
          <w:sz w:val="24"/>
          <w:szCs w:val="24"/>
          <w:lang w:val="en-GB"/>
        </w:rPr>
        <w:t>,</w:t>
      </w:r>
      <w:r>
        <w:rPr>
          <w:sz w:val="24"/>
          <w:szCs w:val="24"/>
          <w:lang w:val="en-GB"/>
        </w:rPr>
        <w:t xml:space="preserve"> two in</w:t>
      </w:r>
      <w:r w:rsidR="00681BD7">
        <w:rPr>
          <w:sz w:val="24"/>
          <w:szCs w:val="24"/>
          <w:lang w:val="en-GB"/>
        </w:rPr>
        <w:t>dices of income segmentation have</w:t>
      </w:r>
      <w:r>
        <w:rPr>
          <w:sz w:val="24"/>
          <w:szCs w:val="24"/>
          <w:lang w:val="en-GB"/>
        </w:rPr>
        <w:t xml:space="preserve"> been calculated as shown </w:t>
      </w:r>
      <w:r w:rsidR="00681BD7">
        <w:rPr>
          <w:sz w:val="24"/>
          <w:szCs w:val="24"/>
          <w:lang w:val="en-GB"/>
        </w:rPr>
        <w:t>at</w:t>
      </w:r>
      <w:r>
        <w:rPr>
          <w:sz w:val="24"/>
          <w:szCs w:val="24"/>
          <w:lang w:val="en-GB"/>
        </w:rPr>
        <w:t xml:space="preserve"> the bottom of each table. </w:t>
      </w:r>
      <w:r w:rsidR="00681BD7">
        <w:rPr>
          <w:sz w:val="24"/>
          <w:szCs w:val="24"/>
          <w:lang w:val="en-GB"/>
        </w:rPr>
        <w:t>T</w:t>
      </w:r>
      <w:r w:rsidR="0018676A">
        <w:rPr>
          <w:sz w:val="24"/>
          <w:szCs w:val="24"/>
          <w:lang w:val="en-GB"/>
        </w:rPr>
        <w:t xml:space="preserve">able </w:t>
      </w:r>
      <w:r w:rsidR="00681BD7">
        <w:rPr>
          <w:sz w:val="24"/>
          <w:szCs w:val="24"/>
          <w:lang w:val="en-GB"/>
        </w:rPr>
        <w:t>4</w:t>
      </w:r>
      <w:r>
        <w:rPr>
          <w:sz w:val="24"/>
          <w:szCs w:val="24"/>
          <w:lang w:val="en-GB"/>
        </w:rPr>
        <w:t xml:space="preserve"> shows to what extent households in</w:t>
      </w:r>
      <w:r w:rsidR="008C1BC5">
        <w:rPr>
          <w:sz w:val="24"/>
          <w:szCs w:val="24"/>
          <w:lang w:val="en-GB"/>
        </w:rPr>
        <w:t xml:space="preserve"> </w:t>
      </w:r>
      <w:proofErr w:type="gramStart"/>
      <w:r w:rsidR="008C1BC5" w:rsidRPr="00661B7C">
        <w:rPr>
          <w:sz w:val="24"/>
          <w:szCs w:val="24"/>
          <w:lang w:val="en-GB"/>
        </w:rPr>
        <w:t>different</w:t>
      </w:r>
      <w:r w:rsidR="005151D7">
        <w:rPr>
          <w:sz w:val="24"/>
          <w:szCs w:val="24"/>
          <w:highlight w:val="yellow"/>
          <w:lang w:val="en-GB"/>
        </w:rPr>
        <w:t xml:space="preserve"> </w:t>
      </w:r>
      <w:r>
        <w:rPr>
          <w:sz w:val="24"/>
          <w:szCs w:val="24"/>
          <w:lang w:val="en-GB"/>
        </w:rPr>
        <w:t xml:space="preserve"> income</w:t>
      </w:r>
      <w:proofErr w:type="gramEnd"/>
      <w:r>
        <w:rPr>
          <w:sz w:val="24"/>
          <w:szCs w:val="24"/>
          <w:lang w:val="en-GB"/>
        </w:rPr>
        <w:t xml:space="preserve"> groups are </w:t>
      </w:r>
      <w:r w:rsidRPr="00661B7C">
        <w:rPr>
          <w:sz w:val="24"/>
          <w:szCs w:val="24"/>
          <w:lang w:val="en-GB"/>
        </w:rPr>
        <w:t>separated</w:t>
      </w:r>
      <w:r>
        <w:rPr>
          <w:sz w:val="24"/>
          <w:szCs w:val="24"/>
          <w:lang w:val="en-GB"/>
        </w:rPr>
        <w:t xml:space="preserve"> between </w:t>
      </w:r>
      <w:r w:rsidR="005151D7">
        <w:rPr>
          <w:sz w:val="24"/>
          <w:szCs w:val="24"/>
          <w:lang w:val="en-GB"/>
        </w:rPr>
        <w:t xml:space="preserve"> </w:t>
      </w:r>
      <w:r>
        <w:rPr>
          <w:sz w:val="24"/>
          <w:szCs w:val="24"/>
          <w:lang w:val="en-GB"/>
        </w:rPr>
        <w:t>owning an</w:t>
      </w:r>
      <w:r w:rsidR="0018676A">
        <w:rPr>
          <w:sz w:val="24"/>
          <w:szCs w:val="24"/>
          <w:lang w:val="en-GB"/>
        </w:rPr>
        <w:t xml:space="preserve">d renting. </w:t>
      </w:r>
      <w:r w:rsidR="008C1BC5">
        <w:rPr>
          <w:sz w:val="24"/>
          <w:szCs w:val="24"/>
          <w:lang w:val="en-GB"/>
        </w:rPr>
        <w:t>T</w:t>
      </w:r>
      <w:r w:rsidR="0018676A">
        <w:rPr>
          <w:sz w:val="24"/>
          <w:szCs w:val="24"/>
          <w:lang w:val="en-GB"/>
        </w:rPr>
        <w:t>able 5</w:t>
      </w:r>
      <w:r w:rsidR="00661B7C">
        <w:rPr>
          <w:sz w:val="24"/>
          <w:szCs w:val="24"/>
          <w:lang w:val="en-GB"/>
        </w:rPr>
        <w:t xml:space="preserve"> </w:t>
      </w:r>
      <w:proofErr w:type="gramStart"/>
      <w:r w:rsidR="008C1BC5">
        <w:rPr>
          <w:sz w:val="24"/>
          <w:szCs w:val="24"/>
          <w:lang w:val="en-GB"/>
        </w:rPr>
        <w:t xml:space="preserve">shows </w:t>
      </w:r>
      <w:r>
        <w:rPr>
          <w:sz w:val="24"/>
          <w:szCs w:val="24"/>
          <w:lang w:val="en-GB"/>
        </w:rPr>
        <w:t xml:space="preserve"> to</w:t>
      </w:r>
      <w:proofErr w:type="gramEnd"/>
      <w:r>
        <w:rPr>
          <w:sz w:val="24"/>
          <w:szCs w:val="24"/>
          <w:lang w:val="en-GB"/>
        </w:rPr>
        <w:t xml:space="preserve"> what extent </w:t>
      </w:r>
      <w:r w:rsidR="008C1BC5">
        <w:rPr>
          <w:sz w:val="24"/>
          <w:szCs w:val="24"/>
          <w:lang w:val="en-GB"/>
        </w:rPr>
        <w:t xml:space="preserve">measures of </w:t>
      </w:r>
      <w:r>
        <w:rPr>
          <w:sz w:val="24"/>
          <w:szCs w:val="24"/>
          <w:lang w:val="en-GB"/>
        </w:rPr>
        <w:t>personal income diverge between different tenures.</w:t>
      </w:r>
    </w:p>
    <w:p w:rsidR="00C81166" w:rsidRDefault="00C81166" w:rsidP="008C157E">
      <w:pPr>
        <w:rPr>
          <w:lang w:val="en-GB"/>
        </w:rPr>
      </w:pPr>
    </w:p>
    <w:p w:rsidR="00C81166" w:rsidRDefault="0018676A" w:rsidP="008C157E">
      <w:pPr>
        <w:rPr>
          <w:lang w:val="en-GB"/>
        </w:rPr>
      </w:pPr>
      <w:r>
        <w:rPr>
          <w:lang w:val="en-GB"/>
        </w:rPr>
        <w:t>(Table 4</w:t>
      </w:r>
      <w:r w:rsidR="00C81166">
        <w:rPr>
          <w:lang w:val="en-GB"/>
        </w:rPr>
        <w:t>)</w:t>
      </w:r>
    </w:p>
    <w:p w:rsidR="00C81166" w:rsidRDefault="0018676A" w:rsidP="008C157E">
      <w:pPr>
        <w:rPr>
          <w:lang w:val="en-GB"/>
        </w:rPr>
      </w:pPr>
      <w:r>
        <w:rPr>
          <w:lang w:val="en-GB"/>
        </w:rPr>
        <w:t>(Table 5</w:t>
      </w:r>
      <w:r w:rsidR="00C81166">
        <w:rPr>
          <w:lang w:val="en-GB"/>
        </w:rPr>
        <w:t>)</w:t>
      </w:r>
    </w:p>
    <w:p w:rsidR="00C81166" w:rsidRPr="007D643F" w:rsidRDefault="00C81166" w:rsidP="008C157E">
      <w:pPr>
        <w:rPr>
          <w:rFonts w:cs="Arial"/>
          <w:sz w:val="24"/>
          <w:szCs w:val="24"/>
          <w:lang w:val="en-GB"/>
        </w:rPr>
      </w:pPr>
    </w:p>
    <w:p w:rsidR="00C81166" w:rsidRDefault="0018676A" w:rsidP="008C157E">
      <w:pPr>
        <w:rPr>
          <w:rFonts w:cs="Arial"/>
          <w:sz w:val="24"/>
          <w:szCs w:val="24"/>
          <w:lang w:val="en-GB"/>
        </w:rPr>
      </w:pPr>
      <w:r>
        <w:rPr>
          <w:rFonts w:cs="Arial"/>
          <w:sz w:val="24"/>
          <w:szCs w:val="24"/>
          <w:lang w:val="en-GB"/>
        </w:rPr>
        <w:t>Table 4</w:t>
      </w:r>
      <w:r w:rsidR="00C81166">
        <w:rPr>
          <w:rFonts w:cs="Arial"/>
          <w:sz w:val="24"/>
          <w:szCs w:val="24"/>
          <w:lang w:val="en-GB"/>
        </w:rPr>
        <w:t xml:space="preserve"> shows that a much lower proportion of the</w:t>
      </w:r>
      <w:r w:rsidR="00A14D18">
        <w:rPr>
          <w:rFonts w:cs="Arial"/>
          <w:sz w:val="24"/>
          <w:szCs w:val="24"/>
          <w:lang w:val="en-GB"/>
        </w:rPr>
        <w:t xml:space="preserve"> households in the</w:t>
      </w:r>
      <w:r w:rsidR="00C81166">
        <w:rPr>
          <w:rFonts w:cs="Arial"/>
          <w:sz w:val="24"/>
          <w:szCs w:val="24"/>
          <w:lang w:val="en-GB"/>
        </w:rPr>
        <w:t xml:space="preserve"> lowest household income quartile in Norway</w:t>
      </w:r>
      <w:r w:rsidR="00A14D18">
        <w:rPr>
          <w:rFonts w:cs="Arial"/>
          <w:sz w:val="24"/>
          <w:szCs w:val="24"/>
          <w:lang w:val="en-GB"/>
        </w:rPr>
        <w:t xml:space="preserve"> are</w:t>
      </w:r>
      <w:r w:rsidR="00C81166">
        <w:rPr>
          <w:rFonts w:cs="Arial"/>
          <w:sz w:val="24"/>
          <w:szCs w:val="24"/>
          <w:lang w:val="en-GB"/>
        </w:rPr>
        <w:t xml:space="preserve"> homeowners compared </w:t>
      </w:r>
      <w:r w:rsidR="008C1BC5">
        <w:rPr>
          <w:rFonts w:cs="Arial"/>
          <w:sz w:val="24"/>
          <w:szCs w:val="24"/>
          <w:lang w:val="en-GB"/>
        </w:rPr>
        <w:t>with</w:t>
      </w:r>
      <w:r w:rsidR="00C81166">
        <w:rPr>
          <w:rFonts w:cs="Arial"/>
          <w:sz w:val="24"/>
          <w:szCs w:val="24"/>
          <w:lang w:val="en-GB"/>
        </w:rPr>
        <w:t xml:space="preserve"> the other countries. In the highest income quartile</w:t>
      </w:r>
      <w:r w:rsidR="008C1BC5">
        <w:rPr>
          <w:rFonts w:cs="Arial"/>
          <w:sz w:val="24"/>
          <w:szCs w:val="24"/>
          <w:lang w:val="en-GB"/>
        </w:rPr>
        <w:t>,</w:t>
      </w:r>
      <w:r w:rsidR="00C81166">
        <w:rPr>
          <w:rFonts w:cs="Arial"/>
          <w:sz w:val="24"/>
          <w:szCs w:val="24"/>
          <w:lang w:val="en-GB"/>
        </w:rPr>
        <w:t xml:space="preserve"> the proportion is higher. The calculated </w:t>
      </w:r>
      <w:r>
        <w:rPr>
          <w:rFonts w:cs="Arial"/>
          <w:sz w:val="24"/>
          <w:szCs w:val="24"/>
          <w:lang w:val="en-GB"/>
        </w:rPr>
        <w:t>index of segmentation in Table 4</w:t>
      </w:r>
      <w:r w:rsidR="00C81166">
        <w:rPr>
          <w:rFonts w:cs="Arial"/>
          <w:sz w:val="24"/>
          <w:szCs w:val="24"/>
          <w:lang w:val="en-GB"/>
        </w:rPr>
        <w:t xml:space="preserve"> is much higher in Norway than in th</w:t>
      </w:r>
      <w:r>
        <w:rPr>
          <w:rFonts w:cs="Arial"/>
          <w:sz w:val="24"/>
          <w:szCs w:val="24"/>
          <w:lang w:val="en-GB"/>
        </w:rPr>
        <w:t>e other three countries. Table 5</w:t>
      </w:r>
      <w:r w:rsidR="00C81166">
        <w:rPr>
          <w:rFonts w:cs="Arial"/>
          <w:sz w:val="24"/>
          <w:szCs w:val="24"/>
          <w:lang w:val="en-GB"/>
        </w:rPr>
        <w:t xml:space="preserve"> also shows that the personal incomes in rented housing are relatively lower in Norway than in the other countries. </w:t>
      </w:r>
      <w:r w:rsidR="00681BD7">
        <w:rPr>
          <w:rFonts w:cs="Arial"/>
          <w:sz w:val="24"/>
          <w:szCs w:val="24"/>
          <w:lang w:val="en-GB"/>
        </w:rPr>
        <w:t>However, t</w:t>
      </w:r>
      <w:r w:rsidR="00C81166">
        <w:rPr>
          <w:rFonts w:cs="Arial"/>
          <w:sz w:val="24"/>
          <w:szCs w:val="24"/>
          <w:lang w:val="en-GB"/>
        </w:rPr>
        <w:t xml:space="preserve">he calculated </w:t>
      </w:r>
      <w:r>
        <w:rPr>
          <w:rFonts w:cs="Arial"/>
          <w:sz w:val="24"/>
          <w:szCs w:val="24"/>
          <w:lang w:val="en-GB"/>
        </w:rPr>
        <w:t xml:space="preserve">index of segmentation in </w:t>
      </w:r>
      <w:r w:rsidR="008C1BC5">
        <w:rPr>
          <w:rFonts w:cs="Arial"/>
          <w:sz w:val="24"/>
          <w:szCs w:val="24"/>
          <w:lang w:val="en-GB"/>
        </w:rPr>
        <w:t>T</w:t>
      </w:r>
      <w:r>
        <w:rPr>
          <w:rFonts w:cs="Arial"/>
          <w:sz w:val="24"/>
          <w:szCs w:val="24"/>
          <w:lang w:val="en-GB"/>
        </w:rPr>
        <w:t>able 5</w:t>
      </w:r>
      <w:r w:rsidR="00C81166">
        <w:rPr>
          <w:rFonts w:cs="Arial"/>
          <w:sz w:val="24"/>
          <w:szCs w:val="24"/>
          <w:lang w:val="en-GB"/>
        </w:rPr>
        <w:t xml:space="preserve"> covering all tenures is not very different from </w:t>
      </w:r>
      <w:r w:rsidR="008C1BC5">
        <w:rPr>
          <w:rFonts w:cs="Arial"/>
          <w:sz w:val="24"/>
          <w:szCs w:val="24"/>
          <w:lang w:val="en-GB"/>
        </w:rPr>
        <w:t xml:space="preserve">that of </w:t>
      </w:r>
      <w:r w:rsidR="00C81166">
        <w:rPr>
          <w:rFonts w:cs="Arial"/>
          <w:sz w:val="24"/>
          <w:szCs w:val="24"/>
          <w:lang w:val="en-GB"/>
        </w:rPr>
        <w:t>the other countries.</w:t>
      </w:r>
      <w:r w:rsidR="00C81166" w:rsidDel="00C138D4">
        <w:rPr>
          <w:rFonts w:cs="Arial"/>
          <w:sz w:val="24"/>
          <w:szCs w:val="24"/>
          <w:lang w:val="en-GB"/>
        </w:rPr>
        <w:t xml:space="preserve"> </w:t>
      </w:r>
    </w:p>
    <w:p w:rsidR="00C81166" w:rsidRDefault="00C81166" w:rsidP="008C157E">
      <w:pPr>
        <w:rPr>
          <w:rFonts w:cs="Arial"/>
          <w:sz w:val="24"/>
          <w:szCs w:val="24"/>
          <w:lang w:val="en-GB"/>
        </w:rPr>
      </w:pPr>
    </w:p>
    <w:p w:rsidR="00C81166" w:rsidRPr="009F714B" w:rsidRDefault="00C81166" w:rsidP="008C157E">
      <w:pPr>
        <w:rPr>
          <w:rFonts w:cs="Arial"/>
          <w:sz w:val="24"/>
          <w:szCs w:val="24"/>
          <w:lang w:val="en-GB"/>
        </w:rPr>
      </w:pPr>
      <w:r>
        <w:rPr>
          <w:rFonts w:cs="Arial"/>
          <w:sz w:val="24"/>
          <w:szCs w:val="24"/>
          <w:lang w:val="en-GB"/>
        </w:rPr>
        <w:t xml:space="preserve">The housing market in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is not quite as income segmented as the Norwegian</w:t>
      </w:r>
      <w:r w:rsidR="008C1BC5">
        <w:rPr>
          <w:rFonts w:cs="Arial"/>
          <w:sz w:val="24"/>
          <w:szCs w:val="24"/>
          <w:lang w:val="en-GB"/>
        </w:rPr>
        <w:t xml:space="preserve"> one</w:t>
      </w:r>
      <w:r>
        <w:rPr>
          <w:rFonts w:cs="Arial"/>
          <w:sz w:val="24"/>
          <w:szCs w:val="24"/>
          <w:lang w:val="en-GB"/>
        </w:rPr>
        <w:t xml:space="preserve">, but more segmented than in </w:t>
      </w:r>
      <w:smartTag w:uri="urn:schemas-microsoft-com:office:smarttags" w:element="City">
        <w:smartTag w:uri="urn:schemas-microsoft-com:office:smarttags" w:element="country-region">
          <w:r>
            <w:rPr>
              <w:rFonts w:cs="Arial"/>
              <w:sz w:val="24"/>
              <w:szCs w:val="24"/>
              <w:lang w:val="en-GB"/>
            </w:rPr>
            <w:t>Sweden</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Finland</w:t>
            </w:r>
          </w:smartTag>
        </w:smartTag>
      </w:smartTag>
      <w:r>
        <w:rPr>
          <w:rFonts w:cs="Arial"/>
          <w:sz w:val="24"/>
          <w:szCs w:val="24"/>
          <w:lang w:val="en-GB"/>
        </w:rPr>
        <w:t xml:space="preserve">. The figures from Sweden indicate that the Swedish political goal of equal opportunities in different tenures </w:t>
      </w:r>
      <w:r w:rsidR="00681BD7">
        <w:rPr>
          <w:rFonts w:cs="Arial"/>
          <w:sz w:val="24"/>
          <w:szCs w:val="24"/>
          <w:lang w:val="en-GB"/>
        </w:rPr>
        <w:t xml:space="preserve">has </w:t>
      </w:r>
      <w:r>
        <w:rPr>
          <w:rFonts w:cs="Arial"/>
          <w:sz w:val="24"/>
          <w:szCs w:val="24"/>
          <w:lang w:val="en-GB"/>
        </w:rPr>
        <w:t>to some ex</w:t>
      </w:r>
      <w:r w:rsidR="0018676A">
        <w:rPr>
          <w:rFonts w:cs="Arial"/>
          <w:sz w:val="24"/>
          <w:szCs w:val="24"/>
          <w:lang w:val="en-GB"/>
        </w:rPr>
        <w:t>tent been a success (</w:t>
      </w:r>
      <w:r w:rsidR="008C1BC5">
        <w:rPr>
          <w:rFonts w:cs="Arial"/>
          <w:sz w:val="24"/>
          <w:szCs w:val="24"/>
          <w:lang w:val="en-GB"/>
        </w:rPr>
        <w:t>T</w:t>
      </w:r>
      <w:r w:rsidR="0018676A">
        <w:rPr>
          <w:rFonts w:cs="Arial"/>
          <w:sz w:val="24"/>
          <w:szCs w:val="24"/>
          <w:lang w:val="en-GB"/>
        </w:rPr>
        <w:t>able 4</w:t>
      </w:r>
      <w:r>
        <w:rPr>
          <w:rFonts w:cs="Arial"/>
          <w:sz w:val="24"/>
          <w:szCs w:val="24"/>
          <w:lang w:val="en-GB"/>
        </w:rPr>
        <w:t>).</w:t>
      </w:r>
    </w:p>
    <w:p w:rsidR="00C81166" w:rsidRPr="00AB2997" w:rsidRDefault="00C81166" w:rsidP="008C157E">
      <w:pPr>
        <w:rPr>
          <w:rFonts w:cs="Arial"/>
          <w:sz w:val="24"/>
          <w:szCs w:val="24"/>
          <w:lang w:val="en-GB"/>
        </w:rPr>
      </w:pPr>
    </w:p>
    <w:p w:rsidR="00C81166" w:rsidRPr="0052166E" w:rsidRDefault="00C81166" w:rsidP="008C157E">
      <w:pPr>
        <w:rPr>
          <w:rFonts w:cs="Arial"/>
          <w:i/>
          <w:sz w:val="24"/>
          <w:szCs w:val="24"/>
          <w:lang w:val="en-GB"/>
        </w:rPr>
      </w:pPr>
      <w:r w:rsidRPr="0052166E">
        <w:rPr>
          <w:rFonts w:cs="Arial"/>
          <w:i/>
          <w:sz w:val="24"/>
          <w:szCs w:val="24"/>
          <w:lang w:val="en-GB"/>
        </w:rPr>
        <w:t xml:space="preserve">The </w:t>
      </w:r>
      <w:r>
        <w:rPr>
          <w:rFonts w:cs="Arial"/>
          <w:i/>
          <w:sz w:val="24"/>
          <w:szCs w:val="24"/>
          <w:lang w:val="en-GB"/>
        </w:rPr>
        <w:t xml:space="preserve">unequal </w:t>
      </w:r>
      <w:r w:rsidRPr="0052166E">
        <w:rPr>
          <w:rFonts w:cs="Arial"/>
          <w:i/>
          <w:sz w:val="24"/>
          <w:szCs w:val="24"/>
          <w:lang w:val="en-GB"/>
        </w:rPr>
        <w:t>distribution of overcrowding</w:t>
      </w:r>
    </w:p>
    <w:p w:rsidR="00C81166" w:rsidRDefault="00C81166" w:rsidP="008C157E">
      <w:pPr>
        <w:rPr>
          <w:rFonts w:cs="Arial"/>
          <w:sz w:val="24"/>
          <w:szCs w:val="24"/>
          <w:lang w:val="en-GB"/>
        </w:rPr>
      </w:pPr>
      <w:r w:rsidRPr="008C157E">
        <w:rPr>
          <w:rFonts w:cs="Arial"/>
          <w:sz w:val="24"/>
          <w:szCs w:val="24"/>
          <w:lang w:val="en-GB"/>
        </w:rPr>
        <w:t xml:space="preserve">Another way to look at </w:t>
      </w:r>
      <w:r w:rsidRPr="00AB2997">
        <w:rPr>
          <w:rFonts w:cs="Arial"/>
          <w:sz w:val="24"/>
          <w:szCs w:val="24"/>
          <w:lang w:val="en-GB"/>
        </w:rPr>
        <w:t xml:space="preserve">unequal opportunities is to compare </w:t>
      </w:r>
      <w:r>
        <w:rPr>
          <w:rFonts w:cs="Arial"/>
          <w:sz w:val="24"/>
          <w:szCs w:val="24"/>
          <w:lang w:val="en-GB"/>
        </w:rPr>
        <w:t>overcrowding</w:t>
      </w:r>
      <w:r w:rsidRPr="00AB2997">
        <w:rPr>
          <w:rFonts w:cs="Arial"/>
          <w:sz w:val="24"/>
          <w:szCs w:val="24"/>
          <w:lang w:val="en-GB"/>
        </w:rPr>
        <w:t xml:space="preserve"> of different income groups. In </w:t>
      </w:r>
      <w:r w:rsidR="008C1BC5">
        <w:rPr>
          <w:rFonts w:cs="Arial"/>
          <w:sz w:val="24"/>
          <w:szCs w:val="24"/>
          <w:lang w:val="en-GB"/>
        </w:rPr>
        <w:t>T</w:t>
      </w:r>
      <w:r w:rsidR="0018676A">
        <w:rPr>
          <w:rFonts w:cs="Arial"/>
          <w:sz w:val="24"/>
          <w:szCs w:val="24"/>
          <w:lang w:val="en-GB"/>
        </w:rPr>
        <w:t>able 6</w:t>
      </w:r>
      <w:r w:rsidRPr="00AB2997">
        <w:rPr>
          <w:rFonts w:cs="Arial"/>
          <w:sz w:val="24"/>
          <w:szCs w:val="24"/>
          <w:lang w:val="en-GB"/>
        </w:rPr>
        <w:t xml:space="preserve"> the proportion of households in different income quartiles living in overcrowded dwellings</w:t>
      </w:r>
      <w:r>
        <w:rPr>
          <w:rFonts w:cs="Arial"/>
          <w:sz w:val="24"/>
          <w:szCs w:val="24"/>
          <w:lang w:val="en-GB"/>
        </w:rPr>
        <w:t xml:space="preserve"> is compared between </w:t>
      </w:r>
      <w:r w:rsidR="008C1BC5" w:rsidRPr="005151D7">
        <w:rPr>
          <w:rFonts w:cs="Arial"/>
          <w:sz w:val="24"/>
          <w:szCs w:val="24"/>
          <w:lang w:val="en-GB"/>
        </w:rPr>
        <w:t>four</w:t>
      </w:r>
      <w:r w:rsidR="003C5EB3">
        <w:rPr>
          <w:rFonts w:cs="Arial"/>
          <w:sz w:val="24"/>
          <w:szCs w:val="24"/>
          <w:lang w:val="en-GB"/>
        </w:rPr>
        <w:t xml:space="preserve"> </w:t>
      </w:r>
      <w:r w:rsidR="00681BD7" w:rsidRPr="005151D7">
        <w:rPr>
          <w:rFonts w:cs="Arial"/>
          <w:sz w:val="24"/>
          <w:szCs w:val="24"/>
          <w:lang w:val="en-GB"/>
        </w:rPr>
        <w:t>Nordic</w:t>
      </w:r>
      <w:r w:rsidR="00681BD7">
        <w:rPr>
          <w:rFonts w:cs="Arial"/>
          <w:sz w:val="24"/>
          <w:szCs w:val="24"/>
          <w:lang w:val="en-GB"/>
        </w:rPr>
        <w:t xml:space="preserve"> </w:t>
      </w:r>
      <w:r>
        <w:rPr>
          <w:rFonts w:cs="Arial"/>
          <w:sz w:val="24"/>
          <w:szCs w:val="24"/>
          <w:lang w:val="en-GB"/>
        </w:rPr>
        <w:t>countries. An index for income inequality between income groups is calculated as the sum of the absolute differences between overcrowding in each group and the whole population.</w:t>
      </w:r>
    </w:p>
    <w:p w:rsidR="00C81166" w:rsidRPr="008C157E" w:rsidRDefault="00C81166" w:rsidP="008C157E">
      <w:pPr>
        <w:rPr>
          <w:rFonts w:cs="Arial"/>
          <w:sz w:val="24"/>
          <w:szCs w:val="24"/>
          <w:lang w:val="en-GB"/>
        </w:rPr>
      </w:pPr>
    </w:p>
    <w:p w:rsidR="00C81166" w:rsidRDefault="0018676A" w:rsidP="00D34849">
      <w:pPr>
        <w:rPr>
          <w:rFonts w:cs="Arial"/>
          <w:sz w:val="24"/>
          <w:szCs w:val="24"/>
          <w:lang w:val="en-GB"/>
        </w:rPr>
      </w:pPr>
      <w:r>
        <w:rPr>
          <w:rFonts w:cs="Arial"/>
          <w:sz w:val="24"/>
          <w:szCs w:val="24"/>
          <w:lang w:val="en-GB"/>
        </w:rPr>
        <w:t>(Table 6</w:t>
      </w:r>
      <w:r w:rsidR="00C81166">
        <w:rPr>
          <w:rFonts w:cs="Arial"/>
          <w:sz w:val="24"/>
          <w:szCs w:val="24"/>
          <w:lang w:val="en-GB"/>
        </w:rPr>
        <w:t>)</w:t>
      </w:r>
    </w:p>
    <w:p w:rsidR="00C81166" w:rsidRDefault="00C81166" w:rsidP="00D34849">
      <w:pPr>
        <w:rPr>
          <w:rFonts w:cs="Arial"/>
          <w:sz w:val="24"/>
          <w:szCs w:val="24"/>
          <w:lang w:val="en-GB"/>
        </w:rPr>
      </w:pPr>
    </w:p>
    <w:p w:rsidR="00C81166" w:rsidRDefault="00C81166" w:rsidP="00610DA3">
      <w:pPr>
        <w:rPr>
          <w:rFonts w:cs="Arial"/>
          <w:sz w:val="24"/>
          <w:szCs w:val="24"/>
          <w:lang w:val="en-GB"/>
        </w:rPr>
      </w:pPr>
      <w:r>
        <w:rPr>
          <w:rFonts w:cs="Arial"/>
          <w:sz w:val="24"/>
          <w:szCs w:val="24"/>
          <w:lang w:val="en-GB"/>
        </w:rPr>
        <w:t>The table indicates, a bit surprising</w:t>
      </w:r>
      <w:r w:rsidR="008C1BC5">
        <w:rPr>
          <w:rFonts w:cs="Arial"/>
          <w:sz w:val="24"/>
          <w:szCs w:val="24"/>
          <w:lang w:val="en-GB"/>
        </w:rPr>
        <w:t>ly</w:t>
      </w:r>
      <w:r>
        <w:rPr>
          <w:rFonts w:cs="Arial"/>
          <w:sz w:val="24"/>
          <w:szCs w:val="24"/>
          <w:lang w:val="en-GB"/>
        </w:rPr>
        <w:t xml:space="preserve">, that </w:t>
      </w:r>
      <w:smartTag w:uri="urn:schemas-microsoft-com:office:smarttags" w:element="City">
        <w:smartTag w:uri="urn:schemas-microsoft-com:office:smarttags" w:element="country-region">
          <w:r>
            <w:rPr>
              <w:rFonts w:cs="Arial"/>
              <w:sz w:val="24"/>
              <w:szCs w:val="24"/>
              <w:lang w:val="en-GB"/>
            </w:rPr>
            <w:t>Sweden</w:t>
          </w:r>
        </w:smartTag>
      </w:smartTag>
      <w:r>
        <w:rPr>
          <w:rFonts w:cs="Arial"/>
          <w:sz w:val="24"/>
          <w:szCs w:val="24"/>
          <w:lang w:val="en-GB"/>
        </w:rPr>
        <w:t xml:space="preserve"> has the highest differences between income groups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the lowest. Only 14 per cent of the households in the lowest quartile in Norway live in overcrowded housing</w:t>
      </w:r>
      <w:r w:rsidR="008C1BC5">
        <w:rPr>
          <w:rFonts w:cs="Arial"/>
          <w:sz w:val="24"/>
          <w:szCs w:val="24"/>
          <w:lang w:val="en-GB"/>
        </w:rPr>
        <w:t>,</w:t>
      </w:r>
      <w:r>
        <w:rPr>
          <w:rFonts w:cs="Arial"/>
          <w:sz w:val="24"/>
          <w:szCs w:val="24"/>
          <w:lang w:val="en-GB"/>
        </w:rPr>
        <w:t xml:space="preserve"> whil</w:t>
      </w:r>
      <w:r w:rsidRPr="00823BA8">
        <w:rPr>
          <w:rFonts w:cs="Arial"/>
          <w:sz w:val="24"/>
          <w:szCs w:val="24"/>
          <w:lang w:val="en-GB"/>
        </w:rPr>
        <w:t xml:space="preserve">e </w:t>
      </w:r>
      <w:r w:rsidR="008C1BC5">
        <w:rPr>
          <w:rFonts w:cs="Arial"/>
          <w:sz w:val="24"/>
          <w:szCs w:val="24"/>
          <w:lang w:val="en-GB"/>
        </w:rPr>
        <w:t>T</w:t>
      </w:r>
      <w:r w:rsidR="0018676A">
        <w:rPr>
          <w:rFonts w:cs="Arial"/>
          <w:sz w:val="24"/>
          <w:szCs w:val="24"/>
          <w:lang w:val="en-GB"/>
        </w:rPr>
        <w:t>able 10 shows</w:t>
      </w:r>
      <w:r>
        <w:rPr>
          <w:rFonts w:cs="Arial"/>
          <w:sz w:val="24"/>
          <w:szCs w:val="24"/>
          <w:lang w:val="en-GB"/>
        </w:rPr>
        <w:t xml:space="preserve"> that 45 per cent of </w:t>
      </w:r>
      <w:r>
        <w:rPr>
          <w:rFonts w:cs="Arial"/>
          <w:sz w:val="24"/>
          <w:szCs w:val="24"/>
          <w:lang w:val="en-GB"/>
        </w:rPr>
        <w:lastRenderedPageBreak/>
        <w:t xml:space="preserve">immigrants (persons) in Norway are in this situation. Given market prices on all housing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combined with immigrants’ low incomes, one explanation could be that many immigrants are forced into smaller owner-occupied dwellings. Moreover, most of the rentals are small dwellings (Schmidt 2009).</w:t>
      </w:r>
    </w:p>
    <w:p w:rsidR="00FD29BA" w:rsidRPr="000A778F" w:rsidRDefault="00FD29BA" w:rsidP="00FD29BA">
      <w:pPr>
        <w:pStyle w:val="Overskrift3"/>
        <w:rPr>
          <w:lang w:val="en-GB"/>
        </w:rPr>
      </w:pPr>
      <w:r>
        <w:rPr>
          <w:lang w:val="en-GB"/>
        </w:rPr>
        <w:t>Evaluation of immigrants’</w:t>
      </w:r>
      <w:r w:rsidRPr="000A778F">
        <w:rPr>
          <w:lang w:val="en-GB"/>
        </w:rPr>
        <w:t xml:space="preserve"> access to housing in different tenures</w:t>
      </w:r>
    </w:p>
    <w:p w:rsidR="00681BD7" w:rsidRPr="003C7A07" w:rsidRDefault="002C38E0" w:rsidP="00681BD7">
      <w:pPr>
        <w:rPr>
          <w:rFonts w:cs="Arial"/>
          <w:sz w:val="24"/>
          <w:szCs w:val="24"/>
          <w:lang w:val="en-GB"/>
        </w:rPr>
      </w:pPr>
      <w:r>
        <w:rPr>
          <w:rFonts w:cs="Arial"/>
          <w:sz w:val="24"/>
          <w:szCs w:val="24"/>
          <w:lang w:val="en-GB"/>
        </w:rPr>
        <w:t>Immigrants’ a</w:t>
      </w:r>
      <w:r w:rsidR="00681BD7" w:rsidRPr="003C7A07">
        <w:rPr>
          <w:rFonts w:cs="Arial"/>
          <w:sz w:val="24"/>
          <w:szCs w:val="24"/>
          <w:lang w:val="en-GB"/>
        </w:rPr>
        <w:t xml:space="preserve">ccess to </w:t>
      </w:r>
      <w:r w:rsidR="00681BD7">
        <w:rPr>
          <w:rFonts w:cs="Arial"/>
          <w:sz w:val="24"/>
          <w:szCs w:val="24"/>
          <w:lang w:val="en-GB"/>
        </w:rPr>
        <w:t>social/public housing</w:t>
      </w:r>
      <w:r w:rsidR="00681BD7" w:rsidRPr="003C7A07">
        <w:rPr>
          <w:rFonts w:cs="Arial"/>
          <w:sz w:val="24"/>
          <w:szCs w:val="24"/>
          <w:lang w:val="en-GB"/>
        </w:rPr>
        <w:t xml:space="preserve"> is determined by the general rules for allocation of vacant dwellings and </w:t>
      </w:r>
      <w:r w:rsidR="0018732A">
        <w:rPr>
          <w:rFonts w:cs="Arial"/>
          <w:sz w:val="24"/>
          <w:szCs w:val="24"/>
          <w:lang w:val="en-GB"/>
        </w:rPr>
        <w:t>the</w:t>
      </w:r>
      <w:r w:rsidR="00681BD7" w:rsidRPr="003C7A07">
        <w:rPr>
          <w:rFonts w:cs="Arial"/>
          <w:sz w:val="24"/>
          <w:szCs w:val="24"/>
          <w:lang w:val="en-GB"/>
        </w:rPr>
        <w:t xml:space="preserve"> extent </w:t>
      </w:r>
      <w:r w:rsidR="0018732A">
        <w:rPr>
          <w:rFonts w:cs="Arial"/>
          <w:sz w:val="24"/>
          <w:szCs w:val="24"/>
          <w:lang w:val="en-GB"/>
        </w:rPr>
        <w:t xml:space="preserve">to which </w:t>
      </w:r>
      <w:r w:rsidR="00681BD7" w:rsidRPr="003C7A07">
        <w:rPr>
          <w:rFonts w:cs="Arial"/>
          <w:sz w:val="24"/>
          <w:szCs w:val="24"/>
          <w:lang w:val="en-GB"/>
        </w:rPr>
        <w:t xml:space="preserve">local authorities </w:t>
      </w:r>
      <w:r w:rsidR="00681BD7" w:rsidRPr="00F64292">
        <w:rPr>
          <w:rFonts w:cs="Arial"/>
          <w:sz w:val="24"/>
          <w:szCs w:val="24"/>
          <w:lang w:val="en-GB"/>
        </w:rPr>
        <w:t xml:space="preserve">have </w:t>
      </w:r>
      <w:r w:rsidR="0018732A">
        <w:rPr>
          <w:rFonts w:cs="Arial"/>
          <w:sz w:val="24"/>
          <w:szCs w:val="24"/>
          <w:lang w:val="en-GB"/>
        </w:rPr>
        <w:t xml:space="preserve">the </w:t>
      </w:r>
      <w:r w:rsidRPr="00661B7C">
        <w:rPr>
          <w:rFonts w:cs="Arial"/>
          <w:sz w:val="24"/>
          <w:szCs w:val="24"/>
          <w:lang w:val="en-GB"/>
        </w:rPr>
        <w:t>right of</w:t>
      </w:r>
      <w:r>
        <w:rPr>
          <w:rFonts w:cs="Arial"/>
          <w:sz w:val="24"/>
          <w:szCs w:val="24"/>
          <w:lang w:val="en-GB"/>
        </w:rPr>
        <w:t xml:space="preserve"> </w:t>
      </w:r>
      <w:r w:rsidR="00681BD7" w:rsidRPr="00661B7C">
        <w:rPr>
          <w:rFonts w:cs="Arial"/>
          <w:sz w:val="24"/>
          <w:szCs w:val="24"/>
          <w:lang w:val="en-GB"/>
        </w:rPr>
        <w:t>disposal</w:t>
      </w:r>
      <w:r w:rsidR="00681BD7" w:rsidRPr="00F64292">
        <w:rPr>
          <w:rFonts w:cs="Arial"/>
          <w:sz w:val="24"/>
          <w:szCs w:val="24"/>
          <w:lang w:val="en-GB"/>
        </w:rPr>
        <w:t xml:space="preserve"> of</w:t>
      </w:r>
      <w:r w:rsidR="00681BD7" w:rsidRPr="006612A9">
        <w:rPr>
          <w:rFonts w:cs="Arial"/>
          <w:sz w:val="24"/>
          <w:szCs w:val="24"/>
          <w:lang w:val="en-GB"/>
        </w:rPr>
        <w:t xml:space="preserve"> </w:t>
      </w:r>
      <w:r w:rsidR="00681BD7" w:rsidRPr="003C7A07">
        <w:rPr>
          <w:rFonts w:cs="Arial"/>
          <w:sz w:val="24"/>
          <w:szCs w:val="24"/>
          <w:lang w:val="en-GB"/>
        </w:rPr>
        <w:t xml:space="preserve">dwellings to allocate to low-income groups. </w:t>
      </w:r>
      <w:r w:rsidR="00681BD7">
        <w:rPr>
          <w:rFonts w:cs="Arial"/>
          <w:sz w:val="24"/>
          <w:szCs w:val="24"/>
          <w:lang w:val="en-GB"/>
        </w:rPr>
        <w:t>In all countries</w:t>
      </w:r>
      <w:r>
        <w:rPr>
          <w:rFonts w:cs="Arial"/>
          <w:sz w:val="24"/>
          <w:szCs w:val="24"/>
          <w:lang w:val="en-GB"/>
        </w:rPr>
        <w:t>,</w:t>
      </w:r>
      <w:r w:rsidR="00681BD7">
        <w:rPr>
          <w:rFonts w:cs="Arial"/>
          <w:sz w:val="24"/>
          <w:szCs w:val="24"/>
          <w:lang w:val="en-GB"/>
        </w:rPr>
        <w:t xml:space="preserve"> local authorities have an obligation to provide housing for new refugees, which most often results in settlement in social/public housing. </w:t>
      </w:r>
    </w:p>
    <w:p w:rsidR="00681BD7" w:rsidRDefault="00681BD7" w:rsidP="00681BD7">
      <w:pPr>
        <w:rPr>
          <w:rFonts w:cs="Arial"/>
          <w:sz w:val="24"/>
          <w:szCs w:val="24"/>
          <w:lang w:val="en-GB"/>
        </w:rPr>
      </w:pPr>
    </w:p>
    <w:p w:rsidR="00681BD7" w:rsidRDefault="00681BD7" w:rsidP="00681BD7">
      <w:pPr>
        <w:rPr>
          <w:rFonts w:cs="Arial"/>
          <w:sz w:val="24"/>
          <w:szCs w:val="24"/>
          <w:lang w:val="en-GB"/>
        </w:rPr>
      </w:pPr>
      <w:r>
        <w:rPr>
          <w:rFonts w:cs="Arial"/>
          <w:sz w:val="24"/>
          <w:szCs w:val="24"/>
          <w:lang w:val="en-GB"/>
        </w:rPr>
        <w:t xml:space="preserve">In </w:t>
      </w:r>
      <w:smartTag w:uri="urn:schemas-microsoft-com:office:smarttags" w:element="country-region">
        <w:r>
          <w:rPr>
            <w:rFonts w:cs="Arial"/>
            <w:sz w:val="24"/>
            <w:szCs w:val="24"/>
            <w:lang w:val="en-GB"/>
          </w:rPr>
          <w:t>Denmark</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access to social/public housing is in principle based on an </w:t>
      </w:r>
      <w:r w:rsidRPr="003C7A07">
        <w:rPr>
          <w:rFonts w:cs="Arial"/>
          <w:sz w:val="24"/>
          <w:szCs w:val="24"/>
          <w:lang w:val="en-GB"/>
        </w:rPr>
        <w:t xml:space="preserve">open allocation system </w:t>
      </w:r>
      <w:r>
        <w:rPr>
          <w:rFonts w:cs="Arial"/>
          <w:sz w:val="24"/>
          <w:szCs w:val="24"/>
          <w:lang w:val="en-GB"/>
        </w:rPr>
        <w:t>with</w:t>
      </w:r>
      <w:r w:rsidRPr="003C7A07">
        <w:rPr>
          <w:rFonts w:cs="Arial"/>
          <w:sz w:val="24"/>
          <w:szCs w:val="24"/>
          <w:lang w:val="en-GB"/>
        </w:rPr>
        <w:t xml:space="preserve"> waiting </w:t>
      </w:r>
      <w:r w:rsidRPr="00F64292">
        <w:rPr>
          <w:rFonts w:cs="Arial"/>
          <w:sz w:val="24"/>
          <w:szCs w:val="24"/>
          <w:lang w:val="en-GB"/>
        </w:rPr>
        <w:t>lists</w:t>
      </w:r>
      <w:r>
        <w:rPr>
          <w:rFonts w:cs="Arial"/>
          <w:sz w:val="24"/>
          <w:szCs w:val="24"/>
          <w:lang w:val="en-GB"/>
        </w:rPr>
        <w:t xml:space="preserve">. </w:t>
      </w:r>
      <w:r w:rsidRPr="003C7A07">
        <w:rPr>
          <w:rFonts w:cs="Arial"/>
          <w:sz w:val="24"/>
          <w:szCs w:val="24"/>
          <w:lang w:val="en-GB"/>
        </w:rPr>
        <w:t>In recent years</w:t>
      </w:r>
      <w:r>
        <w:rPr>
          <w:rFonts w:cs="Arial"/>
          <w:sz w:val="24"/>
          <w:szCs w:val="24"/>
          <w:lang w:val="en-GB"/>
        </w:rPr>
        <w:t>, however,</w:t>
      </w:r>
      <w:r w:rsidRPr="003C7A07">
        <w:rPr>
          <w:rFonts w:cs="Arial"/>
          <w:sz w:val="24"/>
          <w:szCs w:val="24"/>
          <w:lang w:val="en-GB"/>
        </w:rPr>
        <w:t xml:space="preserve"> access </w:t>
      </w:r>
      <w:r>
        <w:rPr>
          <w:rFonts w:cs="Arial"/>
          <w:sz w:val="24"/>
          <w:szCs w:val="24"/>
          <w:lang w:val="en-GB"/>
        </w:rPr>
        <w:t xml:space="preserve">to social/public housing in Denmark </w:t>
      </w:r>
      <w:r w:rsidRPr="003C7A07">
        <w:rPr>
          <w:rFonts w:cs="Arial"/>
          <w:sz w:val="24"/>
          <w:szCs w:val="24"/>
          <w:lang w:val="en-GB"/>
        </w:rPr>
        <w:t xml:space="preserve">has </w:t>
      </w:r>
      <w:r>
        <w:rPr>
          <w:rFonts w:cs="Arial"/>
          <w:sz w:val="24"/>
          <w:szCs w:val="24"/>
          <w:lang w:val="en-GB"/>
        </w:rPr>
        <w:t>become somewhat</w:t>
      </w:r>
      <w:r w:rsidRPr="003C7A07">
        <w:rPr>
          <w:rFonts w:cs="Arial"/>
          <w:sz w:val="24"/>
          <w:szCs w:val="24"/>
          <w:lang w:val="en-GB"/>
        </w:rPr>
        <w:t xml:space="preserve"> more difficult </w:t>
      </w:r>
      <w:r>
        <w:rPr>
          <w:rFonts w:cs="Arial"/>
          <w:sz w:val="24"/>
          <w:szCs w:val="24"/>
          <w:lang w:val="en-GB"/>
        </w:rPr>
        <w:t xml:space="preserve">for immigrants due to the </w:t>
      </w:r>
      <w:r w:rsidRPr="003C7A07">
        <w:rPr>
          <w:rFonts w:cs="Arial"/>
          <w:sz w:val="24"/>
          <w:szCs w:val="24"/>
          <w:lang w:val="en-GB"/>
        </w:rPr>
        <w:t xml:space="preserve">new rules of allocation </w:t>
      </w:r>
      <w:r>
        <w:rPr>
          <w:rFonts w:cs="Arial"/>
          <w:sz w:val="24"/>
          <w:szCs w:val="24"/>
          <w:lang w:val="en-GB"/>
        </w:rPr>
        <w:t xml:space="preserve">that </w:t>
      </w:r>
      <w:r w:rsidRPr="003C7A07">
        <w:rPr>
          <w:rFonts w:cs="Arial"/>
          <w:sz w:val="24"/>
          <w:szCs w:val="24"/>
          <w:lang w:val="en-GB"/>
        </w:rPr>
        <w:t xml:space="preserve">have been introduced </w:t>
      </w:r>
      <w:r>
        <w:rPr>
          <w:rFonts w:cs="Arial"/>
          <w:sz w:val="24"/>
          <w:szCs w:val="24"/>
          <w:lang w:val="en-GB"/>
        </w:rPr>
        <w:t>i</w:t>
      </w:r>
      <w:r w:rsidRPr="003C7A07">
        <w:rPr>
          <w:rFonts w:cs="Arial"/>
          <w:sz w:val="24"/>
          <w:szCs w:val="24"/>
          <w:lang w:val="en-GB"/>
        </w:rPr>
        <w:t xml:space="preserve">n estates with many immigrants. In </w:t>
      </w:r>
      <w:smartTag w:uri="urn:schemas-microsoft-com:office:smarttags" w:element="country-region">
        <w:r w:rsidRPr="003C7A07">
          <w:rPr>
            <w:rFonts w:cs="Arial"/>
            <w:sz w:val="24"/>
            <w:szCs w:val="24"/>
            <w:lang w:val="en-GB"/>
          </w:rPr>
          <w:t>Finland</w:t>
        </w:r>
      </w:smartTag>
      <w:r w:rsidRPr="003C7A07">
        <w:rPr>
          <w:rFonts w:cs="Arial"/>
          <w:sz w:val="24"/>
          <w:szCs w:val="24"/>
          <w:lang w:val="en-GB"/>
        </w:rPr>
        <w:t xml:space="preserve"> </w:t>
      </w:r>
      <w:r>
        <w:rPr>
          <w:rFonts w:cs="Arial"/>
          <w:sz w:val="24"/>
          <w:szCs w:val="24"/>
          <w:lang w:val="en-GB"/>
        </w:rPr>
        <w:t xml:space="preserve">like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w:t>
      </w:r>
      <w:r w:rsidRPr="003C7A07">
        <w:rPr>
          <w:rFonts w:cs="Arial"/>
          <w:sz w:val="24"/>
          <w:szCs w:val="24"/>
          <w:lang w:val="en-GB"/>
        </w:rPr>
        <w:t xml:space="preserve">access is </w:t>
      </w:r>
      <w:r>
        <w:rPr>
          <w:rFonts w:cs="Arial"/>
          <w:sz w:val="24"/>
          <w:szCs w:val="24"/>
          <w:lang w:val="en-GB"/>
        </w:rPr>
        <w:t xml:space="preserve">based on urgent housing needs, which favours the most vulnerable immigrants, but not the </w:t>
      </w:r>
      <w:r w:rsidRPr="00F64292">
        <w:rPr>
          <w:rFonts w:cs="Arial"/>
          <w:sz w:val="24"/>
          <w:szCs w:val="24"/>
          <w:lang w:val="en-GB"/>
        </w:rPr>
        <w:t>more</w:t>
      </w:r>
      <w:r>
        <w:rPr>
          <w:rFonts w:cs="Arial"/>
          <w:sz w:val="24"/>
          <w:szCs w:val="24"/>
          <w:lang w:val="en-GB"/>
        </w:rPr>
        <w:t xml:space="preserve"> successful. </w:t>
      </w:r>
    </w:p>
    <w:p w:rsidR="00681BD7" w:rsidRDefault="00681BD7" w:rsidP="00681BD7">
      <w:pPr>
        <w:rPr>
          <w:rFonts w:cs="Arial"/>
          <w:sz w:val="24"/>
          <w:szCs w:val="24"/>
          <w:lang w:val="en-GB"/>
        </w:rPr>
      </w:pPr>
    </w:p>
    <w:p w:rsidR="00681BD7" w:rsidRPr="00255356" w:rsidRDefault="00681BD7" w:rsidP="00681BD7">
      <w:pPr>
        <w:rPr>
          <w:rFonts w:cs="Arial"/>
          <w:sz w:val="24"/>
          <w:szCs w:val="24"/>
          <w:lang w:val="en-GB"/>
        </w:rPr>
      </w:pPr>
      <w:r>
        <w:rPr>
          <w:rFonts w:cs="Arial"/>
          <w:sz w:val="24"/>
          <w:szCs w:val="24"/>
          <w:lang w:val="en-GB"/>
        </w:rPr>
        <w:t xml:space="preserve">In </w:t>
      </w:r>
      <w:smartTag w:uri="urn:schemas-microsoft-com:office:smarttags" w:element="place">
        <w:smartTag w:uri="urn:schemas-microsoft-com:office:smarttags" w:element="country-region">
          <w:r>
            <w:rPr>
              <w:rFonts w:cs="Arial"/>
              <w:sz w:val="24"/>
              <w:szCs w:val="24"/>
              <w:lang w:val="en-GB"/>
            </w:rPr>
            <w:t>Denmark</w:t>
          </w:r>
        </w:smartTag>
      </w:smartTag>
      <w:r>
        <w:rPr>
          <w:rFonts w:cs="Arial"/>
          <w:sz w:val="24"/>
          <w:szCs w:val="24"/>
          <w:lang w:val="en-GB"/>
        </w:rPr>
        <w:t>, r</w:t>
      </w:r>
      <w:r w:rsidRPr="003C7A07">
        <w:rPr>
          <w:rFonts w:cs="Arial"/>
          <w:sz w:val="24"/>
          <w:szCs w:val="24"/>
          <w:lang w:val="en-GB"/>
        </w:rPr>
        <w:t xml:space="preserve">ent control </w:t>
      </w:r>
      <w:r>
        <w:rPr>
          <w:rFonts w:cs="Arial"/>
          <w:sz w:val="24"/>
          <w:szCs w:val="24"/>
          <w:lang w:val="en-GB"/>
        </w:rPr>
        <w:t xml:space="preserve">in the private rented sector </w:t>
      </w:r>
      <w:r w:rsidRPr="003C7A07">
        <w:rPr>
          <w:rFonts w:cs="Arial"/>
          <w:sz w:val="24"/>
          <w:szCs w:val="24"/>
          <w:lang w:val="en-GB"/>
        </w:rPr>
        <w:t>produce</w:t>
      </w:r>
      <w:r>
        <w:rPr>
          <w:rFonts w:cs="Arial"/>
          <w:sz w:val="24"/>
          <w:szCs w:val="24"/>
          <w:lang w:val="en-GB"/>
        </w:rPr>
        <w:t>s</w:t>
      </w:r>
      <w:r w:rsidRPr="003C7A07">
        <w:rPr>
          <w:rFonts w:cs="Arial"/>
          <w:sz w:val="24"/>
          <w:szCs w:val="24"/>
          <w:lang w:val="en-GB"/>
        </w:rPr>
        <w:t xml:space="preserve"> </w:t>
      </w:r>
      <w:r w:rsidRPr="00F64292">
        <w:rPr>
          <w:rFonts w:cs="Arial"/>
          <w:sz w:val="24"/>
          <w:szCs w:val="24"/>
          <w:lang w:val="en-GB"/>
        </w:rPr>
        <w:t>queues</w:t>
      </w:r>
      <w:r w:rsidRPr="003C7A07">
        <w:rPr>
          <w:rFonts w:cs="Arial"/>
          <w:sz w:val="24"/>
          <w:szCs w:val="24"/>
          <w:lang w:val="en-GB"/>
        </w:rPr>
        <w:t xml:space="preserve"> that are not in favour of immigrants </w:t>
      </w:r>
      <w:r>
        <w:rPr>
          <w:rFonts w:cs="Arial"/>
          <w:sz w:val="24"/>
          <w:szCs w:val="24"/>
          <w:lang w:val="en-GB"/>
        </w:rPr>
        <w:t>and</w:t>
      </w:r>
      <w:r w:rsidRPr="003C7A07">
        <w:rPr>
          <w:rFonts w:cs="Arial"/>
          <w:sz w:val="24"/>
          <w:szCs w:val="24"/>
          <w:lang w:val="en-GB"/>
        </w:rPr>
        <w:t xml:space="preserve"> tend to reduce immigrants</w:t>
      </w:r>
      <w:r>
        <w:rPr>
          <w:rFonts w:cs="Arial"/>
          <w:sz w:val="24"/>
          <w:szCs w:val="24"/>
          <w:lang w:val="en-GB"/>
        </w:rPr>
        <w:t>’</w:t>
      </w:r>
      <w:r w:rsidRPr="003C7A07">
        <w:rPr>
          <w:rFonts w:cs="Arial"/>
          <w:sz w:val="24"/>
          <w:szCs w:val="24"/>
          <w:lang w:val="en-GB"/>
        </w:rPr>
        <w:t xml:space="preserve"> </w:t>
      </w:r>
      <w:r w:rsidRPr="005151D7">
        <w:rPr>
          <w:rFonts w:cs="Arial"/>
          <w:sz w:val="24"/>
          <w:szCs w:val="24"/>
          <w:lang w:val="en-GB"/>
        </w:rPr>
        <w:t>possibilities</w:t>
      </w:r>
      <w:r w:rsidRPr="003C7A07">
        <w:rPr>
          <w:rFonts w:cs="Arial"/>
          <w:sz w:val="24"/>
          <w:szCs w:val="24"/>
          <w:lang w:val="en-GB"/>
        </w:rPr>
        <w:t xml:space="preserve"> of access to the sector, because immigrants seldom have social relations </w:t>
      </w:r>
      <w:r>
        <w:rPr>
          <w:rFonts w:cs="Arial"/>
          <w:sz w:val="24"/>
          <w:szCs w:val="24"/>
          <w:lang w:val="en-GB"/>
        </w:rPr>
        <w:t>with</w:t>
      </w:r>
      <w:r w:rsidRPr="003C7A07">
        <w:rPr>
          <w:rFonts w:cs="Arial"/>
          <w:sz w:val="24"/>
          <w:szCs w:val="24"/>
          <w:lang w:val="en-GB"/>
        </w:rPr>
        <w:t xml:space="preserve"> landlords and because some landlords do not want to let to immigrants</w:t>
      </w:r>
      <w:r>
        <w:rPr>
          <w:rFonts w:cs="Arial"/>
          <w:sz w:val="24"/>
          <w:szCs w:val="24"/>
          <w:lang w:val="en-GB"/>
        </w:rPr>
        <w:t xml:space="preserve"> (Skifter Andersen 2008)</w:t>
      </w:r>
      <w:r w:rsidRPr="003C7A07">
        <w:rPr>
          <w:rFonts w:cs="Arial"/>
          <w:sz w:val="24"/>
          <w:szCs w:val="24"/>
          <w:lang w:val="en-GB"/>
        </w:rPr>
        <w:t xml:space="preserve">. In </w:t>
      </w:r>
      <w:smartTag w:uri="urn:schemas-microsoft-com:office:smarttags" w:element="place">
        <w:smartTag w:uri="urn:schemas-microsoft-com:office:smarttags" w:element="country-region">
          <w:r w:rsidRPr="003C7A07">
            <w:rPr>
              <w:rFonts w:cs="Arial"/>
              <w:sz w:val="24"/>
              <w:szCs w:val="24"/>
              <w:lang w:val="en-GB"/>
            </w:rPr>
            <w:t>Norway</w:t>
          </w:r>
        </w:smartTag>
      </w:smartTag>
      <w:r>
        <w:rPr>
          <w:rFonts w:cs="Arial"/>
          <w:sz w:val="24"/>
          <w:szCs w:val="24"/>
          <w:lang w:val="en-GB"/>
        </w:rPr>
        <w:t>,</w:t>
      </w:r>
      <w:r w:rsidRPr="003C7A07">
        <w:rPr>
          <w:rFonts w:cs="Arial"/>
          <w:sz w:val="24"/>
          <w:szCs w:val="24"/>
          <w:lang w:val="en-GB"/>
        </w:rPr>
        <w:t xml:space="preserve"> </w:t>
      </w:r>
      <w:r>
        <w:rPr>
          <w:rFonts w:cs="Arial"/>
          <w:sz w:val="24"/>
          <w:szCs w:val="24"/>
          <w:lang w:val="en-GB"/>
        </w:rPr>
        <w:t xml:space="preserve">the small rental sector increases the competition between house hunters who want to rent, which </w:t>
      </w:r>
      <w:r w:rsidRPr="000811BB">
        <w:rPr>
          <w:rFonts w:cs="Arial"/>
          <w:sz w:val="24"/>
          <w:szCs w:val="24"/>
          <w:lang w:val="en-GB"/>
        </w:rPr>
        <w:t xml:space="preserve">provides a breeding </w:t>
      </w:r>
      <w:r w:rsidRPr="00F64292">
        <w:rPr>
          <w:rFonts w:cs="Arial"/>
          <w:sz w:val="24"/>
          <w:szCs w:val="24"/>
          <w:lang w:val="en-GB"/>
        </w:rPr>
        <w:t>ground</w:t>
      </w:r>
      <w:r>
        <w:rPr>
          <w:rFonts w:cs="Arial"/>
          <w:sz w:val="24"/>
          <w:szCs w:val="24"/>
          <w:lang w:val="en-GB"/>
        </w:rPr>
        <w:t xml:space="preserve"> for discrimination. Moreover, t</w:t>
      </w:r>
      <w:r w:rsidRPr="003C7A07">
        <w:rPr>
          <w:rFonts w:cs="Arial"/>
          <w:sz w:val="24"/>
          <w:szCs w:val="24"/>
          <w:lang w:val="en-GB"/>
        </w:rPr>
        <w:t xml:space="preserve">he market is dominated by small landlords </w:t>
      </w:r>
      <w:r w:rsidR="0018732A">
        <w:rPr>
          <w:rFonts w:cs="Arial"/>
          <w:sz w:val="24"/>
          <w:szCs w:val="24"/>
          <w:lang w:val="en-GB"/>
        </w:rPr>
        <w:t>letting</w:t>
      </w:r>
      <w:r w:rsidRPr="003C7A07">
        <w:rPr>
          <w:rFonts w:cs="Arial"/>
          <w:sz w:val="24"/>
          <w:szCs w:val="24"/>
          <w:lang w:val="en-GB"/>
        </w:rPr>
        <w:t xml:space="preserve"> one or a few dwellings, who tend to avoid immigrants as tenants</w:t>
      </w:r>
      <w:r>
        <w:rPr>
          <w:rFonts w:cs="Arial"/>
          <w:sz w:val="24"/>
          <w:szCs w:val="24"/>
          <w:lang w:val="en-GB"/>
        </w:rPr>
        <w:t xml:space="preserve"> (</w:t>
      </w:r>
      <w:proofErr w:type="spellStart"/>
      <w:r>
        <w:rPr>
          <w:rFonts w:cs="Arial"/>
          <w:sz w:val="24"/>
          <w:szCs w:val="24"/>
          <w:lang w:val="en-GB"/>
        </w:rPr>
        <w:t>Nordvik</w:t>
      </w:r>
      <w:proofErr w:type="spellEnd"/>
      <w:r>
        <w:rPr>
          <w:rFonts w:cs="Arial"/>
          <w:sz w:val="24"/>
          <w:szCs w:val="24"/>
          <w:lang w:val="en-GB"/>
        </w:rPr>
        <w:t xml:space="preserve"> 1996; </w:t>
      </w:r>
      <w:proofErr w:type="spellStart"/>
      <w:r>
        <w:rPr>
          <w:rFonts w:cs="Arial"/>
          <w:sz w:val="24"/>
          <w:szCs w:val="24"/>
          <w:lang w:val="en-GB"/>
        </w:rPr>
        <w:t>Søholt</w:t>
      </w:r>
      <w:proofErr w:type="spellEnd"/>
      <w:r>
        <w:rPr>
          <w:rFonts w:cs="Arial"/>
          <w:sz w:val="24"/>
          <w:szCs w:val="24"/>
          <w:lang w:val="en-GB"/>
        </w:rPr>
        <w:t xml:space="preserve"> and </w:t>
      </w:r>
      <w:proofErr w:type="spellStart"/>
      <w:r>
        <w:rPr>
          <w:rFonts w:cs="Arial"/>
          <w:sz w:val="24"/>
          <w:szCs w:val="24"/>
          <w:lang w:val="en-GB"/>
        </w:rPr>
        <w:t>Astrup</w:t>
      </w:r>
      <w:proofErr w:type="spellEnd"/>
      <w:r>
        <w:rPr>
          <w:rFonts w:cs="Arial"/>
          <w:sz w:val="24"/>
          <w:szCs w:val="24"/>
          <w:lang w:val="en-GB"/>
        </w:rPr>
        <w:t xml:space="preserve"> 2009a). However, </w:t>
      </w:r>
      <w:r w:rsidRPr="003C7A07">
        <w:rPr>
          <w:rFonts w:cs="Arial"/>
          <w:sz w:val="24"/>
          <w:szCs w:val="24"/>
          <w:lang w:val="en-GB"/>
        </w:rPr>
        <w:t xml:space="preserve">private professional renting companies </w:t>
      </w:r>
      <w:r>
        <w:rPr>
          <w:rFonts w:cs="Arial"/>
          <w:sz w:val="24"/>
          <w:szCs w:val="24"/>
          <w:lang w:val="en-GB"/>
        </w:rPr>
        <w:t xml:space="preserve">seem to be </w:t>
      </w:r>
      <w:r w:rsidRPr="003C7A07">
        <w:rPr>
          <w:rFonts w:cs="Arial"/>
          <w:sz w:val="24"/>
          <w:szCs w:val="24"/>
          <w:lang w:val="en-GB"/>
        </w:rPr>
        <w:t>increasing</w:t>
      </w:r>
      <w:r>
        <w:rPr>
          <w:rFonts w:cs="Arial"/>
          <w:sz w:val="24"/>
          <w:szCs w:val="24"/>
          <w:lang w:val="en-GB"/>
        </w:rPr>
        <w:t xml:space="preserve"> in </w:t>
      </w:r>
      <w:smartTag w:uri="urn:schemas-microsoft-com:office:smarttags" w:element="place">
        <w:smartTag w:uri="urn:schemas-microsoft-com:office:smarttags" w:element="City">
          <w:r>
            <w:rPr>
              <w:rFonts w:cs="Arial"/>
              <w:sz w:val="24"/>
              <w:szCs w:val="24"/>
              <w:lang w:val="en-GB"/>
            </w:rPr>
            <w:t>Oslo</w:t>
          </w:r>
        </w:smartTag>
      </w:smartTag>
      <w:r w:rsidRPr="003C7A07">
        <w:rPr>
          <w:rFonts w:cs="Arial"/>
          <w:sz w:val="24"/>
          <w:szCs w:val="24"/>
          <w:lang w:val="en-GB"/>
        </w:rPr>
        <w:t xml:space="preserve">. These </w:t>
      </w:r>
      <w:r>
        <w:rPr>
          <w:rFonts w:cs="Arial"/>
          <w:sz w:val="24"/>
          <w:szCs w:val="24"/>
          <w:lang w:val="en-GB"/>
        </w:rPr>
        <w:t xml:space="preserve">landlords </w:t>
      </w:r>
      <w:r w:rsidRPr="003C7A07">
        <w:rPr>
          <w:rFonts w:cs="Arial"/>
          <w:sz w:val="24"/>
          <w:szCs w:val="24"/>
          <w:lang w:val="en-GB"/>
        </w:rPr>
        <w:t xml:space="preserve">dispose </w:t>
      </w:r>
      <w:r>
        <w:rPr>
          <w:rFonts w:cs="Arial"/>
          <w:sz w:val="24"/>
          <w:szCs w:val="24"/>
          <w:lang w:val="en-GB"/>
        </w:rPr>
        <w:t xml:space="preserve">of </w:t>
      </w:r>
      <w:r w:rsidRPr="003C7A07">
        <w:rPr>
          <w:rFonts w:cs="Arial"/>
          <w:sz w:val="24"/>
          <w:szCs w:val="24"/>
          <w:lang w:val="en-GB"/>
        </w:rPr>
        <w:t xml:space="preserve">different types of rentals which </w:t>
      </w:r>
      <w:r>
        <w:rPr>
          <w:rFonts w:cs="Arial"/>
          <w:sz w:val="24"/>
          <w:szCs w:val="24"/>
          <w:lang w:val="en-GB"/>
        </w:rPr>
        <w:t>seem to be more accessible</w:t>
      </w:r>
      <w:r w:rsidRPr="003C7A07">
        <w:rPr>
          <w:rFonts w:cs="Arial"/>
          <w:sz w:val="24"/>
          <w:szCs w:val="24"/>
          <w:lang w:val="en-GB"/>
        </w:rPr>
        <w:t xml:space="preserve"> for immigrants. Finland ha</w:t>
      </w:r>
      <w:r>
        <w:rPr>
          <w:rFonts w:cs="Arial"/>
          <w:sz w:val="24"/>
          <w:szCs w:val="24"/>
          <w:lang w:val="en-GB"/>
        </w:rPr>
        <w:t>s</w:t>
      </w:r>
      <w:r w:rsidRPr="003C7A07">
        <w:rPr>
          <w:rFonts w:cs="Arial"/>
          <w:sz w:val="24"/>
          <w:szCs w:val="24"/>
          <w:lang w:val="en-GB"/>
        </w:rPr>
        <w:t xml:space="preserve"> a more professionalised private rent</w:t>
      </w:r>
      <w:r>
        <w:rPr>
          <w:rFonts w:cs="Arial"/>
          <w:sz w:val="24"/>
          <w:szCs w:val="24"/>
          <w:lang w:val="en-GB"/>
        </w:rPr>
        <w:t>al</w:t>
      </w:r>
      <w:r w:rsidRPr="003C7A07">
        <w:rPr>
          <w:rFonts w:cs="Arial"/>
          <w:sz w:val="24"/>
          <w:szCs w:val="24"/>
          <w:lang w:val="en-GB"/>
        </w:rPr>
        <w:t xml:space="preserve"> sector, which put</w:t>
      </w:r>
      <w:r>
        <w:rPr>
          <w:rFonts w:cs="Arial"/>
          <w:sz w:val="24"/>
          <w:szCs w:val="24"/>
          <w:lang w:val="en-GB"/>
        </w:rPr>
        <w:t>s</w:t>
      </w:r>
      <w:r w:rsidRPr="003C7A07">
        <w:rPr>
          <w:rFonts w:cs="Arial"/>
          <w:sz w:val="24"/>
          <w:szCs w:val="24"/>
          <w:lang w:val="en-GB"/>
        </w:rPr>
        <w:t xml:space="preserve"> more weight on allocation by market mechanisms</w:t>
      </w:r>
      <w:r>
        <w:rPr>
          <w:rFonts w:cs="Arial"/>
          <w:sz w:val="24"/>
          <w:szCs w:val="24"/>
          <w:lang w:val="en-GB"/>
        </w:rPr>
        <w:t xml:space="preserve"> and</w:t>
      </w:r>
      <w:r w:rsidRPr="003C7A07">
        <w:rPr>
          <w:rFonts w:cs="Arial"/>
          <w:sz w:val="24"/>
          <w:szCs w:val="24"/>
          <w:lang w:val="en-GB"/>
        </w:rPr>
        <w:t xml:space="preserve"> should ensure immigrants</w:t>
      </w:r>
      <w:r>
        <w:rPr>
          <w:rFonts w:cs="Arial"/>
          <w:sz w:val="24"/>
          <w:szCs w:val="24"/>
          <w:lang w:val="en-GB"/>
        </w:rPr>
        <w:t>’</w:t>
      </w:r>
      <w:r w:rsidRPr="003C7A07">
        <w:rPr>
          <w:rFonts w:cs="Arial"/>
          <w:sz w:val="24"/>
          <w:szCs w:val="24"/>
          <w:lang w:val="en-GB"/>
        </w:rPr>
        <w:t xml:space="preserve"> access if they can pay the rent</w:t>
      </w:r>
      <w:r>
        <w:rPr>
          <w:rFonts w:cs="Arial"/>
          <w:sz w:val="24"/>
          <w:szCs w:val="24"/>
          <w:lang w:val="en-GB"/>
        </w:rPr>
        <w:t xml:space="preserve"> and discrimination does not take place</w:t>
      </w:r>
      <w:r w:rsidRPr="003C7A07">
        <w:rPr>
          <w:rFonts w:cs="Arial"/>
          <w:sz w:val="24"/>
          <w:szCs w:val="24"/>
          <w:lang w:val="en-GB"/>
        </w:rPr>
        <w:t xml:space="preserve">. In </w:t>
      </w:r>
      <w:r>
        <w:rPr>
          <w:rFonts w:cs="Arial"/>
          <w:sz w:val="24"/>
          <w:szCs w:val="24"/>
          <w:lang w:val="en-GB"/>
        </w:rPr>
        <w:t xml:space="preserve">Sweden, it is allowed for </w:t>
      </w:r>
      <w:r w:rsidRPr="003C7A07">
        <w:rPr>
          <w:rFonts w:cs="Arial"/>
          <w:sz w:val="24"/>
          <w:szCs w:val="24"/>
          <w:lang w:val="en-GB"/>
        </w:rPr>
        <w:t xml:space="preserve">municipalities </w:t>
      </w:r>
      <w:r>
        <w:rPr>
          <w:rFonts w:cs="Arial"/>
          <w:sz w:val="24"/>
          <w:szCs w:val="24"/>
          <w:lang w:val="en-GB"/>
        </w:rPr>
        <w:t xml:space="preserve">to </w:t>
      </w:r>
      <w:r w:rsidRPr="00DB5A56">
        <w:rPr>
          <w:rFonts w:cs="Arial"/>
          <w:sz w:val="24"/>
          <w:szCs w:val="24"/>
          <w:lang w:val="en-GB"/>
        </w:rPr>
        <w:t>establish</w:t>
      </w:r>
      <w:r>
        <w:rPr>
          <w:rFonts w:cs="Arial"/>
          <w:sz w:val="24"/>
          <w:szCs w:val="24"/>
          <w:lang w:val="en-GB"/>
        </w:rPr>
        <w:t xml:space="preserve"> </w:t>
      </w:r>
      <w:r w:rsidRPr="003C7A07">
        <w:rPr>
          <w:rFonts w:cs="Arial"/>
          <w:sz w:val="24"/>
          <w:szCs w:val="24"/>
          <w:lang w:val="en-GB"/>
        </w:rPr>
        <w:t>a central housing allocation service</w:t>
      </w:r>
      <w:r>
        <w:rPr>
          <w:rFonts w:cs="Arial"/>
          <w:sz w:val="24"/>
          <w:szCs w:val="24"/>
          <w:lang w:val="en-GB"/>
        </w:rPr>
        <w:t xml:space="preserve">, which is open </w:t>
      </w:r>
      <w:r w:rsidRPr="00F64292">
        <w:rPr>
          <w:rFonts w:cs="Arial"/>
          <w:sz w:val="24"/>
          <w:szCs w:val="24"/>
          <w:lang w:val="en-GB"/>
        </w:rPr>
        <w:t>to</w:t>
      </w:r>
      <w:r>
        <w:rPr>
          <w:rFonts w:cs="Arial"/>
          <w:sz w:val="24"/>
          <w:szCs w:val="24"/>
          <w:lang w:val="en-GB"/>
        </w:rPr>
        <w:t xml:space="preserve"> immigrants</w:t>
      </w:r>
      <w:r w:rsidRPr="003C7A07">
        <w:rPr>
          <w:rFonts w:cs="Arial"/>
          <w:sz w:val="24"/>
          <w:szCs w:val="24"/>
          <w:lang w:val="en-GB"/>
        </w:rPr>
        <w:t xml:space="preserve">, but </w:t>
      </w:r>
      <w:r w:rsidRPr="00720D27">
        <w:rPr>
          <w:rFonts w:cs="Arial"/>
          <w:sz w:val="24"/>
          <w:szCs w:val="24"/>
          <w:lang w:val="en-GB"/>
        </w:rPr>
        <w:t>the</w:t>
      </w:r>
      <w:r>
        <w:rPr>
          <w:rFonts w:cs="Arial"/>
          <w:sz w:val="24"/>
          <w:szCs w:val="24"/>
          <w:lang w:val="en-GB"/>
        </w:rPr>
        <w:t xml:space="preserve"> landlords</w:t>
      </w:r>
      <w:r w:rsidRPr="003C7A07">
        <w:rPr>
          <w:rFonts w:cs="Arial"/>
          <w:sz w:val="24"/>
          <w:szCs w:val="24"/>
          <w:lang w:val="en-GB"/>
        </w:rPr>
        <w:t xml:space="preserve"> are not obliged to</w:t>
      </w:r>
      <w:r>
        <w:rPr>
          <w:rFonts w:cs="Arial"/>
          <w:sz w:val="24"/>
          <w:szCs w:val="24"/>
          <w:lang w:val="en-GB"/>
        </w:rPr>
        <w:t xml:space="preserve"> use it</w:t>
      </w:r>
      <w:r w:rsidRPr="003C7A07">
        <w:rPr>
          <w:rFonts w:cs="Arial"/>
          <w:sz w:val="24"/>
          <w:szCs w:val="24"/>
          <w:lang w:val="en-GB"/>
        </w:rPr>
        <w:t xml:space="preserve">, so </w:t>
      </w:r>
      <w:r>
        <w:rPr>
          <w:rFonts w:cs="Arial"/>
          <w:sz w:val="24"/>
          <w:szCs w:val="24"/>
          <w:lang w:val="en-GB"/>
        </w:rPr>
        <w:t xml:space="preserve">here </w:t>
      </w:r>
      <w:r w:rsidRPr="003C7A07">
        <w:rPr>
          <w:rFonts w:cs="Arial"/>
          <w:sz w:val="24"/>
          <w:szCs w:val="24"/>
          <w:lang w:val="en-GB"/>
        </w:rPr>
        <w:t xml:space="preserve">personal contacts to landlords are </w:t>
      </w:r>
      <w:r>
        <w:rPr>
          <w:rFonts w:cs="Arial"/>
          <w:sz w:val="24"/>
          <w:szCs w:val="24"/>
          <w:lang w:val="en-GB"/>
        </w:rPr>
        <w:t xml:space="preserve">also </w:t>
      </w:r>
      <w:r w:rsidRPr="00255356">
        <w:rPr>
          <w:rFonts w:cs="Arial"/>
          <w:sz w:val="24"/>
          <w:szCs w:val="24"/>
          <w:lang w:val="en-GB"/>
        </w:rPr>
        <w:t>important.</w:t>
      </w:r>
      <w:r w:rsidR="0055489A">
        <w:rPr>
          <w:rFonts w:cs="Arial"/>
          <w:sz w:val="24"/>
          <w:szCs w:val="24"/>
          <w:lang w:val="en-GB"/>
        </w:rPr>
        <w:t xml:space="preserve"> Table 9 </w:t>
      </w:r>
      <w:r w:rsidRPr="00255356">
        <w:rPr>
          <w:rFonts w:cs="Arial"/>
          <w:sz w:val="24"/>
          <w:szCs w:val="24"/>
          <w:lang w:val="en-GB"/>
        </w:rPr>
        <w:t>indicates that immigrants in Sweden and Finland have much easier access to private renting than in Norway and Denmark.</w:t>
      </w:r>
    </w:p>
    <w:p w:rsidR="00681BD7" w:rsidRPr="00255356" w:rsidRDefault="00681BD7" w:rsidP="00681BD7">
      <w:pPr>
        <w:rPr>
          <w:rFonts w:cs="Arial"/>
          <w:sz w:val="24"/>
          <w:szCs w:val="24"/>
          <w:lang w:val="en-GB"/>
        </w:rPr>
      </w:pPr>
    </w:p>
    <w:p w:rsidR="00681BD7" w:rsidRPr="003C7A07" w:rsidRDefault="00681BD7" w:rsidP="00681BD7">
      <w:pPr>
        <w:rPr>
          <w:rFonts w:cs="Arial"/>
          <w:sz w:val="24"/>
          <w:szCs w:val="24"/>
          <w:lang w:val="en-GB"/>
        </w:rPr>
      </w:pPr>
      <w:r w:rsidRPr="003C7A07">
        <w:rPr>
          <w:rFonts w:cs="Arial"/>
          <w:sz w:val="24"/>
          <w:szCs w:val="24"/>
          <w:lang w:val="en-GB"/>
        </w:rPr>
        <w:t xml:space="preserve">Cooperatives in </w:t>
      </w:r>
      <w:smartTag w:uri="urn:schemas-microsoft-com:office:smarttags" w:element="country-region">
        <w:r w:rsidRPr="003C7A07">
          <w:rPr>
            <w:rFonts w:cs="Arial"/>
            <w:sz w:val="24"/>
            <w:szCs w:val="24"/>
            <w:lang w:val="en-GB"/>
          </w:rPr>
          <w:t>Denmark</w:t>
        </w:r>
      </w:smartTag>
      <w:r w:rsidRPr="003C7A07">
        <w:rPr>
          <w:rFonts w:cs="Arial"/>
          <w:sz w:val="24"/>
          <w:szCs w:val="24"/>
          <w:lang w:val="en-GB"/>
        </w:rPr>
        <w:t xml:space="preserve"> differ very much from coop</w:t>
      </w:r>
      <w:r>
        <w:rPr>
          <w:rFonts w:cs="Arial"/>
          <w:sz w:val="24"/>
          <w:szCs w:val="24"/>
          <w:lang w:val="en-GB"/>
        </w:rPr>
        <w:t>erative</w:t>
      </w:r>
      <w:r w:rsidRPr="003C7A07">
        <w:rPr>
          <w:rFonts w:cs="Arial"/>
          <w:sz w:val="24"/>
          <w:szCs w:val="24"/>
          <w:lang w:val="en-GB"/>
        </w:rPr>
        <w:t xml:space="preserve">s in </w:t>
      </w:r>
      <w:smartTag w:uri="urn:schemas-microsoft-com:office:smarttags" w:element="country-region">
        <w:r w:rsidRPr="003C7A07">
          <w:rPr>
            <w:rFonts w:cs="Arial"/>
            <w:sz w:val="24"/>
            <w:szCs w:val="24"/>
            <w:lang w:val="en-GB"/>
          </w:rPr>
          <w:t>Sweden</w:t>
        </w:r>
      </w:smartTag>
      <w:r w:rsidRPr="003C7A07">
        <w:rPr>
          <w:rFonts w:cs="Arial"/>
          <w:sz w:val="24"/>
          <w:szCs w:val="24"/>
          <w:lang w:val="en-GB"/>
        </w:rPr>
        <w:t xml:space="preserve"> and </w:t>
      </w:r>
      <w:smartTag w:uri="urn:schemas-microsoft-com:office:smarttags" w:element="place">
        <w:smartTag w:uri="urn:schemas-microsoft-com:office:smarttags" w:element="country-region">
          <w:r w:rsidRPr="003C7A07">
            <w:rPr>
              <w:rFonts w:cs="Arial"/>
              <w:sz w:val="24"/>
              <w:szCs w:val="24"/>
              <w:lang w:val="en-GB"/>
            </w:rPr>
            <w:t>Norway</w:t>
          </w:r>
        </w:smartTag>
      </w:smartTag>
      <w:r w:rsidRPr="003C7A07">
        <w:rPr>
          <w:rFonts w:cs="Arial"/>
          <w:sz w:val="24"/>
          <w:szCs w:val="24"/>
          <w:lang w:val="en-GB"/>
        </w:rPr>
        <w:t xml:space="preserve">. Access to Danish cooperatives </w:t>
      </w:r>
      <w:r>
        <w:rPr>
          <w:rFonts w:cs="Arial"/>
          <w:sz w:val="24"/>
          <w:szCs w:val="24"/>
          <w:lang w:val="en-GB"/>
        </w:rPr>
        <w:t>has</w:t>
      </w:r>
      <w:r w:rsidRPr="003C7A07">
        <w:rPr>
          <w:rFonts w:cs="Arial"/>
          <w:sz w:val="24"/>
          <w:szCs w:val="24"/>
          <w:lang w:val="en-GB"/>
        </w:rPr>
        <w:t xml:space="preserve"> been very difficult for immigrants</w:t>
      </w:r>
      <w:r>
        <w:rPr>
          <w:rFonts w:cs="Arial"/>
          <w:sz w:val="24"/>
          <w:szCs w:val="24"/>
          <w:lang w:val="en-GB"/>
        </w:rPr>
        <w:t>,</w:t>
      </w:r>
      <w:r w:rsidRPr="003C7A07">
        <w:rPr>
          <w:rFonts w:cs="Arial"/>
          <w:sz w:val="24"/>
          <w:szCs w:val="24"/>
          <w:lang w:val="en-GB"/>
        </w:rPr>
        <w:t xml:space="preserve"> because allocation of dwellings ha</w:t>
      </w:r>
      <w:r>
        <w:rPr>
          <w:rFonts w:cs="Arial"/>
          <w:sz w:val="24"/>
          <w:szCs w:val="24"/>
          <w:lang w:val="en-GB"/>
        </w:rPr>
        <w:t>s</w:t>
      </w:r>
      <w:r w:rsidRPr="003C7A07">
        <w:rPr>
          <w:rFonts w:cs="Arial"/>
          <w:sz w:val="24"/>
          <w:szCs w:val="24"/>
          <w:lang w:val="en-GB"/>
        </w:rPr>
        <w:t xml:space="preserve"> been controlled by the boards of the cooperatives, which </w:t>
      </w:r>
      <w:r>
        <w:rPr>
          <w:rFonts w:cs="Arial"/>
          <w:sz w:val="24"/>
          <w:szCs w:val="24"/>
          <w:lang w:val="en-GB"/>
        </w:rPr>
        <w:t xml:space="preserve">instead of immigrants </w:t>
      </w:r>
      <w:r w:rsidR="002C38E0">
        <w:rPr>
          <w:rFonts w:cs="Arial"/>
          <w:sz w:val="24"/>
          <w:szCs w:val="24"/>
          <w:lang w:val="en-GB"/>
        </w:rPr>
        <w:t xml:space="preserve">have </w:t>
      </w:r>
      <w:r w:rsidRPr="003C7A07">
        <w:rPr>
          <w:rFonts w:cs="Arial"/>
          <w:sz w:val="24"/>
          <w:szCs w:val="24"/>
          <w:lang w:val="en-GB"/>
        </w:rPr>
        <w:t xml:space="preserve">often chosen family </w:t>
      </w:r>
      <w:r>
        <w:rPr>
          <w:rFonts w:cs="Arial"/>
          <w:sz w:val="24"/>
          <w:szCs w:val="24"/>
          <w:lang w:val="en-GB"/>
        </w:rPr>
        <w:t>or</w:t>
      </w:r>
      <w:r w:rsidRPr="003C7A07">
        <w:rPr>
          <w:rFonts w:cs="Arial"/>
          <w:sz w:val="24"/>
          <w:szCs w:val="24"/>
          <w:lang w:val="en-GB"/>
        </w:rPr>
        <w:t xml:space="preserve"> fri</w:t>
      </w:r>
      <w:r>
        <w:rPr>
          <w:rFonts w:cs="Arial"/>
          <w:sz w:val="24"/>
          <w:szCs w:val="24"/>
          <w:lang w:val="en-GB"/>
        </w:rPr>
        <w:t>ends. In recent years, prices have</w:t>
      </w:r>
      <w:r w:rsidRPr="003C7A07">
        <w:rPr>
          <w:rFonts w:cs="Arial"/>
          <w:sz w:val="24"/>
          <w:szCs w:val="24"/>
          <w:lang w:val="en-GB"/>
        </w:rPr>
        <w:t xml:space="preserve"> gone up</w:t>
      </w:r>
      <w:r>
        <w:rPr>
          <w:rFonts w:cs="Arial"/>
          <w:sz w:val="24"/>
          <w:szCs w:val="24"/>
          <w:lang w:val="en-GB"/>
        </w:rPr>
        <w:t>,</w:t>
      </w:r>
      <w:r w:rsidRPr="003C7A07">
        <w:rPr>
          <w:rFonts w:cs="Arial"/>
          <w:sz w:val="24"/>
          <w:szCs w:val="24"/>
          <w:lang w:val="en-GB"/>
        </w:rPr>
        <w:t xml:space="preserve"> </w:t>
      </w:r>
      <w:r>
        <w:rPr>
          <w:rFonts w:cs="Arial"/>
          <w:sz w:val="24"/>
          <w:szCs w:val="24"/>
          <w:lang w:val="en-GB"/>
        </w:rPr>
        <w:t xml:space="preserve">in </w:t>
      </w:r>
      <w:r w:rsidRPr="003C7A07">
        <w:rPr>
          <w:rFonts w:cs="Arial"/>
          <w:sz w:val="24"/>
          <w:szCs w:val="24"/>
          <w:lang w:val="en-GB"/>
        </w:rPr>
        <w:t>some places to the market level, which in principle should make it easier for immigrants</w:t>
      </w:r>
      <w:r>
        <w:rPr>
          <w:rFonts w:cs="Arial"/>
          <w:sz w:val="24"/>
          <w:szCs w:val="24"/>
          <w:lang w:val="en-GB"/>
        </w:rPr>
        <w:t xml:space="preserve"> to get access if they</w:t>
      </w:r>
      <w:r w:rsidRPr="003C7A07">
        <w:rPr>
          <w:rFonts w:cs="Arial"/>
          <w:sz w:val="24"/>
          <w:szCs w:val="24"/>
          <w:lang w:val="en-GB"/>
        </w:rPr>
        <w:t xml:space="preserve"> can pay the prices. In </w:t>
      </w:r>
      <w:smartTag w:uri="urn:schemas-microsoft-com:office:smarttags" w:element="place">
        <w:smartTag w:uri="urn:schemas-microsoft-com:office:smarttags" w:element="country-region">
          <w:r w:rsidRPr="003C7A07">
            <w:rPr>
              <w:rFonts w:cs="Arial"/>
              <w:sz w:val="24"/>
              <w:szCs w:val="24"/>
              <w:lang w:val="en-GB"/>
            </w:rPr>
            <w:t>Norway</w:t>
          </w:r>
        </w:smartTag>
      </w:smartTag>
      <w:r>
        <w:rPr>
          <w:rFonts w:cs="Arial"/>
          <w:sz w:val="24"/>
          <w:szCs w:val="24"/>
          <w:lang w:val="en-GB"/>
        </w:rPr>
        <w:t>,</w:t>
      </w:r>
      <w:r w:rsidRPr="003C7A07">
        <w:rPr>
          <w:rFonts w:cs="Arial"/>
          <w:sz w:val="24"/>
          <w:szCs w:val="24"/>
          <w:lang w:val="en-GB"/>
        </w:rPr>
        <w:t xml:space="preserve"> access to cooperatives is market based, combined with seniority. The applicants have to be formally accepted by the boards of the cooperatives, but there is not much room for discrimination. In </w:t>
      </w:r>
      <w:smartTag w:uri="urn:schemas-microsoft-com:office:smarttags" w:element="place">
        <w:smartTag w:uri="urn:schemas-microsoft-com:office:smarttags" w:element="country-region">
          <w:r w:rsidRPr="003C7A07">
            <w:rPr>
              <w:rFonts w:cs="Arial"/>
              <w:sz w:val="24"/>
              <w:szCs w:val="24"/>
              <w:lang w:val="en-GB"/>
            </w:rPr>
            <w:t>Sweden</w:t>
          </w:r>
        </w:smartTag>
      </w:smartTag>
      <w:r>
        <w:rPr>
          <w:rFonts w:cs="Arial"/>
          <w:sz w:val="24"/>
          <w:szCs w:val="24"/>
          <w:lang w:val="en-GB"/>
        </w:rPr>
        <w:t>,</w:t>
      </w:r>
      <w:r w:rsidRPr="003C7A07">
        <w:rPr>
          <w:rFonts w:cs="Arial"/>
          <w:sz w:val="24"/>
          <w:szCs w:val="24"/>
          <w:lang w:val="en-GB"/>
        </w:rPr>
        <w:t xml:space="preserve"> allocation is market</w:t>
      </w:r>
      <w:r w:rsidR="002C38E0">
        <w:rPr>
          <w:rFonts w:cs="Arial"/>
          <w:sz w:val="24"/>
          <w:szCs w:val="24"/>
          <w:lang w:val="en-GB"/>
        </w:rPr>
        <w:t>-</w:t>
      </w:r>
      <w:r w:rsidRPr="003C7A07">
        <w:rPr>
          <w:rFonts w:cs="Arial"/>
          <w:sz w:val="24"/>
          <w:szCs w:val="24"/>
          <w:lang w:val="en-GB"/>
        </w:rPr>
        <w:t>based.</w:t>
      </w:r>
      <w:r>
        <w:rPr>
          <w:rFonts w:cs="Arial"/>
          <w:sz w:val="24"/>
          <w:szCs w:val="24"/>
          <w:lang w:val="en-GB"/>
        </w:rPr>
        <w:t xml:space="preserve"> In new construction, which earlier w</w:t>
      </w:r>
      <w:r w:rsidR="002C38E0">
        <w:rPr>
          <w:rFonts w:cs="Arial"/>
          <w:sz w:val="24"/>
          <w:szCs w:val="24"/>
          <w:lang w:val="en-GB"/>
        </w:rPr>
        <w:t>as</w:t>
      </w:r>
      <w:r>
        <w:rPr>
          <w:rFonts w:cs="Arial"/>
          <w:sz w:val="24"/>
          <w:szCs w:val="24"/>
          <w:lang w:val="en-GB"/>
        </w:rPr>
        <w:t xml:space="preserve"> given subsidies, waiting lists are used with seniority as the allocation principle.</w:t>
      </w:r>
    </w:p>
    <w:p w:rsidR="00681BD7" w:rsidRDefault="00681BD7" w:rsidP="00681BD7">
      <w:pPr>
        <w:rPr>
          <w:rFonts w:cs="Arial"/>
          <w:sz w:val="24"/>
          <w:szCs w:val="24"/>
          <w:lang w:val="en-GB"/>
        </w:rPr>
      </w:pPr>
    </w:p>
    <w:p w:rsidR="00681BD7" w:rsidRPr="00255356" w:rsidRDefault="00681BD7" w:rsidP="00681BD7">
      <w:pPr>
        <w:rPr>
          <w:rFonts w:cs="Arial"/>
          <w:sz w:val="24"/>
          <w:szCs w:val="24"/>
          <w:lang w:val="en-GB"/>
        </w:rPr>
      </w:pPr>
      <w:r w:rsidRPr="003C7A07">
        <w:rPr>
          <w:rFonts w:cs="Arial"/>
          <w:sz w:val="24"/>
          <w:szCs w:val="24"/>
          <w:lang w:val="en-GB"/>
        </w:rPr>
        <w:lastRenderedPageBreak/>
        <w:t xml:space="preserve">Access to owner-occupied </w:t>
      </w:r>
      <w:r w:rsidRPr="00DB6258">
        <w:rPr>
          <w:rFonts w:cs="Arial"/>
          <w:sz w:val="24"/>
          <w:szCs w:val="24"/>
          <w:lang w:val="en-GB"/>
        </w:rPr>
        <w:t xml:space="preserve">housing </w:t>
      </w:r>
      <w:r w:rsidRPr="00DB6258">
        <w:rPr>
          <w:sz w:val="24"/>
          <w:lang w:val="en-GB"/>
        </w:rPr>
        <w:t>is market</w:t>
      </w:r>
      <w:r w:rsidR="006542E6">
        <w:rPr>
          <w:sz w:val="24"/>
          <w:lang w:val="en-GB"/>
        </w:rPr>
        <w:t>-</w:t>
      </w:r>
      <w:r w:rsidRPr="00DB6258">
        <w:rPr>
          <w:sz w:val="24"/>
          <w:lang w:val="en-GB"/>
        </w:rPr>
        <w:t>based</w:t>
      </w:r>
      <w:r w:rsidRPr="003C7A07">
        <w:rPr>
          <w:rFonts w:cs="Arial"/>
          <w:sz w:val="24"/>
          <w:szCs w:val="24"/>
          <w:lang w:val="en-GB"/>
        </w:rPr>
        <w:t xml:space="preserve"> in all </w:t>
      </w:r>
      <w:r>
        <w:rPr>
          <w:rFonts w:cs="Arial"/>
          <w:sz w:val="24"/>
          <w:szCs w:val="24"/>
          <w:lang w:val="en-GB"/>
        </w:rPr>
        <w:t xml:space="preserve">the </w:t>
      </w:r>
      <w:r w:rsidRPr="003C7A07">
        <w:rPr>
          <w:rFonts w:cs="Arial"/>
          <w:sz w:val="24"/>
          <w:szCs w:val="24"/>
          <w:lang w:val="en-GB"/>
        </w:rPr>
        <w:t>countries.</w:t>
      </w:r>
      <w:r>
        <w:rPr>
          <w:rFonts w:cs="Arial"/>
          <w:sz w:val="24"/>
          <w:szCs w:val="24"/>
          <w:lang w:val="en-GB"/>
        </w:rPr>
        <w:t xml:space="preserve"> There is not much research on discrimination against home buyers in </w:t>
      </w:r>
      <w:r w:rsidRPr="0018732A">
        <w:rPr>
          <w:rFonts w:cs="Arial"/>
          <w:sz w:val="24"/>
          <w:szCs w:val="24"/>
          <w:lang w:val="en-GB"/>
        </w:rPr>
        <w:t>the</w:t>
      </w:r>
      <w:r>
        <w:rPr>
          <w:rFonts w:cs="Arial"/>
          <w:sz w:val="24"/>
          <w:szCs w:val="24"/>
          <w:lang w:val="en-GB"/>
        </w:rPr>
        <w:t xml:space="preserve"> Nordic countries, as is the case in the U.S. Avoiding strategies from sellers, neighbours and estate agents are however documented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but seems to be less frequent than discrimination in the rental market (</w:t>
      </w:r>
      <w:proofErr w:type="spellStart"/>
      <w:r>
        <w:rPr>
          <w:rFonts w:cs="Arial"/>
          <w:sz w:val="24"/>
          <w:szCs w:val="24"/>
          <w:lang w:val="en-GB"/>
        </w:rPr>
        <w:t>Søholt</w:t>
      </w:r>
      <w:proofErr w:type="spellEnd"/>
      <w:r>
        <w:rPr>
          <w:rFonts w:cs="Arial"/>
          <w:sz w:val="24"/>
          <w:szCs w:val="24"/>
          <w:lang w:val="en-GB"/>
        </w:rPr>
        <w:t xml:space="preserve"> 2007, </w:t>
      </w:r>
      <w:proofErr w:type="spellStart"/>
      <w:r>
        <w:rPr>
          <w:rFonts w:cs="Arial"/>
          <w:sz w:val="24"/>
          <w:szCs w:val="24"/>
          <w:lang w:val="en-GB"/>
        </w:rPr>
        <w:t>Søholt</w:t>
      </w:r>
      <w:proofErr w:type="spellEnd"/>
      <w:r>
        <w:rPr>
          <w:rFonts w:cs="Arial"/>
          <w:sz w:val="24"/>
          <w:szCs w:val="24"/>
          <w:lang w:val="en-GB"/>
        </w:rPr>
        <w:t xml:space="preserve"> and </w:t>
      </w:r>
      <w:proofErr w:type="spellStart"/>
      <w:r>
        <w:rPr>
          <w:rFonts w:cs="Arial"/>
          <w:sz w:val="24"/>
          <w:szCs w:val="24"/>
          <w:lang w:val="en-GB"/>
        </w:rPr>
        <w:t>Astrup</w:t>
      </w:r>
      <w:proofErr w:type="spellEnd"/>
      <w:r>
        <w:rPr>
          <w:rFonts w:cs="Arial"/>
          <w:sz w:val="24"/>
          <w:szCs w:val="24"/>
          <w:lang w:val="en-GB"/>
        </w:rPr>
        <w:t xml:space="preserve"> 2009a). But immigrants could have difficulties in getting loans or mortgages for housing. This depends very much on the kinds of finance </w:t>
      </w:r>
      <w:r w:rsidRPr="00255356">
        <w:rPr>
          <w:rFonts w:cs="Arial"/>
          <w:sz w:val="24"/>
          <w:szCs w:val="24"/>
          <w:lang w:val="en-GB"/>
        </w:rPr>
        <w:t xml:space="preserve">and subsidies available in the </w:t>
      </w:r>
      <w:r w:rsidR="0018732A">
        <w:rPr>
          <w:rFonts w:cs="Arial"/>
          <w:sz w:val="24"/>
          <w:szCs w:val="24"/>
          <w:lang w:val="en-GB"/>
        </w:rPr>
        <w:t xml:space="preserve">various </w:t>
      </w:r>
      <w:r w:rsidRPr="00255356">
        <w:rPr>
          <w:rFonts w:cs="Arial"/>
          <w:sz w:val="24"/>
          <w:szCs w:val="24"/>
          <w:lang w:val="en-GB"/>
        </w:rPr>
        <w:t>countries, which is discussed below.</w:t>
      </w:r>
    </w:p>
    <w:p w:rsidR="00681BD7" w:rsidRPr="00255356" w:rsidRDefault="00681BD7" w:rsidP="00681BD7">
      <w:pPr>
        <w:rPr>
          <w:rFonts w:cs="Arial"/>
          <w:sz w:val="24"/>
          <w:szCs w:val="24"/>
          <w:lang w:val="en-GB"/>
        </w:rPr>
      </w:pPr>
    </w:p>
    <w:p w:rsidR="00FD29BA" w:rsidRPr="00681BD7" w:rsidRDefault="00681BD7" w:rsidP="00FD29BA">
      <w:pPr>
        <w:rPr>
          <w:lang w:val="en-GB"/>
        </w:rPr>
      </w:pPr>
      <w:r w:rsidRPr="0055489A">
        <w:rPr>
          <w:sz w:val="24"/>
          <w:szCs w:val="24"/>
          <w:lang w:val="en-US"/>
        </w:rPr>
        <w:t>In</w:t>
      </w:r>
      <w:r w:rsidR="0055489A">
        <w:rPr>
          <w:sz w:val="24"/>
          <w:szCs w:val="24"/>
          <w:lang w:val="en-US"/>
        </w:rPr>
        <w:t xml:space="preserve"> Table 7 </w:t>
      </w:r>
      <w:r w:rsidRPr="00255356">
        <w:rPr>
          <w:rFonts w:cs="Arial"/>
          <w:sz w:val="24"/>
          <w:szCs w:val="24"/>
          <w:lang w:val="en-GB"/>
        </w:rPr>
        <w:t xml:space="preserve">an evaluation is made of the </w:t>
      </w:r>
      <w:r w:rsidRPr="005151D7">
        <w:rPr>
          <w:rFonts w:cs="Arial"/>
          <w:sz w:val="24"/>
          <w:szCs w:val="24"/>
          <w:lang w:val="en-GB"/>
        </w:rPr>
        <w:t>eas</w:t>
      </w:r>
      <w:r w:rsidR="006542E6" w:rsidRPr="00661B7C">
        <w:rPr>
          <w:rFonts w:cs="Arial"/>
          <w:sz w:val="24"/>
          <w:szCs w:val="24"/>
          <w:lang w:val="en-GB"/>
        </w:rPr>
        <w:t>e</w:t>
      </w:r>
      <w:r w:rsidR="0018732A">
        <w:rPr>
          <w:rFonts w:cs="Arial"/>
          <w:sz w:val="24"/>
          <w:szCs w:val="24"/>
          <w:lang w:val="en-GB"/>
        </w:rPr>
        <w:t xml:space="preserve"> with which immigrants</w:t>
      </w:r>
      <w:r w:rsidRPr="00255356">
        <w:rPr>
          <w:rFonts w:cs="Arial"/>
          <w:sz w:val="24"/>
          <w:szCs w:val="24"/>
          <w:lang w:val="en-GB"/>
        </w:rPr>
        <w:t xml:space="preserve"> access different tenures in the countries. It is based on the circumstances described above concerning supply of different tenures and of the described rules </w:t>
      </w:r>
      <w:r w:rsidRPr="00F64292">
        <w:rPr>
          <w:rFonts w:cs="Arial"/>
          <w:sz w:val="24"/>
          <w:szCs w:val="24"/>
          <w:lang w:val="en-GB"/>
        </w:rPr>
        <w:t>for</w:t>
      </w:r>
      <w:r w:rsidRPr="00255356">
        <w:rPr>
          <w:rFonts w:cs="Arial"/>
          <w:sz w:val="24"/>
          <w:szCs w:val="24"/>
          <w:lang w:val="en-GB"/>
        </w:rPr>
        <w:t xml:space="preserve"> access and practices of administration</w:t>
      </w:r>
      <w:r>
        <w:rPr>
          <w:rFonts w:cs="Arial"/>
          <w:sz w:val="24"/>
          <w:szCs w:val="24"/>
          <w:lang w:val="en-GB"/>
        </w:rPr>
        <w:t>. Three factors are considered to determine the evaluations: the relative size of the tenure, which especially applies to the rental sectors, specific rules regulating access, and finally whether conditions on the market make room for discrimination of immigrants.</w:t>
      </w:r>
    </w:p>
    <w:p w:rsidR="00FD29BA" w:rsidRPr="00681BD7" w:rsidRDefault="00FD29BA" w:rsidP="00FD29BA">
      <w:pPr>
        <w:rPr>
          <w:rFonts w:cs="Arial"/>
          <w:sz w:val="24"/>
          <w:szCs w:val="24"/>
          <w:lang w:val="en-GB"/>
        </w:rPr>
      </w:pPr>
    </w:p>
    <w:p w:rsidR="00FD29BA" w:rsidRPr="0071111F" w:rsidRDefault="0018676A" w:rsidP="00FD29BA">
      <w:pPr>
        <w:rPr>
          <w:rFonts w:cs="Arial"/>
          <w:sz w:val="24"/>
          <w:szCs w:val="24"/>
          <w:lang w:val="en-GB"/>
        </w:rPr>
      </w:pPr>
      <w:r>
        <w:rPr>
          <w:rFonts w:cs="Arial"/>
          <w:sz w:val="24"/>
          <w:szCs w:val="24"/>
          <w:lang w:val="en-GB"/>
        </w:rPr>
        <w:t>(Table 7</w:t>
      </w:r>
      <w:r w:rsidR="00FD29BA" w:rsidRPr="0071111F">
        <w:rPr>
          <w:rFonts w:cs="Arial"/>
          <w:sz w:val="24"/>
          <w:szCs w:val="24"/>
          <w:lang w:val="en-GB"/>
        </w:rPr>
        <w:t>)</w:t>
      </w:r>
    </w:p>
    <w:p w:rsidR="00FD29BA" w:rsidRDefault="00FD29BA" w:rsidP="00FD29BA">
      <w:pPr>
        <w:rPr>
          <w:rFonts w:cs="Arial"/>
          <w:sz w:val="24"/>
          <w:szCs w:val="24"/>
          <w:lang w:val="en-US"/>
        </w:rPr>
      </w:pPr>
    </w:p>
    <w:p w:rsidR="00FD29BA" w:rsidRPr="00EA1C82" w:rsidRDefault="00FD29BA" w:rsidP="00FD29BA">
      <w:pPr>
        <w:rPr>
          <w:rFonts w:cs="Arial"/>
          <w:sz w:val="24"/>
          <w:szCs w:val="24"/>
          <w:lang w:val="en-US"/>
        </w:rPr>
      </w:pPr>
      <w:r>
        <w:rPr>
          <w:rFonts w:cs="Arial"/>
          <w:sz w:val="24"/>
          <w:szCs w:val="24"/>
          <w:lang w:val="en-GB"/>
        </w:rPr>
        <w:t xml:space="preserve">Our conclusion is that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Pr>
          <w:rFonts w:cs="Arial"/>
          <w:sz w:val="24"/>
          <w:szCs w:val="24"/>
          <w:lang w:val="en-GB"/>
        </w:rPr>
        <w:t xml:space="preserve"> has the most differentiated housing market with great differences between immigrants’ opportunities for access to the tenures. </w:t>
      </w:r>
    </w:p>
    <w:p w:rsidR="00FD29BA" w:rsidRDefault="00FD29BA" w:rsidP="00FD29BA">
      <w:pPr>
        <w:rPr>
          <w:rFonts w:cs="Arial"/>
          <w:sz w:val="24"/>
          <w:szCs w:val="24"/>
          <w:lang w:val="en-GB"/>
        </w:rPr>
      </w:pPr>
      <w:r>
        <w:rPr>
          <w:rFonts w:cs="Arial"/>
          <w:sz w:val="24"/>
          <w:szCs w:val="24"/>
          <w:lang w:val="en-US"/>
        </w:rPr>
        <w:t xml:space="preserve">Access to </w:t>
      </w:r>
      <w:r>
        <w:rPr>
          <w:rFonts w:cs="Arial"/>
          <w:sz w:val="24"/>
          <w:szCs w:val="24"/>
          <w:lang w:val="en-GB"/>
        </w:rPr>
        <w:t>social/public housing</w:t>
      </w:r>
      <w:r w:rsidRPr="0071111F">
        <w:rPr>
          <w:rFonts w:cs="Arial"/>
          <w:sz w:val="24"/>
          <w:szCs w:val="24"/>
          <w:lang w:val="en-GB"/>
        </w:rPr>
        <w:t xml:space="preserve"> is most difficult in </w:t>
      </w:r>
      <w:smartTag w:uri="urn:schemas-microsoft-com:office:smarttags" w:element="City">
        <w:smartTag w:uri="urn:schemas-microsoft-com:office:smarttags" w:element="place">
          <w:smartTag w:uri="urn:schemas-microsoft-com:office:smarttags" w:element="country-region">
            <w:r w:rsidRPr="0071111F">
              <w:rPr>
                <w:rFonts w:cs="Arial"/>
                <w:sz w:val="24"/>
                <w:szCs w:val="24"/>
                <w:lang w:val="en-GB"/>
              </w:rPr>
              <w:t>Norway</w:t>
            </w:r>
          </w:smartTag>
        </w:smartTag>
      </w:smartTag>
      <w:r w:rsidRPr="0071111F">
        <w:rPr>
          <w:rFonts w:cs="Arial"/>
          <w:sz w:val="24"/>
          <w:szCs w:val="24"/>
          <w:lang w:val="en-GB"/>
        </w:rPr>
        <w:t>. In all the countries</w:t>
      </w:r>
      <w:r w:rsidR="006542E6">
        <w:rPr>
          <w:rFonts w:cs="Arial"/>
          <w:sz w:val="24"/>
          <w:szCs w:val="24"/>
          <w:lang w:val="en-GB"/>
        </w:rPr>
        <w:t>,</w:t>
      </w:r>
      <w:r w:rsidRPr="0071111F">
        <w:rPr>
          <w:rFonts w:cs="Arial"/>
          <w:sz w:val="24"/>
          <w:szCs w:val="24"/>
          <w:lang w:val="en-GB"/>
        </w:rPr>
        <w:t xml:space="preserve"> private renting is the least accessible tenure.  Access to cooperatives is most difficult in </w:t>
      </w:r>
      <w:smartTag w:uri="urn:schemas-microsoft-com:office:smarttags" w:element="City">
        <w:smartTag w:uri="urn:schemas-microsoft-com:office:smarttags" w:element="place">
          <w:smartTag w:uri="urn:schemas-microsoft-com:office:smarttags" w:element="country-region">
            <w:r w:rsidRPr="0071111F">
              <w:rPr>
                <w:rFonts w:cs="Arial"/>
                <w:sz w:val="24"/>
                <w:szCs w:val="24"/>
                <w:lang w:val="en-GB"/>
              </w:rPr>
              <w:t>Denmark</w:t>
            </w:r>
          </w:smartTag>
        </w:smartTag>
      </w:smartTag>
      <w:r w:rsidRPr="0071111F">
        <w:rPr>
          <w:rFonts w:cs="Arial"/>
          <w:sz w:val="24"/>
          <w:szCs w:val="24"/>
          <w:lang w:val="en-GB"/>
        </w:rPr>
        <w:t xml:space="preserve"> </w:t>
      </w:r>
      <w:r w:rsidR="0018732A">
        <w:rPr>
          <w:rFonts w:cs="Arial"/>
          <w:sz w:val="24"/>
          <w:szCs w:val="24"/>
          <w:lang w:val="en-GB"/>
        </w:rPr>
        <w:t>due to</w:t>
      </w:r>
      <w:r>
        <w:rPr>
          <w:rFonts w:cs="Arial"/>
          <w:sz w:val="24"/>
          <w:szCs w:val="24"/>
          <w:lang w:val="en-GB"/>
        </w:rPr>
        <w:t xml:space="preserve"> price regulations</w:t>
      </w:r>
      <w:r w:rsidRPr="0071111F">
        <w:rPr>
          <w:rFonts w:cs="Arial"/>
          <w:sz w:val="24"/>
          <w:szCs w:val="24"/>
          <w:lang w:val="en-GB"/>
        </w:rPr>
        <w:t>. Access to ownership is based on market conditions in all the countries.</w:t>
      </w:r>
    </w:p>
    <w:p w:rsidR="00FD29BA" w:rsidRPr="00365676" w:rsidRDefault="00FD29BA" w:rsidP="00FD29BA">
      <w:pPr>
        <w:pStyle w:val="Overskrift3"/>
        <w:rPr>
          <w:lang w:val="en-GB"/>
        </w:rPr>
      </w:pPr>
      <w:r w:rsidRPr="00365676">
        <w:rPr>
          <w:lang w:val="en-GB"/>
        </w:rPr>
        <w:t xml:space="preserve">Comparison of immigrants’ housing situation in </w:t>
      </w:r>
      <w:r w:rsidR="006542E6">
        <w:rPr>
          <w:lang w:val="en-GB"/>
        </w:rPr>
        <w:t xml:space="preserve">four </w:t>
      </w:r>
      <w:r w:rsidRPr="00365676">
        <w:rPr>
          <w:lang w:val="en-GB"/>
        </w:rPr>
        <w:t>Nordic countries</w:t>
      </w:r>
    </w:p>
    <w:p w:rsidR="00FD29BA" w:rsidRPr="00365676" w:rsidRDefault="00FD29BA" w:rsidP="00FD29BA">
      <w:pPr>
        <w:rPr>
          <w:sz w:val="24"/>
          <w:szCs w:val="24"/>
          <w:lang w:val="en-GB"/>
        </w:rPr>
      </w:pPr>
      <w:r w:rsidRPr="00365676">
        <w:rPr>
          <w:sz w:val="24"/>
          <w:szCs w:val="24"/>
          <w:lang w:val="en-GB"/>
        </w:rPr>
        <w:t>As described in the introduction</w:t>
      </w:r>
      <w:r w:rsidR="006542E6">
        <w:rPr>
          <w:sz w:val="24"/>
          <w:szCs w:val="24"/>
          <w:lang w:val="en-GB"/>
        </w:rPr>
        <w:t>,</w:t>
      </w:r>
      <w:r w:rsidRPr="00365676">
        <w:rPr>
          <w:sz w:val="24"/>
          <w:szCs w:val="24"/>
          <w:lang w:val="en-GB"/>
        </w:rPr>
        <w:t xml:space="preserve"> we will compare immigrants’ housing situation in the four countries by looking at the ethnic segmentation of the housing markets, that is how immigrants are distributed on housing tenures, and to wh</w:t>
      </w:r>
      <w:r w:rsidR="0018732A">
        <w:rPr>
          <w:sz w:val="24"/>
          <w:szCs w:val="24"/>
          <w:lang w:val="en-GB"/>
        </w:rPr>
        <w:t>at</w:t>
      </w:r>
      <w:r w:rsidRPr="00365676">
        <w:rPr>
          <w:sz w:val="24"/>
          <w:szCs w:val="24"/>
          <w:lang w:val="en-GB"/>
        </w:rPr>
        <w:t xml:space="preserve"> extent immigrants liv</w:t>
      </w:r>
      <w:r w:rsidR="0018732A">
        <w:rPr>
          <w:sz w:val="24"/>
          <w:szCs w:val="24"/>
          <w:lang w:val="en-GB"/>
        </w:rPr>
        <w:t>e</w:t>
      </w:r>
      <w:r w:rsidRPr="00365676">
        <w:rPr>
          <w:sz w:val="24"/>
          <w:szCs w:val="24"/>
          <w:lang w:val="en-GB"/>
        </w:rPr>
        <w:t xml:space="preserve"> in overcrowded dwellings.</w:t>
      </w:r>
    </w:p>
    <w:p w:rsidR="00FD29BA" w:rsidRPr="00365676" w:rsidRDefault="00FD29BA" w:rsidP="00FD29BA">
      <w:pPr>
        <w:rPr>
          <w:sz w:val="24"/>
          <w:szCs w:val="24"/>
          <w:lang w:val="en-GB"/>
        </w:rPr>
      </w:pPr>
    </w:p>
    <w:p w:rsidR="00FD29BA" w:rsidRPr="00CD1CBB" w:rsidRDefault="00FD29BA" w:rsidP="00FD29BA">
      <w:pPr>
        <w:rPr>
          <w:rFonts w:cs="Arial"/>
          <w:i/>
          <w:sz w:val="24"/>
          <w:szCs w:val="24"/>
          <w:lang w:val="en-GB"/>
        </w:rPr>
      </w:pPr>
      <w:r>
        <w:rPr>
          <w:rFonts w:cs="Arial"/>
          <w:i/>
          <w:sz w:val="24"/>
          <w:szCs w:val="24"/>
          <w:lang w:val="en-GB"/>
        </w:rPr>
        <w:t>Ethnic segmentation</w:t>
      </w:r>
    </w:p>
    <w:p w:rsidR="00FD29BA" w:rsidRPr="007E393E" w:rsidRDefault="00FD29BA" w:rsidP="00FD29BA">
      <w:pPr>
        <w:rPr>
          <w:rFonts w:cs="Arial"/>
          <w:sz w:val="24"/>
          <w:szCs w:val="24"/>
          <w:lang w:val="en-GB"/>
        </w:rPr>
      </w:pPr>
      <w:r>
        <w:rPr>
          <w:rFonts w:cs="Arial"/>
          <w:sz w:val="24"/>
          <w:szCs w:val="24"/>
          <w:lang w:val="en-GB"/>
        </w:rPr>
        <w:t>Ethnic segmentation on</w:t>
      </w:r>
      <w:r w:rsidRPr="005C1E45">
        <w:rPr>
          <w:rFonts w:cs="Arial"/>
          <w:sz w:val="24"/>
          <w:szCs w:val="24"/>
          <w:lang w:val="en-GB"/>
        </w:rPr>
        <w:t xml:space="preserve"> the housing market can be examined by comparing the distribution of immigrants on tenures with the distribution of the whole population. </w:t>
      </w:r>
      <w:r w:rsidR="0018676A">
        <w:rPr>
          <w:rFonts w:cs="Arial"/>
          <w:sz w:val="24"/>
          <w:szCs w:val="24"/>
          <w:lang w:val="en-GB"/>
        </w:rPr>
        <w:t>Table</w:t>
      </w:r>
      <w:r w:rsidR="006542E6">
        <w:rPr>
          <w:rFonts w:cs="Arial"/>
          <w:sz w:val="24"/>
          <w:szCs w:val="24"/>
          <w:lang w:val="en-GB"/>
        </w:rPr>
        <w:t>s</w:t>
      </w:r>
      <w:r w:rsidR="0018676A">
        <w:rPr>
          <w:rFonts w:cs="Arial"/>
          <w:sz w:val="24"/>
          <w:szCs w:val="24"/>
          <w:lang w:val="en-GB"/>
        </w:rPr>
        <w:t xml:space="preserve"> 8</w:t>
      </w:r>
      <w:r w:rsidRPr="005C1E45">
        <w:rPr>
          <w:rFonts w:cs="Arial"/>
          <w:sz w:val="24"/>
          <w:szCs w:val="24"/>
          <w:lang w:val="en-GB"/>
        </w:rPr>
        <w:t xml:space="preserve"> and </w:t>
      </w:r>
      <w:r w:rsidR="0018676A">
        <w:rPr>
          <w:rFonts w:cs="Arial"/>
          <w:sz w:val="24"/>
          <w:szCs w:val="24"/>
          <w:lang w:val="en-GB"/>
        </w:rPr>
        <w:t>9</w:t>
      </w:r>
      <w:r w:rsidRPr="005C1E45">
        <w:rPr>
          <w:rFonts w:cs="Arial"/>
          <w:sz w:val="24"/>
          <w:szCs w:val="24"/>
          <w:lang w:val="en-GB"/>
        </w:rPr>
        <w:t xml:space="preserve"> show how immigrants are distributed on tenures and the</w:t>
      </w:r>
      <w:r>
        <w:rPr>
          <w:rFonts w:cs="Arial"/>
          <w:sz w:val="24"/>
          <w:szCs w:val="24"/>
          <w:lang w:val="en-GB"/>
        </w:rPr>
        <w:t>ir calculated over or under-representation in each form of tenure.</w:t>
      </w:r>
      <w:r w:rsidRPr="005C1E45">
        <w:rPr>
          <w:rFonts w:cs="Arial"/>
          <w:sz w:val="24"/>
          <w:szCs w:val="24"/>
          <w:lang w:val="en-GB"/>
        </w:rPr>
        <w:t xml:space="preserve"> Moreover</w:t>
      </w:r>
      <w:r w:rsidR="00681BD7">
        <w:rPr>
          <w:rFonts w:cs="Arial"/>
          <w:sz w:val="24"/>
          <w:szCs w:val="24"/>
          <w:lang w:val="en-GB"/>
        </w:rPr>
        <w:t>,</w:t>
      </w:r>
      <w:r w:rsidRPr="005C1E45">
        <w:rPr>
          <w:rFonts w:cs="Arial"/>
          <w:sz w:val="24"/>
          <w:szCs w:val="24"/>
          <w:lang w:val="en-GB"/>
        </w:rPr>
        <w:t xml:space="preserve"> a calcu</w:t>
      </w:r>
      <w:r>
        <w:rPr>
          <w:rFonts w:cs="Arial"/>
          <w:sz w:val="24"/>
          <w:szCs w:val="24"/>
          <w:lang w:val="en-GB"/>
        </w:rPr>
        <w:t>lated index of segmentation for</w:t>
      </w:r>
      <w:r w:rsidRPr="005C1E45">
        <w:rPr>
          <w:rFonts w:cs="Arial"/>
          <w:sz w:val="24"/>
          <w:szCs w:val="24"/>
          <w:lang w:val="en-GB"/>
        </w:rPr>
        <w:t xml:space="preserve"> each </w:t>
      </w:r>
      <w:r w:rsidRPr="007E393E">
        <w:rPr>
          <w:rFonts w:cs="Arial"/>
          <w:sz w:val="24"/>
          <w:szCs w:val="24"/>
          <w:lang w:val="en-GB"/>
        </w:rPr>
        <w:t>country</w:t>
      </w:r>
      <w:r w:rsidR="00681BD7">
        <w:rPr>
          <w:rFonts w:cs="Arial"/>
          <w:sz w:val="24"/>
          <w:szCs w:val="24"/>
          <w:lang w:val="en-GB"/>
        </w:rPr>
        <w:t xml:space="preserve"> </w:t>
      </w:r>
      <w:r w:rsidR="00681BD7" w:rsidRPr="005C1E45">
        <w:rPr>
          <w:rFonts w:cs="Arial"/>
          <w:sz w:val="24"/>
          <w:szCs w:val="24"/>
          <w:lang w:val="en-GB"/>
        </w:rPr>
        <w:t>is shown</w:t>
      </w:r>
      <w:r w:rsidRPr="007E393E">
        <w:rPr>
          <w:rFonts w:cs="Arial"/>
          <w:sz w:val="24"/>
          <w:szCs w:val="24"/>
          <w:lang w:val="en-GB"/>
        </w:rPr>
        <w:t>.</w:t>
      </w:r>
      <w:r>
        <w:rPr>
          <w:rFonts w:cs="Arial"/>
          <w:sz w:val="24"/>
          <w:szCs w:val="24"/>
          <w:lang w:val="en-GB"/>
        </w:rPr>
        <w:t xml:space="preserve"> The index is calculated as the sum of the absolute value of the difference between the proportion of immigrants in each tenure and the proportion of the whole population living in that tenure, weighed by the proportion of the whole population living in the tenure.</w:t>
      </w:r>
    </w:p>
    <w:p w:rsidR="00FD29BA" w:rsidRDefault="00FD29BA" w:rsidP="00FD29BA">
      <w:pPr>
        <w:rPr>
          <w:lang w:val="en-GB"/>
        </w:rPr>
      </w:pPr>
    </w:p>
    <w:p w:rsidR="00FD29BA" w:rsidRDefault="0018676A" w:rsidP="00FD29BA">
      <w:pPr>
        <w:rPr>
          <w:lang w:val="en-GB"/>
        </w:rPr>
      </w:pPr>
      <w:r>
        <w:rPr>
          <w:lang w:val="en-GB"/>
        </w:rPr>
        <w:t>(Table 8</w:t>
      </w:r>
      <w:r w:rsidR="00FD29BA">
        <w:rPr>
          <w:lang w:val="en-GB"/>
        </w:rPr>
        <w:t>)</w:t>
      </w:r>
    </w:p>
    <w:p w:rsidR="00FD29BA" w:rsidRPr="007E393E" w:rsidRDefault="0018676A" w:rsidP="00FD29BA">
      <w:pPr>
        <w:rPr>
          <w:lang w:val="en-GB"/>
        </w:rPr>
      </w:pPr>
      <w:r>
        <w:rPr>
          <w:lang w:val="en-GB"/>
        </w:rPr>
        <w:t>(Table 9</w:t>
      </w:r>
      <w:r w:rsidR="00FD29BA">
        <w:rPr>
          <w:lang w:val="en-GB"/>
        </w:rPr>
        <w:t>)</w:t>
      </w:r>
    </w:p>
    <w:p w:rsidR="00FD29BA" w:rsidRDefault="00FD29BA" w:rsidP="00FD29BA">
      <w:pPr>
        <w:rPr>
          <w:sz w:val="18"/>
          <w:szCs w:val="18"/>
          <w:lang w:val="en-GB"/>
        </w:rPr>
      </w:pPr>
    </w:p>
    <w:p w:rsidR="00A22734" w:rsidRDefault="00A22734" w:rsidP="00A22734">
      <w:pPr>
        <w:rPr>
          <w:sz w:val="24"/>
          <w:szCs w:val="24"/>
          <w:lang w:val="en-GB"/>
        </w:rPr>
      </w:pPr>
      <w:r>
        <w:rPr>
          <w:sz w:val="24"/>
          <w:szCs w:val="24"/>
          <w:lang w:val="en-GB"/>
        </w:rPr>
        <w:t xml:space="preserve">The tables show significant differences between the four countries regarding immigrants’ distribution on tenures. In particular </w:t>
      </w:r>
      <w:smartTag w:uri="urn:schemas-microsoft-com:office:smarttags" w:element="place">
        <w:smartTag w:uri="urn:schemas-microsoft-com:office:smarttags" w:element="country-region">
          <w:r>
            <w:rPr>
              <w:sz w:val="24"/>
              <w:szCs w:val="24"/>
              <w:lang w:val="en-GB"/>
            </w:rPr>
            <w:t>Norway</w:t>
          </w:r>
        </w:smartTag>
      </w:smartTag>
      <w:r>
        <w:rPr>
          <w:sz w:val="24"/>
          <w:szCs w:val="24"/>
          <w:lang w:val="en-GB"/>
        </w:rPr>
        <w:t xml:space="preserve"> differs by having a substantially large proportion of immigrants living in owner-occupied housing. In the three other countries, homeownership is about the same level, which makes up about 30 per cent. In all countries</w:t>
      </w:r>
      <w:r w:rsidR="006542E6">
        <w:rPr>
          <w:sz w:val="24"/>
          <w:szCs w:val="24"/>
          <w:lang w:val="en-GB"/>
        </w:rPr>
        <w:t>,</w:t>
      </w:r>
      <w:r>
        <w:rPr>
          <w:sz w:val="24"/>
          <w:szCs w:val="24"/>
          <w:lang w:val="en-GB"/>
        </w:rPr>
        <w:t xml:space="preserve"> immigrants are under-represented in the owner-occupied tenure, but as </w:t>
      </w:r>
      <w:r>
        <w:rPr>
          <w:sz w:val="24"/>
          <w:szCs w:val="24"/>
          <w:lang w:val="en-GB"/>
        </w:rPr>
        <w:lastRenderedPageBreak/>
        <w:t xml:space="preserve">homeownership is not at the same level in the various countries, immigrants are less often homeowners in </w:t>
      </w:r>
      <w:smartTag w:uri="urn:schemas-microsoft-com:office:smarttags" w:element="country-region">
        <w:r>
          <w:rPr>
            <w:sz w:val="24"/>
            <w:szCs w:val="24"/>
            <w:lang w:val="en-GB"/>
          </w:rPr>
          <w:t>Finland</w:t>
        </w:r>
      </w:smartTag>
      <w:r>
        <w:rPr>
          <w:sz w:val="24"/>
          <w:szCs w:val="24"/>
          <w:lang w:val="en-GB"/>
        </w:rPr>
        <w:t xml:space="preserve"> than in </w:t>
      </w:r>
      <w:smartTag w:uri="urn:schemas-microsoft-com:office:smarttags" w:element="country-region">
        <w:r>
          <w:rPr>
            <w:sz w:val="24"/>
            <w:szCs w:val="24"/>
            <w:lang w:val="en-GB"/>
          </w:rPr>
          <w:t>Denmark</w:t>
        </w:r>
      </w:smartTag>
      <w:r>
        <w:rPr>
          <w:sz w:val="24"/>
          <w:szCs w:val="24"/>
          <w:lang w:val="en-GB"/>
        </w:rPr>
        <w:t xml:space="preserve"> and </w:t>
      </w:r>
      <w:smartTag w:uri="urn:schemas-microsoft-com:office:smarttags" w:element="place">
        <w:smartTag w:uri="urn:schemas-microsoft-com:office:smarttags" w:element="country-region">
          <w:r>
            <w:rPr>
              <w:sz w:val="24"/>
              <w:szCs w:val="24"/>
              <w:lang w:val="en-GB"/>
            </w:rPr>
            <w:t>Sweden</w:t>
          </w:r>
        </w:smartTag>
      </w:smartTag>
      <w:r>
        <w:rPr>
          <w:sz w:val="24"/>
          <w:szCs w:val="24"/>
          <w:lang w:val="en-GB"/>
        </w:rPr>
        <w:t xml:space="preserve">. This could partly be due to the fact that immigrants in </w:t>
      </w:r>
      <w:smartTag w:uri="urn:schemas-microsoft-com:office:smarttags" w:element="place">
        <w:smartTag w:uri="urn:schemas-microsoft-com:office:smarttags" w:element="country-region">
          <w:r>
            <w:rPr>
              <w:sz w:val="24"/>
              <w:szCs w:val="24"/>
              <w:lang w:val="en-GB"/>
            </w:rPr>
            <w:t>Finland</w:t>
          </w:r>
        </w:smartTag>
      </w:smartTag>
      <w:r>
        <w:rPr>
          <w:sz w:val="24"/>
          <w:szCs w:val="24"/>
          <w:lang w:val="en-GB"/>
        </w:rPr>
        <w:t xml:space="preserve"> have arrived later than in the other countries and have had less time to ‘climb up the housing ladder’.</w:t>
      </w:r>
    </w:p>
    <w:p w:rsidR="00A22734" w:rsidRDefault="00A22734" w:rsidP="00A22734">
      <w:pPr>
        <w:rPr>
          <w:rFonts w:cs="Arial"/>
          <w:sz w:val="24"/>
          <w:szCs w:val="24"/>
          <w:lang w:val="en-GB"/>
        </w:rPr>
      </w:pPr>
    </w:p>
    <w:p w:rsidR="00A22734" w:rsidRDefault="00A22734" w:rsidP="00A22734">
      <w:pPr>
        <w:rPr>
          <w:rFonts w:cs="Arial"/>
          <w:sz w:val="24"/>
          <w:szCs w:val="24"/>
          <w:lang w:val="en-GB"/>
        </w:rPr>
      </w:pPr>
      <w:r>
        <w:rPr>
          <w:rFonts w:cs="Arial"/>
          <w:sz w:val="24"/>
          <w:szCs w:val="24"/>
          <w:lang w:val="en-GB"/>
        </w:rPr>
        <w:t xml:space="preserve">There are also remarkable differences between the countries concerning immigrants’ representation in the other tenures. In </w:t>
      </w:r>
      <w:smartTag w:uri="urn:schemas-microsoft-com:office:smarttags" w:element="country-region">
        <w:r>
          <w:rPr>
            <w:rFonts w:cs="Arial"/>
            <w:sz w:val="24"/>
            <w:szCs w:val="24"/>
            <w:lang w:val="en-GB"/>
          </w:rPr>
          <w:t>Denmark</w:t>
        </w:r>
      </w:smartTag>
      <w:r>
        <w:rPr>
          <w:rFonts w:cs="Arial"/>
          <w:sz w:val="24"/>
          <w:szCs w:val="24"/>
          <w:lang w:val="en-GB"/>
        </w:rPr>
        <w:t xml:space="preserve"> and </w:t>
      </w:r>
      <w:smartTag w:uri="urn:schemas-microsoft-com:office:smarttags" w:element="country-region">
        <w:r>
          <w:rPr>
            <w:rFonts w:cs="Arial"/>
            <w:sz w:val="24"/>
            <w:szCs w:val="24"/>
            <w:lang w:val="en-GB"/>
          </w:rPr>
          <w:t>Finland</w:t>
        </w:r>
      </w:smartTag>
      <w:r>
        <w:rPr>
          <w:rFonts w:cs="Arial"/>
          <w:sz w:val="24"/>
          <w:szCs w:val="24"/>
          <w:lang w:val="en-GB"/>
        </w:rPr>
        <w:t>, a large proportion of immigrants liv</w:t>
      </w:r>
      <w:r w:rsidR="0018732A">
        <w:rPr>
          <w:rFonts w:cs="Arial"/>
          <w:sz w:val="24"/>
          <w:szCs w:val="24"/>
          <w:lang w:val="en-GB"/>
        </w:rPr>
        <w:t>e</w:t>
      </w:r>
      <w:r>
        <w:rPr>
          <w:rFonts w:cs="Arial"/>
          <w:sz w:val="24"/>
          <w:szCs w:val="24"/>
          <w:lang w:val="en-GB"/>
        </w:rPr>
        <w:t xml:space="preserve"> in social/public housing, while it is only 20 per cent in </w:t>
      </w:r>
      <w:smartTag w:uri="urn:schemas-microsoft-com:office:smarttags" w:element="country-region">
        <w:r>
          <w:rPr>
            <w:rFonts w:cs="Arial"/>
            <w:sz w:val="24"/>
            <w:szCs w:val="24"/>
            <w:lang w:val="en-GB"/>
          </w:rPr>
          <w:t>Sweden</w:t>
        </w:r>
      </w:smartTag>
      <w:r>
        <w:rPr>
          <w:rFonts w:cs="Arial"/>
          <w:sz w:val="24"/>
          <w:szCs w:val="24"/>
          <w:lang w:val="en-GB"/>
        </w:rPr>
        <w:t xml:space="preserve"> and 13 per cent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The low proportion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is due to the very small social/public housing sector. When it comes to immigrants’</w:t>
      </w:r>
      <w:r w:rsidDel="00254393">
        <w:rPr>
          <w:rFonts w:cs="Arial"/>
          <w:sz w:val="24"/>
          <w:szCs w:val="24"/>
          <w:lang w:val="en-GB"/>
        </w:rPr>
        <w:t xml:space="preserve"> </w:t>
      </w:r>
      <w:r>
        <w:rPr>
          <w:rFonts w:cs="Arial"/>
          <w:sz w:val="24"/>
          <w:szCs w:val="24"/>
          <w:lang w:val="en-GB"/>
        </w:rPr>
        <w:t xml:space="preserve">over-representation in social/public housing, </w:t>
      </w:r>
      <w:smartTag w:uri="urn:schemas-microsoft-com:office:smarttags" w:element="country-region">
        <w:r>
          <w:rPr>
            <w:rFonts w:cs="Arial"/>
            <w:sz w:val="24"/>
            <w:szCs w:val="24"/>
            <w:lang w:val="en-GB"/>
          </w:rPr>
          <w:t>Norway</w:t>
        </w:r>
      </w:smartTag>
      <w:r>
        <w:rPr>
          <w:rFonts w:cs="Arial"/>
          <w:sz w:val="24"/>
          <w:szCs w:val="24"/>
          <w:lang w:val="en-GB"/>
        </w:rPr>
        <w:t xml:space="preserve"> is at the same level as </w:t>
      </w:r>
      <w:smartTag w:uri="urn:schemas-microsoft-com:office:smarttags" w:element="country-region">
        <w:r>
          <w:rPr>
            <w:rFonts w:cs="Arial"/>
            <w:sz w:val="24"/>
            <w:szCs w:val="24"/>
            <w:lang w:val="en-GB"/>
          </w:rPr>
          <w:t>Denmark</w:t>
        </w:r>
      </w:smartTag>
      <w:r>
        <w:rPr>
          <w:rFonts w:cs="Arial"/>
          <w:sz w:val="24"/>
          <w:szCs w:val="24"/>
          <w:lang w:val="en-GB"/>
        </w:rPr>
        <w:t xml:space="preserve">, while </w:t>
      </w:r>
      <w:smartTag w:uri="urn:schemas-microsoft-com:office:smarttags" w:element="place">
        <w:smartTag w:uri="urn:schemas-microsoft-com:office:smarttags" w:element="country-region">
          <w:r>
            <w:rPr>
              <w:rFonts w:cs="Arial"/>
              <w:sz w:val="24"/>
              <w:szCs w:val="24"/>
              <w:lang w:val="en-GB"/>
            </w:rPr>
            <w:t>Finland</w:t>
          </w:r>
        </w:smartTag>
      </w:smartTag>
      <w:r>
        <w:rPr>
          <w:rFonts w:cs="Arial"/>
          <w:sz w:val="24"/>
          <w:szCs w:val="24"/>
          <w:lang w:val="en-GB"/>
        </w:rPr>
        <w:t xml:space="preserve"> has the largest over-representation. Immigrants are also over-represented in social/public housing in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but at a lower level than in the other countries.</w:t>
      </w:r>
    </w:p>
    <w:p w:rsidR="00A22734" w:rsidRDefault="00A22734" w:rsidP="00A22734">
      <w:pPr>
        <w:rPr>
          <w:rFonts w:cs="Arial"/>
          <w:sz w:val="24"/>
          <w:szCs w:val="24"/>
          <w:lang w:val="en-GB"/>
        </w:rPr>
      </w:pPr>
    </w:p>
    <w:p w:rsidR="00A22734" w:rsidRDefault="00A22734" w:rsidP="00A22734">
      <w:pPr>
        <w:rPr>
          <w:rFonts w:cs="Arial"/>
          <w:sz w:val="24"/>
          <w:szCs w:val="24"/>
          <w:lang w:val="en-GB"/>
        </w:rPr>
      </w:pPr>
      <w:r>
        <w:rPr>
          <w:rFonts w:cs="Arial"/>
          <w:sz w:val="24"/>
          <w:szCs w:val="24"/>
          <w:lang w:val="en-GB"/>
        </w:rPr>
        <w:t>Private renting is an important sector for immigrants in all the countries</w:t>
      </w:r>
      <w:r w:rsidR="006542E6">
        <w:rPr>
          <w:rFonts w:cs="Arial"/>
          <w:sz w:val="24"/>
          <w:szCs w:val="24"/>
          <w:lang w:val="en-GB"/>
        </w:rPr>
        <w:t>,</w:t>
      </w:r>
      <w:r>
        <w:rPr>
          <w:rFonts w:cs="Arial"/>
          <w:sz w:val="24"/>
          <w:szCs w:val="24"/>
          <w:lang w:val="en-GB"/>
        </w:rPr>
        <w:t xml:space="preserve"> accommodating between 15 and 25 per cent. But compared with the size of this tenure, immigrants have much more often got access to private renting in </w:t>
      </w:r>
      <w:smartTag w:uri="urn:schemas-microsoft-com:office:smarttags" w:element="country-region">
        <w:r>
          <w:rPr>
            <w:rFonts w:cs="Arial"/>
            <w:sz w:val="24"/>
            <w:szCs w:val="24"/>
            <w:lang w:val="en-GB"/>
          </w:rPr>
          <w:t>Finland</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Especially in </w:t>
      </w:r>
      <w:smartTag w:uri="urn:schemas-microsoft-com:office:smarttags" w:element="place">
        <w:smartTag w:uri="urn:schemas-microsoft-com:office:smarttags" w:element="country-region">
          <w:r>
            <w:rPr>
              <w:rFonts w:cs="Arial"/>
              <w:sz w:val="24"/>
              <w:szCs w:val="24"/>
              <w:lang w:val="en-GB"/>
            </w:rPr>
            <w:t>Denmark</w:t>
          </w:r>
        </w:smartTag>
      </w:smartTag>
      <w:r>
        <w:rPr>
          <w:rFonts w:cs="Arial"/>
          <w:sz w:val="24"/>
          <w:szCs w:val="24"/>
          <w:lang w:val="en-GB"/>
        </w:rPr>
        <w:t>, immigrants do not very often live in private renting. A Danish study (Skifter Andersen 2010) has shown that when taking into account that immigrants’ incomes are lower than the average, immigrants have a 60 per cent lower probability of living in private rented dwellings. Immigrants thus less often liv</w:t>
      </w:r>
      <w:r w:rsidR="006542E6">
        <w:rPr>
          <w:rFonts w:cs="Arial"/>
          <w:sz w:val="24"/>
          <w:szCs w:val="24"/>
          <w:lang w:val="en-GB"/>
        </w:rPr>
        <w:t>e</w:t>
      </w:r>
      <w:r>
        <w:rPr>
          <w:rFonts w:cs="Arial"/>
          <w:sz w:val="24"/>
          <w:szCs w:val="24"/>
          <w:lang w:val="en-GB"/>
        </w:rPr>
        <w:t xml:space="preserve"> in private renting in </w:t>
      </w:r>
      <w:smartTag w:uri="urn:schemas-microsoft-com:office:smarttags" w:element="place">
        <w:smartTag w:uri="urn:schemas-microsoft-com:office:smarttags" w:element="country-region">
          <w:r>
            <w:rPr>
              <w:rFonts w:cs="Arial"/>
              <w:sz w:val="24"/>
              <w:szCs w:val="24"/>
              <w:lang w:val="en-GB"/>
            </w:rPr>
            <w:t>Denmark</w:t>
          </w:r>
        </w:smartTag>
      </w:smartTag>
      <w:r>
        <w:rPr>
          <w:rFonts w:cs="Arial"/>
          <w:sz w:val="24"/>
          <w:szCs w:val="24"/>
          <w:lang w:val="en-GB"/>
        </w:rPr>
        <w:t xml:space="preserve"> than what </w:t>
      </w:r>
      <w:r w:rsidR="006542E6">
        <w:rPr>
          <w:rFonts w:cs="Arial"/>
          <w:sz w:val="24"/>
          <w:szCs w:val="24"/>
          <w:lang w:val="en-GB"/>
        </w:rPr>
        <w:t>w</w:t>
      </w:r>
      <w:r>
        <w:rPr>
          <w:rFonts w:cs="Arial"/>
          <w:sz w:val="24"/>
          <w:szCs w:val="24"/>
          <w:lang w:val="en-GB"/>
        </w:rPr>
        <w:t>ould be expected considering their lower incomes.</w:t>
      </w:r>
    </w:p>
    <w:p w:rsidR="00A22734" w:rsidRDefault="00A22734" w:rsidP="00A22734">
      <w:pPr>
        <w:rPr>
          <w:rFonts w:cs="Arial"/>
          <w:sz w:val="24"/>
          <w:szCs w:val="24"/>
          <w:lang w:val="en-GB"/>
        </w:rPr>
      </w:pPr>
    </w:p>
    <w:p w:rsidR="00A22734" w:rsidRPr="00682D98" w:rsidRDefault="00A22734" w:rsidP="00A22734">
      <w:pPr>
        <w:rPr>
          <w:rFonts w:cs="Arial"/>
          <w:sz w:val="24"/>
          <w:szCs w:val="24"/>
          <w:lang w:val="en-GB"/>
        </w:rPr>
      </w:pPr>
      <w:r>
        <w:rPr>
          <w:rFonts w:cs="Arial"/>
          <w:sz w:val="24"/>
          <w:szCs w:val="24"/>
          <w:lang w:val="en-GB"/>
        </w:rPr>
        <w:t xml:space="preserve">In </w:t>
      </w:r>
      <w:smartTag w:uri="urn:schemas-microsoft-com:office:smarttags" w:element="country-region">
        <w:r>
          <w:rPr>
            <w:rFonts w:cs="Arial"/>
            <w:sz w:val="24"/>
            <w:szCs w:val="24"/>
            <w:lang w:val="en-GB"/>
          </w:rPr>
          <w:t>Norway</w:t>
        </w:r>
      </w:smartTag>
      <w:r>
        <w:rPr>
          <w:rFonts w:cs="Arial"/>
          <w:sz w:val="24"/>
          <w:szCs w:val="24"/>
          <w:lang w:val="en-GB"/>
        </w:rPr>
        <w:t xml:space="preserve"> and </w:t>
      </w:r>
      <w:smartTag w:uri="urn:schemas-microsoft-com:office:smarttags" w:element="country-region">
        <w:r>
          <w:rPr>
            <w:rFonts w:cs="Arial"/>
            <w:sz w:val="24"/>
            <w:szCs w:val="24"/>
            <w:lang w:val="en-GB"/>
          </w:rPr>
          <w:t>Sweden</w:t>
        </w:r>
      </w:smartTag>
      <w:r>
        <w:rPr>
          <w:rFonts w:cs="Arial"/>
          <w:sz w:val="24"/>
          <w:szCs w:val="24"/>
          <w:lang w:val="en-GB"/>
        </w:rPr>
        <w:t>, cooperatives are important for immigrants, who are over-represented in the sector</w:t>
      </w:r>
      <w:r w:rsidR="0018732A" w:rsidRPr="0018732A">
        <w:rPr>
          <w:rFonts w:cs="Arial"/>
          <w:sz w:val="24"/>
          <w:szCs w:val="24"/>
          <w:lang w:val="en-GB"/>
        </w:rPr>
        <w:t xml:space="preserve"> </w:t>
      </w:r>
      <w:r w:rsidR="0018732A">
        <w:rPr>
          <w:rFonts w:cs="Arial"/>
          <w:sz w:val="24"/>
          <w:szCs w:val="24"/>
          <w:lang w:val="en-GB"/>
        </w:rPr>
        <w:t>in both countries</w:t>
      </w:r>
      <w:r>
        <w:rPr>
          <w:rFonts w:cs="Arial"/>
          <w:sz w:val="24"/>
          <w:szCs w:val="24"/>
          <w:lang w:val="en-GB"/>
        </w:rPr>
        <w:t xml:space="preserve">, especially in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One reason could be that there is little room for discrimination in the access process. Again the Danish case differs much, because immigrants less often live in cooperatives</w:t>
      </w:r>
      <w:r w:rsidR="006542E6" w:rsidRPr="006542E6">
        <w:rPr>
          <w:rFonts w:cs="Arial"/>
          <w:sz w:val="24"/>
          <w:szCs w:val="24"/>
          <w:lang w:val="en-GB"/>
        </w:rPr>
        <w:t xml:space="preserve"> </w:t>
      </w:r>
      <w:r w:rsidR="006542E6">
        <w:rPr>
          <w:rFonts w:cs="Arial"/>
          <w:sz w:val="24"/>
          <w:szCs w:val="24"/>
          <w:lang w:val="en-GB"/>
        </w:rPr>
        <w:t>than the whole population</w:t>
      </w:r>
      <w:r>
        <w:rPr>
          <w:rFonts w:cs="Arial"/>
          <w:sz w:val="24"/>
          <w:szCs w:val="24"/>
          <w:lang w:val="en-GB"/>
        </w:rPr>
        <w:t xml:space="preserve">. Considering their incomes, the probability of immigrants moving into cooperatives is even </w:t>
      </w:r>
      <w:r w:rsidRPr="00F64292">
        <w:rPr>
          <w:rFonts w:cs="Arial"/>
          <w:sz w:val="24"/>
          <w:szCs w:val="24"/>
          <w:lang w:val="en-GB"/>
        </w:rPr>
        <w:t>muc</w:t>
      </w:r>
      <w:r w:rsidRPr="000811BB">
        <w:rPr>
          <w:rFonts w:cs="Arial"/>
          <w:sz w:val="24"/>
          <w:szCs w:val="24"/>
          <w:lang w:val="en-GB"/>
        </w:rPr>
        <w:t>h</w:t>
      </w:r>
      <w:r>
        <w:rPr>
          <w:rFonts w:cs="Arial"/>
          <w:sz w:val="24"/>
          <w:szCs w:val="24"/>
          <w:lang w:val="en-GB"/>
        </w:rPr>
        <w:t xml:space="preserve"> smaller (Skifter Andersen 2010).</w:t>
      </w:r>
    </w:p>
    <w:p w:rsidR="00A22734" w:rsidRPr="00255356" w:rsidRDefault="00A22734" w:rsidP="00A22734">
      <w:pPr>
        <w:rPr>
          <w:rFonts w:cs="Arial"/>
          <w:sz w:val="24"/>
          <w:szCs w:val="24"/>
          <w:lang w:val="en-GB"/>
        </w:rPr>
      </w:pPr>
    </w:p>
    <w:p w:rsidR="00A22734" w:rsidRDefault="00A22734" w:rsidP="00A22734">
      <w:pPr>
        <w:rPr>
          <w:rFonts w:cs="Arial"/>
          <w:sz w:val="24"/>
          <w:szCs w:val="24"/>
          <w:lang w:val="en-GB"/>
        </w:rPr>
      </w:pPr>
      <w:r w:rsidRPr="00255356">
        <w:rPr>
          <w:rFonts w:cs="Arial"/>
          <w:sz w:val="24"/>
          <w:szCs w:val="24"/>
          <w:lang w:val="en-GB"/>
        </w:rPr>
        <w:t xml:space="preserve">The calculated index of segmentation shown </w:t>
      </w:r>
      <w:r>
        <w:rPr>
          <w:rFonts w:cs="Arial"/>
          <w:sz w:val="24"/>
          <w:szCs w:val="24"/>
          <w:lang w:val="en-GB"/>
        </w:rPr>
        <w:t>at</w:t>
      </w:r>
      <w:r w:rsidRPr="00255356">
        <w:rPr>
          <w:rFonts w:cs="Arial"/>
          <w:sz w:val="24"/>
          <w:szCs w:val="24"/>
          <w:lang w:val="en-GB"/>
        </w:rPr>
        <w:t xml:space="preserve"> the bottom of</w:t>
      </w:r>
      <w:r w:rsidR="0055489A">
        <w:rPr>
          <w:rFonts w:cs="Arial"/>
          <w:sz w:val="24"/>
          <w:szCs w:val="24"/>
          <w:lang w:val="en-GB"/>
        </w:rPr>
        <w:t xml:space="preserve"> Table 9 </w:t>
      </w:r>
      <w:r w:rsidRPr="00255356">
        <w:rPr>
          <w:rFonts w:cs="Arial"/>
          <w:sz w:val="24"/>
          <w:szCs w:val="24"/>
          <w:lang w:val="en-GB"/>
        </w:rPr>
        <w:t xml:space="preserve">indicates </w:t>
      </w:r>
      <w:r>
        <w:rPr>
          <w:rFonts w:cs="Arial"/>
          <w:sz w:val="24"/>
          <w:szCs w:val="24"/>
          <w:lang w:val="en-GB"/>
        </w:rPr>
        <w:t xml:space="preserve">substantial </w:t>
      </w:r>
      <w:r w:rsidRPr="00255356">
        <w:rPr>
          <w:rFonts w:cs="Arial"/>
          <w:sz w:val="24"/>
          <w:szCs w:val="24"/>
          <w:lang w:val="en-GB"/>
        </w:rPr>
        <w:t>differences between immigrants</w:t>
      </w:r>
      <w:r>
        <w:rPr>
          <w:rFonts w:cs="Arial"/>
          <w:sz w:val="24"/>
          <w:szCs w:val="24"/>
          <w:lang w:val="en-GB"/>
        </w:rPr>
        <w:t>’</w:t>
      </w:r>
      <w:r w:rsidRPr="00255356">
        <w:rPr>
          <w:rFonts w:cs="Arial"/>
          <w:sz w:val="24"/>
          <w:szCs w:val="24"/>
          <w:lang w:val="en-GB"/>
        </w:rPr>
        <w:t xml:space="preserve"> </w:t>
      </w:r>
      <w:r w:rsidRPr="00F64292">
        <w:rPr>
          <w:rFonts w:cs="Arial"/>
          <w:sz w:val="24"/>
          <w:szCs w:val="24"/>
          <w:lang w:val="en-GB"/>
        </w:rPr>
        <w:t>position</w:t>
      </w:r>
      <w:r w:rsidRPr="00255356">
        <w:rPr>
          <w:rFonts w:cs="Arial"/>
          <w:sz w:val="24"/>
          <w:szCs w:val="24"/>
          <w:lang w:val="en-GB"/>
        </w:rPr>
        <w:t xml:space="preserve"> on the housing market in the four countries. </w:t>
      </w:r>
      <w:smartTag w:uri="urn:schemas-microsoft-com:office:smarttags" w:element="place">
        <w:smartTag w:uri="urn:schemas-microsoft-com:office:smarttags" w:element="country-region">
          <w:r w:rsidRPr="00255356">
            <w:rPr>
              <w:rFonts w:cs="Arial"/>
              <w:sz w:val="24"/>
              <w:szCs w:val="24"/>
              <w:lang w:val="en-GB"/>
            </w:rPr>
            <w:t>Finland</w:t>
          </w:r>
        </w:smartTag>
      </w:smartTag>
      <w:r w:rsidRPr="00255356">
        <w:rPr>
          <w:rFonts w:cs="Arial"/>
          <w:sz w:val="24"/>
          <w:szCs w:val="24"/>
          <w:lang w:val="en-GB"/>
        </w:rPr>
        <w:t xml:space="preserve"> is the country where the </w:t>
      </w:r>
      <w:r w:rsidRPr="00F64292">
        <w:rPr>
          <w:rFonts w:cs="Arial"/>
          <w:sz w:val="24"/>
          <w:szCs w:val="24"/>
          <w:lang w:val="en-GB"/>
        </w:rPr>
        <w:t>largest</w:t>
      </w:r>
      <w:r w:rsidRPr="00255356">
        <w:rPr>
          <w:rFonts w:cs="Arial"/>
          <w:sz w:val="24"/>
          <w:szCs w:val="24"/>
          <w:lang w:val="en-GB"/>
        </w:rPr>
        <w:t xml:space="preserve"> deviation is found between</w:t>
      </w:r>
      <w:r>
        <w:rPr>
          <w:rFonts w:cs="Arial"/>
          <w:sz w:val="24"/>
          <w:szCs w:val="24"/>
          <w:lang w:val="en-GB"/>
        </w:rPr>
        <w:t xml:space="preserve"> immigrants’ housing tenure and the rest of the population. </w:t>
      </w:r>
      <w:smartTag w:uri="urn:schemas-microsoft-com:office:smarttags" w:element="country-region">
        <w:r>
          <w:rPr>
            <w:rFonts w:cs="Arial"/>
            <w:sz w:val="24"/>
            <w:szCs w:val="24"/>
            <w:lang w:val="en-GB"/>
          </w:rPr>
          <w:t>Denmark</w:t>
        </w:r>
      </w:smartTag>
      <w:r>
        <w:rPr>
          <w:rFonts w:cs="Arial"/>
          <w:sz w:val="24"/>
          <w:szCs w:val="24"/>
          <w:lang w:val="en-GB"/>
        </w:rPr>
        <w:t xml:space="preserve"> has the second largest deviation followed by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immigrants’ housing tenure is most like the national average. </w:t>
      </w:r>
      <w:r w:rsidRPr="003937C3">
        <w:rPr>
          <w:rFonts w:cs="Arial"/>
          <w:sz w:val="24"/>
          <w:szCs w:val="24"/>
          <w:lang w:val="en-GB"/>
        </w:rPr>
        <w:t xml:space="preserve"> </w:t>
      </w:r>
    </w:p>
    <w:p w:rsidR="00A22734" w:rsidRPr="005A1815" w:rsidRDefault="00A22734" w:rsidP="00A22734">
      <w:pPr>
        <w:rPr>
          <w:rFonts w:cs="Arial"/>
          <w:sz w:val="24"/>
          <w:szCs w:val="24"/>
          <w:lang w:val="en-GB"/>
        </w:rPr>
      </w:pPr>
    </w:p>
    <w:p w:rsidR="00FD29BA" w:rsidRPr="00CD1CBB" w:rsidRDefault="00FD29BA" w:rsidP="00FD29BA">
      <w:pPr>
        <w:rPr>
          <w:rFonts w:cs="Arial"/>
          <w:i/>
          <w:sz w:val="24"/>
          <w:szCs w:val="24"/>
          <w:lang w:val="en-US"/>
        </w:rPr>
      </w:pPr>
      <w:r>
        <w:rPr>
          <w:rFonts w:cs="Arial"/>
          <w:i/>
          <w:sz w:val="24"/>
          <w:szCs w:val="24"/>
          <w:lang w:val="en-US"/>
        </w:rPr>
        <w:t>Overcrowding</w:t>
      </w:r>
    </w:p>
    <w:p w:rsidR="00FD29BA" w:rsidRPr="00B15637" w:rsidRDefault="00FD29BA" w:rsidP="00FD29BA">
      <w:pPr>
        <w:rPr>
          <w:rFonts w:cs="Arial"/>
          <w:sz w:val="24"/>
          <w:szCs w:val="24"/>
          <w:lang w:val="en-GB"/>
        </w:rPr>
      </w:pPr>
      <w:r w:rsidRPr="00EA1C82">
        <w:rPr>
          <w:rFonts w:cs="Arial"/>
          <w:sz w:val="24"/>
          <w:szCs w:val="24"/>
          <w:lang w:val="en-US"/>
        </w:rPr>
        <w:t xml:space="preserve">Our second measure to compare immigrants housing position between </w:t>
      </w:r>
      <w:r w:rsidR="006542E6">
        <w:rPr>
          <w:rFonts w:cs="Arial"/>
          <w:sz w:val="24"/>
          <w:szCs w:val="24"/>
          <w:lang w:val="en-US"/>
        </w:rPr>
        <w:t>four</w:t>
      </w:r>
      <w:r w:rsidR="00F7048B">
        <w:rPr>
          <w:rFonts w:cs="Arial"/>
          <w:sz w:val="24"/>
          <w:szCs w:val="24"/>
          <w:lang w:val="en-US"/>
        </w:rPr>
        <w:t xml:space="preserve"> </w:t>
      </w:r>
      <w:r w:rsidRPr="00EA1C82">
        <w:rPr>
          <w:rFonts w:cs="Arial"/>
          <w:sz w:val="24"/>
          <w:szCs w:val="24"/>
          <w:lang w:val="en-US"/>
        </w:rPr>
        <w:t xml:space="preserve">Nordic countries is relative overcrowding. </w:t>
      </w:r>
      <w:r w:rsidR="0018676A">
        <w:rPr>
          <w:rFonts w:cs="Arial"/>
          <w:sz w:val="24"/>
          <w:szCs w:val="24"/>
          <w:lang w:val="en-GB"/>
        </w:rPr>
        <w:t>Table 10</w:t>
      </w:r>
      <w:r w:rsidRPr="00EA1C82">
        <w:rPr>
          <w:sz w:val="24"/>
          <w:lang w:val="en-US"/>
        </w:rPr>
        <w:t xml:space="preserve"> </w:t>
      </w:r>
      <w:r w:rsidRPr="00B15637">
        <w:rPr>
          <w:rFonts w:cs="Arial"/>
          <w:sz w:val="24"/>
          <w:szCs w:val="24"/>
          <w:lang w:val="en-GB"/>
        </w:rPr>
        <w:t>show</w:t>
      </w:r>
      <w:r w:rsidR="006542E6">
        <w:rPr>
          <w:rFonts w:cs="Arial"/>
          <w:sz w:val="24"/>
          <w:szCs w:val="24"/>
          <w:lang w:val="en-GB"/>
        </w:rPr>
        <w:t>s</w:t>
      </w:r>
      <w:r w:rsidRPr="00B15637">
        <w:rPr>
          <w:rFonts w:cs="Arial"/>
          <w:sz w:val="24"/>
          <w:szCs w:val="24"/>
          <w:lang w:val="en-GB"/>
        </w:rPr>
        <w:t xml:space="preserve"> figures for overcrowding measured as the proportion of residents living in dwellings with less than one room per person. The relative difference between immigrants and the whole population is calculated as the percentage by which overcrowding for immigrants exceeds overcrowding for the whole population.  </w:t>
      </w:r>
    </w:p>
    <w:p w:rsidR="00FD29BA" w:rsidRDefault="00FD29BA" w:rsidP="00FD29BA">
      <w:pPr>
        <w:rPr>
          <w:rFonts w:ascii="Arial Narrow" w:hAnsi="Arial Narrow" w:cs="Arial"/>
          <w:sz w:val="24"/>
          <w:szCs w:val="24"/>
          <w:lang w:val="en-GB"/>
        </w:rPr>
      </w:pPr>
    </w:p>
    <w:p w:rsidR="00FD29BA" w:rsidRDefault="0018676A" w:rsidP="00FD29BA">
      <w:pPr>
        <w:rPr>
          <w:rFonts w:ascii="Arial Narrow" w:hAnsi="Arial Narrow" w:cs="Arial"/>
          <w:sz w:val="24"/>
          <w:szCs w:val="24"/>
          <w:lang w:val="en-GB"/>
        </w:rPr>
      </w:pPr>
      <w:r>
        <w:rPr>
          <w:rFonts w:ascii="Arial Narrow" w:hAnsi="Arial Narrow" w:cs="Arial"/>
          <w:sz w:val="24"/>
          <w:szCs w:val="24"/>
          <w:lang w:val="en-GB"/>
        </w:rPr>
        <w:t>(Table 10</w:t>
      </w:r>
      <w:r w:rsidR="00FD29BA">
        <w:rPr>
          <w:rFonts w:ascii="Arial Narrow" w:hAnsi="Arial Narrow" w:cs="Arial"/>
          <w:sz w:val="24"/>
          <w:szCs w:val="24"/>
          <w:lang w:val="en-GB"/>
        </w:rPr>
        <w:t>)</w:t>
      </w:r>
    </w:p>
    <w:p w:rsidR="00FD29BA" w:rsidRPr="00E908DB" w:rsidRDefault="00FD29BA" w:rsidP="00FD29BA">
      <w:pPr>
        <w:rPr>
          <w:rFonts w:ascii="Arial Narrow" w:hAnsi="Arial Narrow" w:cs="Arial"/>
          <w:sz w:val="24"/>
          <w:szCs w:val="24"/>
          <w:lang w:val="en-GB"/>
        </w:rPr>
      </w:pPr>
    </w:p>
    <w:p w:rsidR="00FD29BA" w:rsidRPr="003A0934" w:rsidRDefault="00FD29BA" w:rsidP="00FD29BA">
      <w:pPr>
        <w:rPr>
          <w:sz w:val="24"/>
          <w:lang w:val="en-GB"/>
        </w:rPr>
      </w:pPr>
      <w:r w:rsidRPr="000265CB">
        <w:rPr>
          <w:rFonts w:cs="Arial"/>
          <w:sz w:val="24"/>
          <w:szCs w:val="24"/>
          <w:lang w:val="en-GB"/>
        </w:rPr>
        <w:lastRenderedPageBreak/>
        <w:t>The figures are not quite comparable. In the figures from Norway</w:t>
      </w:r>
      <w:r w:rsidR="006542E6">
        <w:rPr>
          <w:rFonts w:cs="Arial"/>
          <w:sz w:val="24"/>
          <w:szCs w:val="24"/>
          <w:lang w:val="en-GB"/>
        </w:rPr>
        <w:t>,</w:t>
      </w:r>
      <w:r w:rsidRPr="000265CB">
        <w:rPr>
          <w:rFonts w:cs="Arial"/>
          <w:sz w:val="24"/>
          <w:szCs w:val="24"/>
          <w:lang w:val="en-GB"/>
        </w:rPr>
        <w:t xml:space="preserve"> </w:t>
      </w:r>
      <w:r>
        <w:rPr>
          <w:rFonts w:cs="Arial"/>
          <w:sz w:val="24"/>
          <w:szCs w:val="24"/>
          <w:lang w:val="en-GB"/>
        </w:rPr>
        <w:t xml:space="preserve">the number of households is reduced with </w:t>
      </w:r>
      <w:r w:rsidRPr="000265CB">
        <w:rPr>
          <w:rFonts w:cs="Arial"/>
          <w:sz w:val="24"/>
          <w:szCs w:val="24"/>
          <w:lang w:val="en-GB"/>
        </w:rPr>
        <w:t>single adults in one-room dwellings</w:t>
      </w:r>
      <w:r>
        <w:rPr>
          <w:rFonts w:cs="Arial"/>
          <w:sz w:val="24"/>
          <w:szCs w:val="24"/>
          <w:lang w:val="en-GB"/>
        </w:rPr>
        <w:t xml:space="preserve">, but this only has a small </w:t>
      </w:r>
      <w:r w:rsidR="00A248D2">
        <w:rPr>
          <w:rFonts w:cs="Arial"/>
          <w:sz w:val="24"/>
          <w:szCs w:val="24"/>
          <w:lang w:val="en-GB"/>
        </w:rPr>
        <w:t>effect</w:t>
      </w:r>
      <w:r w:rsidR="006542E6">
        <w:rPr>
          <w:rFonts w:cs="Arial"/>
          <w:sz w:val="24"/>
          <w:szCs w:val="24"/>
          <w:lang w:val="en-GB"/>
        </w:rPr>
        <w:t xml:space="preserve"> </w:t>
      </w:r>
      <w:r>
        <w:rPr>
          <w:rFonts w:cs="Arial"/>
          <w:sz w:val="24"/>
          <w:szCs w:val="24"/>
          <w:lang w:val="en-GB"/>
        </w:rPr>
        <w:t>on the comparison between the countries.</w:t>
      </w:r>
    </w:p>
    <w:p w:rsidR="00FD29BA" w:rsidRPr="003A0934" w:rsidRDefault="00FD29BA" w:rsidP="00FD29BA">
      <w:pPr>
        <w:rPr>
          <w:sz w:val="24"/>
          <w:lang w:val="en-GB"/>
        </w:rPr>
      </w:pPr>
    </w:p>
    <w:p w:rsidR="00FD29BA" w:rsidRDefault="00FD29BA" w:rsidP="00FD29BA">
      <w:pPr>
        <w:rPr>
          <w:rFonts w:cs="Arial"/>
          <w:sz w:val="24"/>
          <w:szCs w:val="24"/>
          <w:lang w:val="en-GB"/>
        </w:rPr>
      </w:pPr>
      <w:r>
        <w:rPr>
          <w:rFonts w:cs="Arial"/>
          <w:sz w:val="24"/>
          <w:szCs w:val="24"/>
          <w:lang w:val="en-GB"/>
        </w:rPr>
        <w:t xml:space="preserve">The table shows that overcrowding among immigrants is much more common in </w:t>
      </w:r>
      <w:smartTag w:uri="urn:schemas-microsoft-com:office:smarttags" w:element="City">
        <w:smartTag w:uri="urn:schemas-microsoft-com:office:smarttags" w:element="country-region">
          <w:smartTag w:uri="urn:schemas-microsoft-com:office:smarttags" w:element="place">
            <w:r>
              <w:rPr>
                <w:rFonts w:cs="Arial"/>
                <w:sz w:val="24"/>
                <w:szCs w:val="24"/>
                <w:lang w:val="en-GB"/>
              </w:rPr>
              <w:t>Norway</w:t>
            </w:r>
          </w:smartTag>
        </w:smartTag>
      </w:smartTag>
      <w:r>
        <w:rPr>
          <w:rFonts w:cs="Arial"/>
          <w:sz w:val="24"/>
          <w:szCs w:val="24"/>
          <w:lang w:val="en-GB"/>
        </w:rPr>
        <w:t xml:space="preserve"> than in the other countries. Compared </w:t>
      </w:r>
      <w:r w:rsidR="00A22734">
        <w:rPr>
          <w:rFonts w:cs="Arial"/>
          <w:sz w:val="24"/>
          <w:szCs w:val="24"/>
          <w:lang w:val="en-GB"/>
        </w:rPr>
        <w:t>with</w:t>
      </w:r>
      <w:r>
        <w:rPr>
          <w:rFonts w:cs="Arial"/>
          <w:sz w:val="24"/>
          <w:szCs w:val="24"/>
          <w:lang w:val="en-GB"/>
        </w:rPr>
        <w:t xml:space="preserve"> the whole population</w:t>
      </w:r>
      <w:r w:rsidR="00EF44D4">
        <w:rPr>
          <w:rFonts w:cs="Arial"/>
          <w:sz w:val="24"/>
          <w:szCs w:val="24"/>
          <w:lang w:val="en-GB"/>
        </w:rPr>
        <w:t>,</w:t>
      </w:r>
      <w:r>
        <w:rPr>
          <w:rFonts w:cs="Arial"/>
          <w:sz w:val="24"/>
          <w:szCs w:val="24"/>
          <w:lang w:val="en-GB"/>
        </w:rPr>
        <w:t xml:space="preserve"> immigrants </w:t>
      </w:r>
      <w:r w:rsidR="00A22734">
        <w:rPr>
          <w:rFonts w:cs="Arial"/>
          <w:sz w:val="24"/>
          <w:szCs w:val="24"/>
          <w:lang w:val="en-GB"/>
        </w:rPr>
        <w:t>live</w:t>
      </w:r>
      <w:r>
        <w:rPr>
          <w:rFonts w:cs="Arial"/>
          <w:sz w:val="24"/>
          <w:szCs w:val="24"/>
          <w:lang w:val="en-GB"/>
        </w:rPr>
        <w:t xml:space="preserve"> five to six t</w:t>
      </w:r>
      <w:r w:rsidR="00A22734">
        <w:rPr>
          <w:rFonts w:cs="Arial"/>
          <w:sz w:val="24"/>
          <w:szCs w:val="24"/>
          <w:lang w:val="en-GB"/>
        </w:rPr>
        <w:t xml:space="preserve">imes more often </w:t>
      </w:r>
      <w:r>
        <w:rPr>
          <w:rFonts w:cs="Arial"/>
          <w:sz w:val="24"/>
          <w:szCs w:val="24"/>
          <w:lang w:val="en-GB"/>
        </w:rPr>
        <w:t xml:space="preserve">in overcrowded housing. Immigrants’ housing in Finland </w:t>
      </w:r>
      <w:r w:rsidR="00A22734">
        <w:rPr>
          <w:rFonts w:cs="Arial"/>
          <w:sz w:val="24"/>
          <w:szCs w:val="24"/>
          <w:lang w:val="en-GB"/>
        </w:rPr>
        <w:t xml:space="preserve">is </w:t>
      </w:r>
      <w:r>
        <w:rPr>
          <w:rFonts w:cs="Arial"/>
          <w:sz w:val="24"/>
          <w:szCs w:val="24"/>
          <w:lang w:val="en-GB"/>
        </w:rPr>
        <w:t>also quite often overcrowded but this can partly be explained by a general</w:t>
      </w:r>
      <w:r w:rsidR="00A22734">
        <w:rPr>
          <w:rFonts w:cs="Arial"/>
          <w:sz w:val="24"/>
          <w:szCs w:val="24"/>
          <w:lang w:val="en-GB"/>
        </w:rPr>
        <w:t>ly</w:t>
      </w:r>
      <w:r>
        <w:rPr>
          <w:rFonts w:cs="Arial"/>
          <w:sz w:val="24"/>
          <w:szCs w:val="24"/>
          <w:lang w:val="en-GB"/>
        </w:rPr>
        <w:t xml:space="preserve"> high degree of overcrowding in the country. Immigrants’ overcrowding is </w:t>
      </w:r>
      <w:r w:rsidR="00A22734">
        <w:rPr>
          <w:rFonts w:cs="Arial"/>
          <w:sz w:val="24"/>
          <w:szCs w:val="24"/>
          <w:lang w:val="en-GB"/>
        </w:rPr>
        <w:t xml:space="preserve">close to </w:t>
      </w:r>
      <w:r>
        <w:rPr>
          <w:rFonts w:cs="Arial"/>
          <w:sz w:val="24"/>
          <w:szCs w:val="24"/>
          <w:lang w:val="en-GB"/>
        </w:rPr>
        <w:t xml:space="preserve">the same level in Denmark and Sweden. However, because the population in Denmark in general more </w:t>
      </w:r>
      <w:r w:rsidRPr="005151D7">
        <w:rPr>
          <w:rFonts w:cs="Arial"/>
          <w:sz w:val="24"/>
          <w:szCs w:val="24"/>
          <w:lang w:val="en-GB"/>
        </w:rPr>
        <w:t>seldom</w:t>
      </w:r>
      <w:r>
        <w:rPr>
          <w:rFonts w:cs="Arial"/>
          <w:sz w:val="24"/>
          <w:szCs w:val="24"/>
          <w:lang w:val="en-GB"/>
        </w:rPr>
        <w:t xml:space="preserve"> </w:t>
      </w:r>
      <w:r w:rsidR="00A22734">
        <w:rPr>
          <w:rFonts w:cs="Arial"/>
          <w:sz w:val="24"/>
          <w:szCs w:val="24"/>
          <w:lang w:val="en-GB"/>
        </w:rPr>
        <w:t>lives</w:t>
      </w:r>
      <w:r>
        <w:rPr>
          <w:rFonts w:cs="Arial"/>
          <w:sz w:val="24"/>
          <w:szCs w:val="24"/>
          <w:lang w:val="en-GB"/>
        </w:rPr>
        <w:t xml:space="preserve"> in overcrowded dwellings</w:t>
      </w:r>
      <w:r w:rsidR="00EF44D4">
        <w:rPr>
          <w:rFonts w:cs="Arial"/>
          <w:sz w:val="24"/>
          <w:szCs w:val="24"/>
          <w:lang w:val="en-GB"/>
        </w:rPr>
        <w:t>,</w:t>
      </w:r>
      <w:r>
        <w:rPr>
          <w:rFonts w:cs="Arial"/>
          <w:sz w:val="24"/>
          <w:szCs w:val="24"/>
          <w:lang w:val="en-GB"/>
        </w:rPr>
        <w:t xml:space="preserve"> the difference between immigrants and the whole population is much </w:t>
      </w:r>
      <w:r w:rsidR="00A22734">
        <w:rPr>
          <w:rFonts w:cs="Arial"/>
          <w:sz w:val="24"/>
          <w:szCs w:val="24"/>
          <w:lang w:val="en-GB"/>
        </w:rPr>
        <w:t>greater</w:t>
      </w:r>
      <w:r>
        <w:rPr>
          <w:rFonts w:cs="Arial"/>
          <w:sz w:val="24"/>
          <w:szCs w:val="24"/>
          <w:lang w:val="en-GB"/>
        </w:rPr>
        <w:t xml:space="preserve"> than in Sweden. It can therefore be concluded that immigrants</w:t>
      </w:r>
      <w:r w:rsidR="00EF44D4">
        <w:rPr>
          <w:rFonts w:cs="Arial"/>
          <w:sz w:val="24"/>
          <w:szCs w:val="24"/>
          <w:lang w:val="en-GB"/>
        </w:rPr>
        <w:t>’</w:t>
      </w:r>
      <w:r>
        <w:rPr>
          <w:rFonts w:cs="Arial"/>
          <w:sz w:val="24"/>
          <w:szCs w:val="24"/>
          <w:lang w:val="en-GB"/>
        </w:rPr>
        <w:t xml:space="preserve"> housing situation differs most from </w:t>
      </w:r>
      <w:r w:rsidR="00A22734">
        <w:rPr>
          <w:rFonts w:cs="Arial"/>
          <w:sz w:val="24"/>
          <w:szCs w:val="24"/>
          <w:lang w:val="en-GB"/>
        </w:rPr>
        <w:t xml:space="preserve">that of </w:t>
      </w:r>
      <w:r>
        <w:rPr>
          <w:rFonts w:cs="Arial"/>
          <w:sz w:val="24"/>
          <w:szCs w:val="24"/>
          <w:lang w:val="en-GB"/>
        </w:rPr>
        <w:t>the whole population in Norway followed by Denmark, Finland and Sweden when it comes to overcrowding.</w:t>
      </w:r>
    </w:p>
    <w:p w:rsidR="00C81166" w:rsidRPr="00CD1CBB" w:rsidRDefault="00C26C02" w:rsidP="00C26C02">
      <w:pPr>
        <w:pStyle w:val="Overskrift3"/>
        <w:rPr>
          <w:lang w:val="sv-SE"/>
        </w:rPr>
      </w:pPr>
      <w:r>
        <w:rPr>
          <w:lang w:val="en-GB"/>
        </w:rPr>
        <w:t xml:space="preserve">Conclusions on differences between </w:t>
      </w:r>
      <w:r w:rsidR="00EF44D4">
        <w:rPr>
          <w:lang w:val="en-GB"/>
        </w:rPr>
        <w:t xml:space="preserve">four </w:t>
      </w:r>
      <w:r>
        <w:rPr>
          <w:lang w:val="en-GB"/>
        </w:rPr>
        <w:t>Nordic countries concerning immigrants’ housing position and differences between income groups</w:t>
      </w:r>
    </w:p>
    <w:p w:rsidR="00C81166" w:rsidRPr="00246E35" w:rsidRDefault="00C81166" w:rsidP="000A36CD">
      <w:pPr>
        <w:rPr>
          <w:sz w:val="24"/>
          <w:lang w:val="en-GB"/>
        </w:rPr>
      </w:pPr>
      <w:r>
        <w:rPr>
          <w:rFonts w:cs="Arial"/>
          <w:sz w:val="24"/>
          <w:szCs w:val="24"/>
          <w:lang w:val="en-GB"/>
        </w:rPr>
        <w:t xml:space="preserve">We have shown that the housing situation of immigrants in </w:t>
      </w:r>
      <w:r w:rsidR="006A652F" w:rsidRPr="005151D7">
        <w:rPr>
          <w:rFonts w:cs="Arial"/>
          <w:sz w:val="24"/>
          <w:szCs w:val="24"/>
          <w:lang w:val="en-GB"/>
        </w:rPr>
        <w:t>four</w:t>
      </w:r>
      <w:r>
        <w:rPr>
          <w:rFonts w:cs="Arial"/>
          <w:sz w:val="24"/>
          <w:szCs w:val="24"/>
          <w:lang w:val="en-GB"/>
        </w:rPr>
        <w:t xml:space="preserve"> Nordic countries differs much. It is also documented that t</w:t>
      </w:r>
      <w:r>
        <w:rPr>
          <w:sz w:val="24"/>
          <w:szCs w:val="24"/>
          <w:lang w:val="en-GB"/>
        </w:rPr>
        <w:t>he differences in immigrants’ position on the housing market cannot be explained by the differences between the countries concerning immigration a</w:t>
      </w:r>
      <w:r w:rsidR="00967B55">
        <w:rPr>
          <w:sz w:val="24"/>
          <w:szCs w:val="24"/>
          <w:lang w:val="en-GB"/>
        </w:rPr>
        <w:t xml:space="preserve">nd general income inequalities </w:t>
      </w:r>
      <w:r>
        <w:rPr>
          <w:sz w:val="24"/>
          <w:szCs w:val="24"/>
          <w:lang w:val="en-GB"/>
        </w:rPr>
        <w:t xml:space="preserve">alone. This indicates that </w:t>
      </w:r>
      <w:r w:rsidR="00967B55">
        <w:rPr>
          <w:sz w:val="24"/>
          <w:szCs w:val="24"/>
          <w:lang w:val="en-GB"/>
        </w:rPr>
        <w:t xml:space="preserve">elements of </w:t>
      </w:r>
      <w:r>
        <w:rPr>
          <w:sz w:val="24"/>
          <w:szCs w:val="24"/>
          <w:lang w:val="en-GB"/>
        </w:rPr>
        <w:t>housing policies may have special effects for the housing situation of immigrants.</w:t>
      </w:r>
    </w:p>
    <w:p w:rsidR="00C81166" w:rsidRDefault="00C81166" w:rsidP="002D52FA">
      <w:pPr>
        <w:rPr>
          <w:sz w:val="24"/>
          <w:lang w:val="en-GB"/>
        </w:rPr>
      </w:pPr>
    </w:p>
    <w:p w:rsidR="00C81166" w:rsidRPr="00C81166" w:rsidRDefault="00C81166" w:rsidP="002D52FA">
      <w:pPr>
        <w:rPr>
          <w:i/>
          <w:sz w:val="24"/>
          <w:lang w:val="en-GB"/>
        </w:rPr>
      </w:pPr>
      <w:r>
        <w:rPr>
          <w:i/>
          <w:sz w:val="24"/>
          <w:lang w:val="en-GB"/>
        </w:rPr>
        <w:t>Differences in tenure segmentation</w:t>
      </w:r>
    </w:p>
    <w:p w:rsidR="00C81166" w:rsidRPr="00CD1CBB" w:rsidRDefault="00C81166" w:rsidP="002D52FA">
      <w:pPr>
        <w:rPr>
          <w:sz w:val="24"/>
          <w:lang w:val="sv-SE"/>
        </w:rPr>
      </w:pPr>
      <w:r>
        <w:rPr>
          <w:rFonts w:cs="Arial"/>
          <w:sz w:val="24"/>
          <w:szCs w:val="24"/>
          <w:lang w:val="en-GB"/>
        </w:rPr>
        <w:t xml:space="preserve">The evidence in the article displays important differences between the four countries regarding immigrants’ distribution on tenures in the housing markets. The analyses show that immigrants in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are most </w:t>
      </w:r>
      <w:r w:rsidRPr="00025180">
        <w:rPr>
          <w:rFonts w:cs="Arial"/>
          <w:sz w:val="24"/>
          <w:szCs w:val="24"/>
          <w:lang w:val="en-GB"/>
        </w:rPr>
        <w:t>unequally</w:t>
      </w:r>
      <w:r>
        <w:rPr>
          <w:rFonts w:cs="Arial"/>
          <w:sz w:val="24"/>
          <w:szCs w:val="24"/>
          <w:lang w:val="en-GB"/>
        </w:rPr>
        <w:t xml:space="preserve"> distributed between tenures, measured by our index of tenure segmentation, while immigrants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are the least segmented.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and </w:t>
      </w:r>
      <w:smartTag w:uri="urn:schemas-microsoft-com:office:smarttags" w:element="City">
        <w:smartTag w:uri="urn:schemas-microsoft-com:office:smarttags" w:element="country-region">
          <w:r>
            <w:rPr>
              <w:rFonts w:cs="Arial"/>
              <w:sz w:val="24"/>
              <w:szCs w:val="24"/>
              <w:lang w:val="en-GB"/>
            </w:rPr>
            <w:t>Sweden</w:t>
          </w:r>
        </w:smartTag>
      </w:smartTag>
      <w:r>
        <w:rPr>
          <w:rFonts w:cs="Arial"/>
          <w:sz w:val="24"/>
          <w:szCs w:val="24"/>
          <w:lang w:val="en-GB"/>
        </w:rPr>
        <w:t xml:space="preserve"> are positioned somewhere in between with the strongest segmentation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sidRPr="00CD1CBB">
        <w:rPr>
          <w:sz w:val="24"/>
          <w:lang w:val="sv-SE"/>
        </w:rPr>
        <w:t>.</w:t>
      </w:r>
    </w:p>
    <w:p w:rsidR="00C81166" w:rsidRPr="00CD1CBB" w:rsidRDefault="00C81166" w:rsidP="002D52FA">
      <w:pPr>
        <w:rPr>
          <w:sz w:val="24"/>
          <w:lang w:val="sv-SE"/>
        </w:rPr>
      </w:pPr>
    </w:p>
    <w:p w:rsidR="00C81166" w:rsidRDefault="00C81166" w:rsidP="002D52FA">
      <w:pPr>
        <w:rPr>
          <w:rFonts w:cs="Arial"/>
          <w:sz w:val="24"/>
          <w:szCs w:val="24"/>
          <w:lang w:val="en-GB"/>
        </w:rPr>
      </w:pPr>
      <w:r>
        <w:rPr>
          <w:rFonts w:cs="Arial"/>
          <w:sz w:val="24"/>
          <w:szCs w:val="24"/>
          <w:lang w:val="en-GB"/>
        </w:rPr>
        <w:t xml:space="preserve">Norway differs </w:t>
      </w:r>
      <w:r w:rsidR="006A652F">
        <w:rPr>
          <w:rFonts w:cs="Arial"/>
          <w:sz w:val="24"/>
          <w:szCs w:val="24"/>
          <w:lang w:val="en-GB"/>
        </w:rPr>
        <w:t>in particular</w:t>
      </w:r>
      <w:r w:rsidR="00EF44D4">
        <w:rPr>
          <w:rFonts w:cs="Arial"/>
          <w:sz w:val="24"/>
          <w:szCs w:val="24"/>
          <w:lang w:val="en-GB"/>
        </w:rPr>
        <w:t xml:space="preserve"> </w:t>
      </w:r>
      <w:r>
        <w:rPr>
          <w:rFonts w:cs="Arial"/>
          <w:sz w:val="24"/>
          <w:szCs w:val="24"/>
          <w:lang w:val="en-GB"/>
        </w:rPr>
        <w:t xml:space="preserve">by having a quite larger proportion of immigrants living in owner-occupied housing than in the other countries. Compared </w:t>
      </w:r>
      <w:r w:rsidR="00EF44D4">
        <w:rPr>
          <w:rFonts w:cs="Arial"/>
          <w:sz w:val="24"/>
          <w:szCs w:val="24"/>
          <w:lang w:val="en-GB"/>
        </w:rPr>
        <w:t>with</w:t>
      </w:r>
      <w:r>
        <w:rPr>
          <w:rFonts w:cs="Arial"/>
          <w:sz w:val="24"/>
          <w:szCs w:val="24"/>
          <w:lang w:val="en-GB"/>
        </w:rPr>
        <w:t xml:space="preserve"> the whole population</w:t>
      </w:r>
      <w:r w:rsidR="00EF44D4">
        <w:rPr>
          <w:rFonts w:cs="Arial"/>
          <w:sz w:val="24"/>
          <w:szCs w:val="24"/>
          <w:lang w:val="en-GB"/>
        </w:rPr>
        <w:t>,</w:t>
      </w:r>
      <w:r>
        <w:rPr>
          <w:rFonts w:cs="Arial"/>
          <w:sz w:val="24"/>
          <w:szCs w:val="24"/>
          <w:lang w:val="en-GB"/>
        </w:rPr>
        <w:t xml:space="preserve"> immigrants are less often homeowners in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than in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 xml:space="preserve">. </w:t>
      </w:r>
    </w:p>
    <w:p w:rsidR="00C81166" w:rsidRDefault="00C81166" w:rsidP="002D52FA">
      <w:pPr>
        <w:rPr>
          <w:rFonts w:cs="Arial"/>
          <w:sz w:val="24"/>
          <w:szCs w:val="24"/>
          <w:lang w:val="en-GB"/>
        </w:rPr>
      </w:pPr>
    </w:p>
    <w:p w:rsidR="00C81166" w:rsidRDefault="00C81166" w:rsidP="002D52FA">
      <w:pPr>
        <w:rPr>
          <w:rFonts w:cs="Arial"/>
          <w:sz w:val="24"/>
          <w:szCs w:val="24"/>
          <w:lang w:val="en-GB"/>
        </w:rPr>
      </w:pPr>
      <w:r>
        <w:rPr>
          <w:rFonts w:cs="Arial"/>
          <w:sz w:val="24"/>
          <w:szCs w:val="24"/>
          <w:lang w:val="en-GB"/>
        </w:rPr>
        <w:t>In Denmark and Finland</w:t>
      </w:r>
      <w:r w:rsidR="00A22734">
        <w:rPr>
          <w:rFonts w:cs="Arial"/>
          <w:sz w:val="24"/>
          <w:szCs w:val="24"/>
          <w:lang w:val="en-GB"/>
        </w:rPr>
        <w:t>,</w:t>
      </w:r>
      <w:r>
        <w:rPr>
          <w:rFonts w:cs="Arial"/>
          <w:sz w:val="24"/>
          <w:szCs w:val="24"/>
          <w:lang w:val="en-GB"/>
        </w:rPr>
        <w:t xml:space="preserve"> a la</w:t>
      </w:r>
      <w:r w:rsidR="00C26C02">
        <w:rPr>
          <w:rFonts w:cs="Arial"/>
          <w:sz w:val="24"/>
          <w:szCs w:val="24"/>
          <w:lang w:val="en-GB"/>
        </w:rPr>
        <w:t xml:space="preserve">rge proportion of immigrants </w:t>
      </w:r>
      <w:r w:rsidR="00A22734">
        <w:rPr>
          <w:rFonts w:cs="Arial"/>
          <w:sz w:val="24"/>
          <w:szCs w:val="24"/>
          <w:lang w:val="en-GB"/>
        </w:rPr>
        <w:t>live</w:t>
      </w:r>
      <w:r>
        <w:rPr>
          <w:rFonts w:cs="Arial"/>
          <w:sz w:val="24"/>
          <w:szCs w:val="24"/>
          <w:lang w:val="en-GB"/>
        </w:rPr>
        <w:t xml:space="preserve"> in social/public housing, while the share is very low in Norway due to the very small social/public housing sector in Norway. Compared </w:t>
      </w:r>
      <w:r w:rsidR="00A22734">
        <w:rPr>
          <w:rFonts w:cs="Arial"/>
          <w:sz w:val="24"/>
          <w:szCs w:val="24"/>
          <w:lang w:val="en-GB"/>
        </w:rPr>
        <w:t>with</w:t>
      </w:r>
      <w:r>
        <w:rPr>
          <w:rFonts w:cs="Arial"/>
          <w:sz w:val="24"/>
          <w:szCs w:val="24"/>
          <w:lang w:val="en-GB"/>
        </w:rPr>
        <w:t xml:space="preserve"> the whole population Finland has the largest over-representation of immigrants in social/public housing followed by Norway and Denmark at the same level. The lowest over-representation is found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 xml:space="preserve">. Private renting is an important sector for immigrants in all the countries. But immigrants have the easiest access to private renting in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 Especially in Denmark</w:t>
      </w:r>
      <w:r w:rsidR="00EF44D4">
        <w:rPr>
          <w:rFonts w:cs="Arial"/>
          <w:sz w:val="24"/>
          <w:szCs w:val="24"/>
          <w:lang w:val="en-GB"/>
        </w:rPr>
        <w:t>,</w:t>
      </w:r>
      <w:r>
        <w:rPr>
          <w:rFonts w:cs="Arial"/>
          <w:sz w:val="24"/>
          <w:szCs w:val="24"/>
          <w:lang w:val="en-GB"/>
        </w:rPr>
        <w:t xml:space="preserve"> immigrants </w:t>
      </w:r>
      <w:r w:rsidR="00A22734">
        <w:rPr>
          <w:rFonts w:cs="Arial"/>
          <w:sz w:val="24"/>
          <w:szCs w:val="24"/>
          <w:lang w:val="en-GB"/>
        </w:rPr>
        <w:t>do not very often live</w:t>
      </w:r>
      <w:r>
        <w:rPr>
          <w:rFonts w:cs="Arial"/>
          <w:sz w:val="24"/>
          <w:szCs w:val="24"/>
          <w:lang w:val="en-GB"/>
        </w:rPr>
        <w:t xml:space="preserve"> in private renting and less often liv</w:t>
      </w:r>
      <w:r w:rsidR="00A22734">
        <w:rPr>
          <w:rFonts w:cs="Arial"/>
          <w:sz w:val="24"/>
          <w:szCs w:val="24"/>
          <w:lang w:val="en-GB"/>
        </w:rPr>
        <w:t>e</w:t>
      </w:r>
      <w:r>
        <w:rPr>
          <w:rFonts w:cs="Arial"/>
          <w:sz w:val="24"/>
          <w:szCs w:val="24"/>
          <w:lang w:val="en-GB"/>
        </w:rPr>
        <w:t xml:space="preserve"> in this tenure than what </w:t>
      </w:r>
      <w:r w:rsidR="00A22734">
        <w:rPr>
          <w:rFonts w:cs="Arial"/>
          <w:sz w:val="24"/>
          <w:szCs w:val="24"/>
          <w:lang w:val="en-GB"/>
        </w:rPr>
        <w:t>w</w:t>
      </w:r>
      <w:r>
        <w:rPr>
          <w:rFonts w:cs="Arial"/>
          <w:sz w:val="24"/>
          <w:szCs w:val="24"/>
          <w:lang w:val="en-GB"/>
        </w:rPr>
        <w:t xml:space="preserve">ould be expected considering their lower incomes. Cooperatives are an important sector for immigrants in </w:t>
      </w:r>
      <w:smartTag w:uri="urn:schemas-microsoft-com:office:smarttags" w:element="City">
        <w:smartTag w:uri="urn:schemas-microsoft-com:office:smarttags" w:element="country-region">
          <w:r>
            <w:rPr>
              <w:rFonts w:cs="Arial"/>
              <w:sz w:val="24"/>
              <w:szCs w:val="24"/>
              <w:lang w:val="en-GB"/>
            </w:rPr>
            <w:t>Sweden</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This is not the case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Pr>
          <w:rFonts w:cs="Arial"/>
          <w:sz w:val="24"/>
          <w:szCs w:val="24"/>
          <w:lang w:val="en-GB"/>
        </w:rPr>
        <w:t xml:space="preserve"> where immigrants live less often than the average </w:t>
      </w:r>
      <w:r w:rsidR="00C014CC">
        <w:rPr>
          <w:rFonts w:cs="Arial"/>
          <w:sz w:val="24"/>
          <w:szCs w:val="24"/>
          <w:lang w:val="en-GB"/>
        </w:rPr>
        <w:t>in cooperatives, and are under-represented;</w:t>
      </w:r>
      <w:r>
        <w:rPr>
          <w:rFonts w:cs="Arial"/>
          <w:sz w:val="24"/>
          <w:szCs w:val="24"/>
          <w:lang w:val="en-GB"/>
        </w:rPr>
        <w:t xml:space="preserve"> especially when one </w:t>
      </w:r>
      <w:r w:rsidR="00C014CC">
        <w:rPr>
          <w:rFonts w:cs="Arial"/>
          <w:sz w:val="24"/>
          <w:szCs w:val="24"/>
          <w:lang w:val="en-GB"/>
        </w:rPr>
        <w:t>considers</w:t>
      </w:r>
      <w:r>
        <w:rPr>
          <w:rFonts w:cs="Arial"/>
          <w:sz w:val="24"/>
          <w:szCs w:val="24"/>
          <w:lang w:val="en-GB"/>
        </w:rPr>
        <w:t xml:space="preserve"> their lower incomes. </w:t>
      </w:r>
    </w:p>
    <w:p w:rsidR="007B0332" w:rsidRDefault="007B0332" w:rsidP="002D52FA">
      <w:pPr>
        <w:rPr>
          <w:rFonts w:cs="Arial"/>
          <w:sz w:val="24"/>
          <w:szCs w:val="24"/>
          <w:lang w:val="en-GB"/>
        </w:rPr>
      </w:pPr>
    </w:p>
    <w:p w:rsidR="00C81166" w:rsidRPr="00C81166" w:rsidRDefault="007B0332" w:rsidP="002D52FA">
      <w:pPr>
        <w:rPr>
          <w:rFonts w:cs="Arial"/>
          <w:i/>
          <w:sz w:val="24"/>
          <w:szCs w:val="24"/>
          <w:lang w:val="en-GB"/>
        </w:rPr>
      </w:pPr>
      <w:r>
        <w:rPr>
          <w:rFonts w:cs="Arial"/>
          <w:i/>
          <w:sz w:val="24"/>
          <w:szCs w:val="24"/>
          <w:lang w:val="en-GB"/>
        </w:rPr>
        <w:lastRenderedPageBreak/>
        <w:t>Large differences in immigrants housing situation measured by degree of overcrowding</w:t>
      </w:r>
    </w:p>
    <w:p w:rsidR="00C81166" w:rsidRPr="00BA3F07" w:rsidRDefault="00C81166" w:rsidP="009A382B">
      <w:pPr>
        <w:rPr>
          <w:rFonts w:cs="Arial"/>
          <w:sz w:val="24"/>
          <w:szCs w:val="24"/>
          <w:lang w:val="en-GB"/>
        </w:rPr>
      </w:pPr>
      <w:r>
        <w:rPr>
          <w:rFonts w:cs="Arial"/>
          <w:sz w:val="24"/>
          <w:szCs w:val="24"/>
          <w:lang w:val="en-GB"/>
        </w:rPr>
        <w:t>The reverse of the Norwegian housing system is that immigrants more often live in overcrowded dwellings</w:t>
      </w:r>
      <w:r w:rsidRPr="00BA3F07">
        <w:rPr>
          <w:rFonts w:cs="Arial"/>
          <w:sz w:val="24"/>
          <w:szCs w:val="24"/>
          <w:lang w:val="en-GB"/>
        </w:rPr>
        <w:t xml:space="preserve"> than in the other countries. In </w:t>
      </w:r>
      <w:smartTag w:uri="urn:schemas-microsoft-com:office:smarttags" w:element="City">
        <w:smartTag w:uri="urn:schemas-microsoft-com:office:smarttags" w:element="country-region">
          <w:r w:rsidRPr="00BA3F07">
            <w:rPr>
              <w:rFonts w:cs="Arial"/>
              <w:sz w:val="24"/>
              <w:szCs w:val="24"/>
              <w:lang w:val="en-GB"/>
            </w:rPr>
            <w:t>Norway</w:t>
          </w:r>
        </w:smartTag>
      </w:smartTag>
      <w:r w:rsidRPr="00BA3F07">
        <w:rPr>
          <w:rFonts w:cs="Arial"/>
          <w:sz w:val="24"/>
          <w:szCs w:val="24"/>
          <w:lang w:val="en-GB"/>
        </w:rPr>
        <w:t xml:space="preserve"> </w:t>
      </w:r>
      <w:r>
        <w:rPr>
          <w:rFonts w:cs="Arial"/>
          <w:sz w:val="24"/>
          <w:szCs w:val="24"/>
          <w:lang w:val="en-GB"/>
        </w:rPr>
        <w:t xml:space="preserve">and </w:t>
      </w:r>
      <w:smartTag w:uri="urn:schemas-microsoft-com:office:smarttags" w:element="City">
        <w:smartTag w:uri="urn:schemas-microsoft-com:office:smarttags" w:element="country-region">
          <w:r>
            <w:rPr>
              <w:rFonts w:cs="Arial"/>
              <w:sz w:val="24"/>
              <w:szCs w:val="24"/>
              <w:lang w:val="en-GB"/>
            </w:rPr>
            <w:t>Finland</w:t>
          </w:r>
        </w:smartTag>
      </w:smartTag>
      <w:r>
        <w:rPr>
          <w:rFonts w:cs="Arial"/>
          <w:sz w:val="24"/>
          <w:szCs w:val="24"/>
          <w:lang w:val="en-GB"/>
        </w:rPr>
        <w:t xml:space="preserve"> </w:t>
      </w:r>
      <w:r w:rsidRPr="00BA3F07">
        <w:rPr>
          <w:rFonts w:cs="Arial"/>
          <w:sz w:val="24"/>
          <w:szCs w:val="24"/>
          <w:lang w:val="en-GB"/>
        </w:rPr>
        <w:t>a very high proportion of immigrants are living in overcrowded dwellings</w:t>
      </w:r>
      <w:r>
        <w:rPr>
          <w:rFonts w:cs="Arial"/>
          <w:sz w:val="24"/>
          <w:szCs w:val="24"/>
          <w:lang w:val="en-GB"/>
        </w:rPr>
        <w:t xml:space="preserve"> compared </w:t>
      </w:r>
      <w:r w:rsidR="00EF44D4">
        <w:rPr>
          <w:rFonts w:cs="Arial"/>
          <w:sz w:val="24"/>
          <w:szCs w:val="24"/>
          <w:lang w:val="en-GB"/>
        </w:rPr>
        <w:t>with</w:t>
      </w:r>
      <w:r>
        <w:rPr>
          <w:rFonts w:cs="Arial"/>
          <w:sz w:val="24"/>
          <w:szCs w:val="24"/>
          <w:lang w:val="en-GB"/>
        </w:rPr>
        <w:t xml:space="preserve"> </w:t>
      </w:r>
      <w:smartTag w:uri="urn:schemas-microsoft-com:office:smarttags" w:element="City">
        <w:smartTag w:uri="urn:schemas-microsoft-com:office:smarttags" w:element="country-region">
          <w:r>
            <w:rPr>
              <w:rFonts w:cs="Arial"/>
              <w:sz w:val="24"/>
              <w:szCs w:val="24"/>
              <w:lang w:val="en-GB"/>
            </w:rPr>
            <w:t>Denmark</w:t>
          </w:r>
        </w:smartTag>
      </w:smartTag>
      <w:r>
        <w:rPr>
          <w:rFonts w:cs="Arial"/>
          <w:sz w:val="24"/>
          <w:szCs w:val="24"/>
          <w:lang w:val="en-GB"/>
        </w:rPr>
        <w:t xml:space="preserve"> and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Sweden</w:t>
            </w:r>
          </w:smartTag>
        </w:smartTag>
      </w:smartTag>
      <w:r>
        <w:rPr>
          <w:rFonts w:cs="Arial"/>
          <w:sz w:val="24"/>
          <w:szCs w:val="24"/>
          <w:lang w:val="en-GB"/>
        </w:rPr>
        <w:t>.</w:t>
      </w:r>
      <w:r w:rsidRPr="00BA3F07">
        <w:rPr>
          <w:rFonts w:cs="Arial"/>
          <w:sz w:val="24"/>
          <w:szCs w:val="24"/>
          <w:lang w:val="en-GB"/>
        </w:rPr>
        <w:t xml:space="preserve"> </w:t>
      </w:r>
      <w:r>
        <w:rPr>
          <w:rFonts w:cs="Arial"/>
          <w:sz w:val="24"/>
          <w:szCs w:val="24"/>
          <w:lang w:val="en-GB"/>
        </w:rPr>
        <w:t xml:space="preserve">But overcrowding in general differs between the countries and the picture is somewhat different if one looks at how immigrants’ housing situation differs from </w:t>
      </w:r>
      <w:r w:rsidR="00A22734">
        <w:rPr>
          <w:rFonts w:cs="Arial"/>
          <w:sz w:val="24"/>
          <w:szCs w:val="24"/>
          <w:lang w:val="en-GB"/>
        </w:rPr>
        <w:t xml:space="preserve">that of </w:t>
      </w:r>
      <w:r>
        <w:rPr>
          <w:rFonts w:cs="Arial"/>
          <w:sz w:val="24"/>
          <w:szCs w:val="24"/>
          <w:lang w:val="en-GB"/>
        </w:rPr>
        <w:t xml:space="preserve">the whole population. The gap between immigrants and the whole population is largest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Norway</w:t>
            </w:r>
          </w:smartTag>
        </w:smartTag>
      </w:smartTag>
      <w:r>
        <w:rPr>
          <w:rFonts w:cs="Arial"/>
          <w:sz w:val="24"/>
          <w:szCs w:val="24"/>
          <w:lang w:val="en-GB"/>
        </w:rPr>
        <w:t xml:space="preserve">. It is also quite </w:t>
      </w:r>
      <w:r w:rsidR="00A22734">
        <w:rPr>
          <w:rFonts w:cs="Arial"/>
          <w:sz w:val="24"/>
          <w:szCs w:val="24"/>
          <w:lang w:val="en-GB"/>
        </w:rPr>
        <w:t xml:space="preserve">large </w:t>
      </w:r>
      <w:r>
        <w:rPr>
          <w:rFonts w:cs="Arial"/>
          <w:sz w:val="24"/>
          <w:szCs w:val="24"/>
          <w:lang w:val="en-GB"/>
        </w:rPr>
        <w:t>in Denmark and lowest in respectively Finland and Sweden.</w:t>
      </w:r>
    </w:p>
    <w:p w:rsidR="00C81166" w:rsidRDefault="00C81166" w:rsidP="00FF0D8B">
      <w:pPr>
        <w:rPr>
          <w:rFonts w:cs="Arial"/>
          <w:sz w:val="24"/>
          <w:szCs w:val="24"/>
          <w:lang w:val="en-GB"/>
        </w:rPr>
      </w:pPr>
    </w:p>
    <w:p w:rsidR="00C81166" w:rsidRPr="00BA1A1E" w:rsidRDefault="00C81166" w:rsidP="001D5E3A">
      <w:pPr>
        <w:rPr>
          <w:rFonts w:cs="Arial"/>
          <w:i/>
          <w:sz w:val="24"/>
          <w:szCs w:val="24"/>
          <w:lang w:val="en-GB"/>
        </w:rPr>
      </w:pPr>
      <w:r w:rsidRPr="00BA1A1E">
        <w:rPr>
          <w:rFonts w:cs="Arial"/>
          <w:i/>
          <w:sz w:val="24"/>
          <w:szCs w:val="24"/>
          <w:lang w:val="en-GB"/>
        </w:rPr>
        <w:t>The importance of income inequalities on the housing markets</w:t>
      </w:r>
    </w:p>
    <w:p w:rsidR="00A22734" w:rsidRDefault="00A22734" w:rsidP="00A22734">
      <w:pPr>
        <w:rPr>
          <w:rFonts w:cs="Arial"/>
          <w:sz w:val="24"/>
          <w:szCs w:val="24"/>
          <w:lang w:val="en-GB"/>
        </w:rPr>
      </w:pPr>
      <w:r>
        <w:rPr>
          <w:rFonts w:cs="Arial"/>
          <w:sz w:val="24"/>
          <w:szCs w:val="24"/>
          <w:lang w:val="en-GB"/>
        </w:rPr>
        <w:t xml:space="preserve">If tenures are strongly divided into housing for the rich and for the poor, immigrants to a large extent </w:t>
      </w:r>
      <w:r w:rsidRPr="00F64292">
        <w:rPr>
          <w:rFonts w:cs="Arial"/>
          <w:sz w:val="24"/>
          <w:szCs w:val="24"/>
          <w:lang w:val="en-GB"/>
        </w:rPr>
        <w:t>will be accumulated</w:t>
      </w:r>
      <w:r>
        <w:rPr>
          <w:rFonts w:cs="Arial"/>
          <w:sz w:val="24"/>
          <w:szCs w:val="24"/>
          <w:lang w:val="en-GB"/>
        </w:rPr>
        <w:t xml:space="preserve"> in housing for the poor. It is examined whether the differences between housing outcomes for immigrants in the four countries can be explained by differences in income inequalities and income segmentation in the housing systems. The housing outcomes for different income groups differ much between the countries concerning segmentation and overcrowding. But there is no systematic connection between income inequality and ethnic inequality in housing outcomes when comparing the countries.</w:t>
      </w:r>
    </w:p>
    <w:p w:rsidR="00A22734" w:rsidRDefault="00A22734" w:rsidP="00A22734">
      <w:pPr>
        <w:rPr>
          <w:rFonts w:cs="Arial"/>
          <w:sz w:val="24"/>
          <w:szCs w:val="24"/>
          <w:lang w:val="en-GB"/>
        </w:rPr>
      </w:pPr>
    </w:p>
    <w:p w:rsidR="00A22734" w:rsidRPr="00BA3F07" w:rsidRDefault="00A22734" w:rsidP="00A22734">
      <w:pPr>
        <w:rPr>
          <w:rFonts w:cs="Arial"/>
          <w:sz w:val="24"/>
          <w:szCs w:val="24"/>
          <w:lang w:val="en-GB"/>
        </w:rPr>
      </w:pPr>
      <w:r>
        <w:rPr>
          <w:rFonts w:cs="Arial"/>
          <w:sz w:val="24"/>
          <w:szCs w:val="24"/>
          <w:lang w:val="en-GB"/>
        </w:rPr>
        <w:t>T</w:t>
      </w:r>
      <w:r w:rsidRPr="00BA3F07">
        <w:rPr>
          <w:rFonts w:cs="Arial"/>
          <w:sz w:val="24"/>
          <w:szCs w:val="24"/>
          <w:lang w:val="en-GB"/>
        </w:rPr>
        <w:t xml:space="preserve">he </w:t>
      </w:r>
      <w:r>
        <w:rPr>
          <w:rFonts w:cs="Arial"/>
          <w:sz w:val="24"/>
          <w:szCs w:val="24"/>
          <w:lang w:val="en-GB"/>
        </w:rPr>
        <w:t xml:space="preserve">Norwegian </w:t>
      </w:r>
      <w:r w:rsidRPr="00BA3F07">
        <w:rPr>
          <w:rFonts w:cs="Arial"/>
          <w:sz w:val="24"/>
          <w:szCs w:val="24"/>
          <w:lang w:val="en-GB"/>
        </w:rPr>
        <w:t xml:space="preserve">housing market has higher income segmentation than </w:t>
      </w:r>
      <w:r>
        <w:rPr>
          <w:rFonts w:cs="Arial"/>
          <w:sz w:val="24"/>
          <w:szCs w:val="24"/>
          <w:lang w:val="en-GB"/>
        </w:rPr>
        <w:t xml:space="preserve">the other countries. Thus, in the case of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the low tenure segmentation of immigrants cannot be explained by low</w:t>
      </w:r>
      <w:r w:rsidR="00CF7BBC">
        <w:rPr>
          <w:rFonts w:cs="Arial"/>
          <w:sz w:val="24"/>
          <w:szCs w:val="24"/>
          <w:lang w:val="en-GB"/>
        </w:rPr>
        <w:t>-</w:t>
      </w:r>
      <w:r>
        <w:rPr>
          <w:rFonts w:cs="Arial"/>
          <w:sz w:val="24"/>
          <w:szCs w:val="24"/>
          <w:lang w:val="en-GB"/>
        </w:rPr>
        <w:t xml:space="preserve">income segmentation. When comparing </w:t>
      </w:r>
      <w:smartTag w:uri="urn:schemas-microsoft-com:office:smarttags" w:element="country-region">
        <w:r>
          <w:rPr>
            <w:rFonts w:cs="Arial"/>
            <w:sz w:val="24"/>
            <w:szCs w:val="24"/>
            <w:lang w:val="en-GB"/>
          </w:rPr>
          <w:t>Denmark</w:t>
        </w:r>
      </w:smartTag>
      <w:r>
        <w:rPr>
          <w:rFonts w:cs="Arial"/>
          <w:sz w:val="24"/>
          <w:szCs w:val="24"/>
          <w:lang w:val="en-GB"/>
        </w:rPr>
        <w:t xml:space="preserve"> with </w:t>
      </w:r>
      <w:smartTag w:uri="urn:schemas-microsoft-com:office:smarttags" w:element="country-region">
        <w:r>
          <w:rPr>
            <w:rFonts w:cs="Arial"/>
            <w:sz w:val="24"/>
            <w:szCs w:val="24"/>
            <w:lang w:val="en-GB"/>
          </w:rPr>
          <w:t>Sweden</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Finland</w:t>
          </w:r>
        </w:smartTag>
      </w:smartTag>
      <w:r>
        <w:rPr>
          <w:rFonts w:cs="Arial"/>
          <w:sz w:val="24"/>
          <w:szCs w:val="24"/>
          <w:lang w:val="en-GB"/>
        </w:rPr>
        <w:t xml:space="preserve">, the higher tenure segmentation of immigrants can be associated with higher income segmentation. </w:t>
      </w:r>
      <w:r w:rsidRPr="00BA3F07">
        <w:rPr>
          <w:rFonts w:cs="Arial"/>
          <w:sz w:val="24"/>
          <w:szCs w:val="24"/>
          <w:lang w:val="en-GB"/>
        </w:rPr>
        <w:t>Differences in income segmentation can thus to some extent explain why immigrants are more unequal</w:t>
      </w:r>
      <w:r>
        <w:rPr>
          <w:rFonts w:cs="Arial"/>
          <w:sz w:val="24"/>
          <w:szCs w:val="24"/>
          <w:lang w:val="en-GB"/>
        </w:rPr>
        <w:t>ly</w:t>
      </w:r>
      <w:r w:rsidRPr="00BA3F07">
        <w:rPr>
          <w:rFonts w:cs="Arial"/>
          <w:sz w:val="24"/>
          <w:szCs w:val="24"/>
          <w:lang w:val="en-GB"/>
        </w:rPr>
        <w:t xml:space="preserve"> distributed among tenures in </w:t>
      </w:r>
      <w:smartTag w:uri="urn:schemas-microsoft-com:office:smarttags" w:element="country-region">
        <w:r w:rsidRPr="00BA3F07">
          <w:rPr>
            <w:rFonts w:cs="Arial"/>
            <w:sz w:val="24"/>
            <w:szCs w:val="24"/>
            <w:lang w:val="en-GB"/>
          </w:rPr>
          <w:t>Denmark</w:t>
        </w:r>
      </w:smartTag>
      <w:r w:rsidRPr="00BA3F07">
        <w:rPr>
          <w:rFonts w:cs="Arial"/>
          <w:sz w:val="24"/>
          <w:szCs w:val="24"/>
          <w:lang w:val="en-GB"/>
        </w:rPr>
        <w:t xml:space="preserve"> than in </w:t>
      </w:r>
      <w:smartTag w:uri="urn:schemas-microsoft-com:office:smarttags" w:element="place">
        <w:smartTag w:uri="urn:schemas-microsoft-com:office:smarttags" w:element="country-region">
          <w:r w:rsidRPr="00BA3F07">
            <w:rPr>
              <w:rFonts w:cs="Arial"/>
              <w:sz w:val="24"/>
              <w:szCs w:val="24"/>
              <w:lang w:val="en-GB"/>
            </w:rPr>
            <w:t>Sweden</w:t>
          </w:r>
        </w:smartTag>
      </w:smartTag>
      <w:r>
        <w:rPr>
          <w:rFonts w:cs="Arial"/>
          <w:sz w:val="24"/>
          <w:szCs w:val="24"/>
          <w:lang w:val="en-GB"/>
        </w:rPr>
        <w:t>. But it can</w:t>
      </w:r>
      <w:r w:rsidRPr="00BA3F07">
        <w:rPr>
          <w:rFonts w:cs="Arial"/>
          <w:sz w:val="24"/>
          <w:szCs w:val="24"/>
          <w:lang w:val="en-GB"/>
        </w:rPr>
        <w:t xml:space="preserve">not explain why the ethnic segmentation is higher on the Finnish market </w:t>
      </w:r>
      <w:r>
        <w:rPr>
          <w:rFonts w:cs="Arial"/>
          <w:sz w:val="24"/>
          <w:szCs w:val="24"/>
          <w:lang w:val="en-GB"/>
        </w:rPr>
        <w:t>and lower o</w:t>
      </w:r>
      <w:r w:rsidRPr="00EE6472">
        <w:rPr>
          <w:rFonts w:cs="Arial"/>
          <w:sz w:val="24"/>
          <w:szCs w:val="24"/>
          <w:lang w:val="en-GB"/>
        </w:rPr>
        <w:t>n the Norwegian.</w:t>
      </w:r>
      <w:r>
        <w:rPr>
          <w:rFonts w:cs="Arial"/>
          <w:sz w:val="24"/>
          <w:szCs w:val="24"/>
          <w:lang w:val="en-GB"/>
        </w:rPr>
        <w:t xml:space="preserve"> In the Finnish case</w:t>
      </w:r>
      <w:r w:rsidR="00CF7BBC">
        <w:rPr>
          <w:rFonts w:cs="Arial"/>
          <w:sz w:val="24"/>
          <w:szCs w:val="24"/>
          <w:lang w:val="en-GB"/>
        </w:rPr>
        <w:t>,</w:t>
      </w:r>
      <w:r>
        <w:rPr>
          <w:rFonts w:cs="Arial"/>
          <w:sz w:val="24"/>
          <w:szCs w:val="24"/>
          <w:lang w:val="en-GB"/>
        </w:rPr>
        <w:t xml:space="preserve"> an explanation could be that immigrants are to a greater extent newcomers  and that </w:t>
      </w:r>
      <w:r w:rsidRPr="000811BB">
        <w:rPr>
          <w:rFonts w:cs="Arial"/>
          <w:sz w:val="24"/>
          <w:szCs w:val="24"/>
          <w:lang w:val="en-GB"/>
        </w:rPr>
        <w:t>major</w:t>
      </w:r>
      <w:r>
        <w:rPr>
          <w:rFonts w:cs="Arial"/>
          <w:sz w:val="24"/>
          <w:szCs w:val="24"/>
          <w:lang w:val="en-GB"/>
        </w:rPr>
        <w:t xml:space="preserve"> proportions of Danish, Swedish and Norwegian immigrants have had longer time to ‘climb up the housing ladder’.</w:t>
      </w:r>
    </w:p>
    <w:p w:rsidR="00A22734" w:rsidRDefault="00A22734" w:rsidP="00A22734">
      <w:pPr>
        <w:rPr>
          <w:rFonts w:cs="Arial"/>
          <w:sz w:val="24"/>
          <w:szCs w:val="24"/>
          <w:lang w:val="en-GB"/>
        </w:rPr>
      </w:pPr>
    </w:p>
    <w:p w:rsidR="00A22734" w:rsidRDefault="00A22734" w:rsidP="00A22734">
      <w:pPr>
        <w:rPr>
          <w:rFonts w:cs="Arial"/>
          <w:sz w:val="24"/>
          <w:szCs w:val="24"/>
          <w:lang w:val="en-GB"/>
        </w:rPr>
      </w:pPr>
      <w:r w:rsidRPr="00BA3F07">
        <w:rPr>
          <w:rFonts w:cs="Arial"/>
          <w:sz w:val="24"/>
          <w:szCs w:val="24"/>
          <w:lang w:val="en-GB"/>
        </w:rPr>
        <w:t xml:space="preserve">It is also difficult to </w:t>
      </w:r>
      <w:r w:rsidRPr="002141C4">
        <w:rPr>
          <w:rFonts w:cs="Arial"/>
          <w:sz w:val="24"/>
          <w:szCs w:val="24"/>
          <w:lang w:val="en-GB"/>
        </w:rPr>
        <w:t xml:space="preserve">explain the differences between the </w:t>
      </w:r>
      <w:r>
        <w:rPr>
          <w:rFonts w:cs="Arial"/>
          <w:sz w:val="24"/>
          <w:szCs w:val="24"/>
          <w:lang w:val="en-GB"/>
        </w:rPr>
        <w:t xml:space="preserve">various </w:t>
      </w:r>
      <w:r w:rsidRPr="002141C4">
        <w:rPr>
          <w:rFonts w:cs="Arial"/>
          <w:sz w:val="24"/>
          <w:szCs w:val="24"/>
          <w:lang w:val="en-GB"/>
        </w:rPr>
        <w:t xml:space="preserve">countries concerning immigrants in overcrowded housing by </w:t>
      </w:r>
      <w:r>
        <w:rPr>
          <w:rFonts w:cs="Arial"/>
          <w:sz w:val="24"/>
          <w:szCs w:val="24"/>
          <w:lang w:val="en-GB"/>
        </w:rPr>
        <w:t xml:space="preserve">only </w:t>
      </w:r>
      <w:r w:rsidRPr="002141C4">
        <w:rPr>
          <w:rFonts w:cs="Arial"/>
          <w:sz w:val="24"/>
          <w:szCs w:val="24"/>
          <w:lang w:val="en-GB"/>
        </w:rPr>
        <w:t xml:space="preserve">income differences. The high degree of overcrowding among immigrants in </w:t>
      </w:r>
      <w:smartTag w:uri="urn:schemas-microsoft-com:office:smarttags" w:element="place">
        <w:smartTag w:uri="urn:schemas-microsoft-com:office:smarttags" w:element="country-region">
          <w:r w:rsidRPr="002141C4">
            <w:rPr>
              <w:rFonts w:cs="Arial"/>
              <w:sz w:val="24"/>
              <w:szCs w:val="24"/>
              <w:lang w:val="en-GB"/>
            </w:rPr>
            <w:t>Norway</w:t>
          </w:r>
        </w:smartTag>
      </w:smartTag>
      <w:r w:rsidRPr="002141C4">
        <w:rPr>
          <w:rFonts w:cs="Arial"/>
          <w:sz w:val="24"/>
          <w:szCs w:val="24"/>
          <w:lang w:val="en-GB"/>
        </w:rPr>
        <w:t xml:space="preserve"> can thus not be explained by differences between income groups, which </w:t>
      </w:r>
      <w:r w:rsidR="00CF7BBC">
        <w:rPr>
          <w:rFonts w:cs="Arial"/>
          <w:sz w:val="24"/>
          <w:szCs w:val="24"/>
          <w:lang w:val="en-GB"/>
        </w:rPr>
        <w:t xml:space="preserve">are </w:t>
      </w:r>
      <w:r w:rsidRPr="002141C4">
        <w:rPr>
          <w:rFonts w:cs="Arial"/>
          <w:sz w:val="24"/>
          <w:szCs w:val="24"/>
          <w:lang w:val="en-GB"/>
        </w:rPr>
        <w:t xml:space="preserve">in fact smaller than in the other countries. </w:t>
      </w:r>
      <w:r w:rsidR="00CF7BBC">
        <w:rPr>
          <w:rFonts w:cs="Arial"/>
          <w:sz w:val="24"/>
          <w:szCs w:val="24"/>
          <w:lang w:val="en-GB"/>
        </w:rPr>
        <w:t>T</w:t>
      </w:r>
      <w:r w:rsidRPr="002141C4">
        <w:rPr>
          <w:rFonts w:cs="Arial"/>
          <w:sz w:val="24"/>
          <w:szCs w:val="24"/>
          <w:lang w:val="en-GB"/>
        </w:rPr>
        <w:t>he differences between the other countries</w:t>
      </w:r>
      <w:r>
        <w:rPr>
          <w:rFonts w:cs="Arial"/>
          <w:sz w:val="24"/>
          <w:szCs w:val="24"/>
          <w:lang w:val="en-GB"/>
        </w:rPr>
        <w:t xml:space="preserve"> cannot be accounted for by income differences. Some of the differences must therefore be explained by special features in the housing systems.</w:t>
      </w:r>
    </w:p>
    <w:p w:rsidR="00C26C02" w:rsidRDefault="00C26C02" w:rsidP="00C26C02">
      <w:pPr>
        <w:pStyle w:val="Overskrift3"/>
        <w:rPr>
          <w:sz w:val="24"/>
          <w:szCs w:val="24"/>
          <w:lang w:val="en-GB"/>
        </w:rPr>
      </w:pPr>
      <w:bookmarkStart w:id="1" w:name="_Toc264289698"/>
      <w:bookmarkStart w:id="2" w:name="_Toc276036441"/>
      <w:r>
        <w:rPr>
          <w:lang w:val="en-GB"/>
        </w:rPr>
        <w:t xml:space="preserve">Analytic </w:t>
      </w:r>
      <w:r w:rsidRPr="003C7A07">
        <w:rPr>
          <w:lang w:val="en-GB"/>
        </w:rPr>
        <w:t>conclusions</w:t>
      </w:r>
      <w:bookmarkEnd w:id="1"/>
      <w:r w:rsidRPr="003C7A07">
        <w:rPr>
          <w:lang w:val="en-GB"/>
        </w:rPr>
        <w:t xml:space="preserve"> on the importance of housing policies for immigrants</w:t>
      </w:r>
      <w:r>
        <w:rPr>
          <w:lang w:val="en-GB"/>
        </w:rPr>
        <w:t>’</w:t>
      </w:r>
      <w:r w:rsidRPr="003C7A07">
        <w:rPr>
          <w:lang w:val="en-GB"/>
        </w:rPr>
        <w:t xml:space="preserve"> housing options in </w:t>
      </w:r>
      <w:r w:rsidR="006A652F">
        <w:rPr>
          <w:lang w:val="en-GB"/>
        </w:rPr>
        <w:t xml:space="preserve">four </w:t>
      </w:r>
      <w:r w:rsidRPr="003C7A07">
        <w:rPr>
          <w:lang w:val="en-GB"/>
        </w:rPr>
        <w:t>Nordic countries</w:t>
      </w:r>
      <w:bookmarkEnd w:id="2"/>
    </w:p>
    <w:p w:rsidR="00C26C02" w:rsidRPr="00CD1CBB" w:rsidRDefault="00C26C02" w:rsidP="00C26C02">
      <w:pPr>
        <w:rPr>
          <w:sz w:val="24"/>
          <w:lang w:val="sv-SE"/>
        </w:rPr>
      </w:pPr>
      <w:r>
        <w:rPr>
          <w:rFonts w:cs="Arial"/>
          <w:sz w:val="24"/>
          <w:szCs w:val="24"/>
          <w:lang w:val="en-GB"/>
        </w:rPr>
        <w:t xml:space="preserve">The research question examined in this article is </w:t>
      </w:r>
      <w:r w:rsidR="005A14A0">
        <w:rPr>
          <w:rFonts w:cs="Arial"/>
          <w:sz w:val="24"/>
          <w:szCs w:val="24"/>
          <w:lang w:val="en-GB"/>
        </w:rPr>
        <w:t>whether</w:t>
      </w:r>
      <w:r>
        <w:rPr>
          <w:rFonts w:cs="Arial"/>
          <w:sz w:val="24"/>
          <w:szCs w:val="24"/>
          <w:lang w:val="en-GB"/>
        </w:rPr>
        <w:t xml:space="preserve"> a </w:t>
      </w:r>
      <w:r>
        <w:rPr>
          <w:sz w:val="24"/>
          <w:szCs w:val="24"/>
          <w:lang w:val="en-GB"/>
        </w:rPr>
        <w:t xml:space="preserve">comparison of immigrants’ housing situation and of </w:t>
      </w:r>
      <w:r w:rsidRPr="00FD29BA">
        <w:rPr>
          <w:sz w:val="24"/>
          <w:szCs w:val="24"/>
          <w:lang w:val="en-GB"/>
        </w:rPr>
        <w:t xml:space="preserve">housing policies in four Nordic countries </w:t>
      </w:r>
      <w:r>
        <w:rPr>
          <w:sz w:val="24"/>
          <w:szCs w:val="24"/>
          <w:lang w:val="en-GB"/>
        </w:rPr>
        <w:t>makes it possible to</w:t>
      </w:r>
      <w:r w:rsidRPr="00FD29BA">
        <w:rPr>
          <w:sz w:val="24"/>
          <w:szCs w:val="24"/>
          <w:lang w:val="en-GB"/>
        </w:rPr>
        <w:t xml:space="preserve"> identify</w:t>
      </w:r>
      <w:r>
        <w:rPr>
          <w:sz w:val="24"/>
          <w:szCs w:val="24"/>
          <w:lang w:val="en-GB"/>
        </w:rPr>
        <w:t xml:space="preserve"> </w:t>
      </w:r>
      <w:r>
        <w:rPr>
          <w:rFonts w:cs="Arial"/>
          <w:sz w:val="24"/>
          <w:szCs w:val="24"/>
          <w:lang w:val="en-GB"/>
        </w:rPr>
        <w:t xml:space="preserve">specific elements of the national housing policies that have had a special </w:t>
      </w:r>
      <w:r w:rsidR="00A248D2">
        <w:rPr>
          <w:rFonts w:cs="Arial"/>
          <w:sz w:val="24"/>
          <w:szCs w:val="24"/>
          <w:lang w:val="en-GB"/>
        </w:rPr>
        <w:t>significance</w:t>
      </w:r>
      <w:r w:rsidR="005A14A0">
        <w:rPr>
          <w:rFonts w:cs="Arial"/>
          <w:sz w:val="24"/>
          <w:szCs w:val="24"/>
          <w:lang w:val="en-GB"/>
        </w:rPr>
        <w:t xml:space="preserve"> </w:t>
      </w:r>
      <w:r>
        <w:rPr>
          <w:rFonts w:cs="Arial"/>
          <w:sz w:val="24"/>
          <w:szCs w:val="24"/>
          <w:lang w:val="en-GB"/>
        </w:rPr>
        <w:t xml:space="preserve">for the housing outcomes of immigrants.  </w:t>
      </w:r>
    </w:p>
    <w:p w:rsidR="00C26C02" w:rsidRPr="00C26C02" w:rsidRDefault="00C26C02" w:rsidP="00BA1A1E">
      <w:pPr>
        <w:rPr>
          <w:rFonts w:cs="Arial"/>
          <w:sz w:val="24"/>
          <w:szCs w:val="24"/>
          <w:lang w:val="sv-SE"/>
        </w:rPr>
      </w:pPr>
    </w:p>
    <w:p w:rsidR="00C81166" w:rsidRDefault="00C81166" w:rsidP="00BA1A1E">
      <w:pPr>
        <w:rPr>
          <w:rFonts w:cs="Arial"/>
          <w:sz w:val="24"/>
          <w:szCs w:val="24"/>
          <w:lang w:val="en-GB"/>
        </w:rPr>
      </w:pPr>
      <w:r>
        <w:rPr>
          <w:rFonts w:cs="Arial"/>
          <w:sz w:val="24"/>
          <w:szCs w:val="24"/>
          <w:lang w:val="en-GB"/>
        </w:rPr>
        <w:t xml:space="preserve">The comparison of countries </w:t>
      </w:r>
      <w:r w:rsidR="00A22734">
        <w:rPr>
          <w:rFonts w:cs="Arial"/>
          <w:sz w:val="24"/>
          <w:szCs w:val="24"/>
          <w:lang w:val="en-GB"/>
        </w:rPr>
        <w:t xml:space="preserve">reveals </w:t>
      </w:r>
      <w:r>
        <w:rPr>
          <w:rFonts w:cs="Arial"/>
          <w:sz w:val="24"/>
          <w:szCs w:val="24"/>
          <w:lang w:val="en-GB"/>
        </w:rPr>
        <w:t xml:space="preserve">that ethnic tenure segmentation, which often results in </w:t>
      </w:r>
      <w:r w:rsidRPr="00661B7C">
        <w:rPr>
          <w:rFonts w:cs="Arial"/>
          <w:sz w:val="24"/>
          <w:szCs w:val="24"/>
          <w:lang w:val="en-GB"/>
        </w:rPr>
        <w:t>spatial</w:t>
      </w:r>
      <w:r>
        <w:rPr>
          <w:rFonts w:cs="Arial"/>
          <w:sz w:val="24"/>
          <w:szCs w:val="24"/>
          <w:lang w:val="en-GB"/>
        </w:rPr>
        <w:t xml:space="preserve"> segregation of </w:t>
      </w:r>
      <w:r w:rsidR="00A22734">
        <w:rPr>
          <w:rFonts w:cs="Arial"/>
          <w:sz w:val="24"/>
          <w:szCs w:val="24"/>
          <w:lang w:val="en-GB"/>
        </w:rPr>
        <w:t>immigrants</w:t>
      </w:r>
      <w:r w:rsidR="005A14A0">
        <w:rPr>
          <w:rFonts w:cs="Arial"/>
          <w:sz w:val="24"/>
          <w:szCs w:val="24"/>
          <w:lang w:val="en-GB"/>
        </w:rPr>
        <w:t>,</w:t>
      </w:r>
      <w:r>
        <w:rPr>
          <w:rFonts w:cs="Arial"/>
          <w:sz w:val="24"/>
          <w:szCs w:val="24"/>
          <w:lang w:val="en-GB"/>
        </w:rPr>
        <w:t xml:space="preserve"> </w:t>
      </w:r>
      <w:r w:rsidR="005A14A0">
        <w:rPr>
          <w:rFonts w:cs="Arial"/>
          <w:sz w:val="24"/>
          <w:szCs w:val="24"/>
          <w:lang w:val="en-GB"/>
        </w:rPr>
        <w:t xml:space="preserve">is </w:t>
      </w:r>
      <w:r>
        <w:rPr>
          <w:rFonts w:cs="Arial"/>
          <w:sz w:val="24"/>
          <w:szCs w:val="24"/>
          <w:lang w:val="en-GB"/>
        </w:rPr>
        <w:t xml:space="preserve">only to some extent a consequence of income </w:t>
      </w:r>
      <w:r>
        <w:rPr>
          <w:rFonts w:cs="Arial"/>
          <w:sz w:val="24"/>
          <w:szCs w:val="24"/>
          <w:lang w:val="en-GB"/>
        </w:rPr>
        <w:lastRenderedPageBreak/>
        <w:t xml:space="preserve">segmentation of housing markets. This indicates that differences in housing policies can have special consequences for immigrants besides the effect </w:t>
      </w:r>
      <w:r w:rsidR="00501893">
        <w:rPr>
          <w:rFonts w:cs="Arial"/>
          <w:sz w:val="24"/>
          <w:szCs w:val="24"/>
          <w:lang w:val="en-GB"/>
        </w:rPr>
        <w:t>on</w:t>
      </w:r>
      <w:r>
        <w:rPr>
          <w:rFonts w:cs="Arial"/>
          <w:sz w:val="24"/>
          <w:szCs w:val="24"/>
          <w:lang w:val="en-GB"/>
        </w:rPr>
        <w:t xml:space="preserve"> income groups.</w:t>
      </w:r>
    </w:p>
    <w:p w:rsidR="00C81166" w:rsidRDefault="00C81166" w:rsidP="00BA1A1E">
      <w:pPr>
        <w:rPr>
          <w:rFonts w:cs="Arial"/>
          <w:sz w:val="24"/>
          <w:szCs w:val="24"/>
          <w:lang w:val="en-GB"/>
        </w:rPr>
      </w:pPr>
    </w:p>
    <w:p w:rsidR="00C81166" w:rsidRDefault="00C81166" w:rsidP="00BA1A1E">
      <w:pPr>
        <w:rPr>
          <w:rFonts w:cs="Arial"/>
          <w:sz w:val="24"/>
          <w:szCs w:val="24"/>
          <w:lang w:val="en-GB"/>
        </w:rPr>
      </w:pPr>
      <w:r>
        <w:rPr>
          <w:rFonts w:cs="Arial"/>
          <w:sz w:val="24"/>
          <w:szCs w:val="24"/>
          <w:lang w:val="en-GB"/>
        </w:rPr>
        <w:t xml:space="preserve">The Norwegian case shows that a lack of sufficient rental housing in a country can push immigrants into owner-occupation, which could be seen as </w:t>
      </w:r>
      <w:r w:rsidRPr="005B3BF3">
        <w:rPr>
          <w:rFonts w:cs="Arial"/>
          <w:sz w:val="24"/>
          <w:szCs w:val="24"/>
          <w:lang w:val="en-GB"/>
        </w:rPr>
        <w:t>desirable</w:t>
      </w:r>
      <w:r>
        <w:rPr>
          <w:rFonts w:cs="Arial"/>
          <w:sz w:val="24"/>
          <w:szCs w:val="24"/>
          <w:lang w:val="en-GB"/>
        </w:rPr>
        <w:t>. But t</w:t>
      </w:r>
      <w:r>
        <w:rPr>
          <w:sz w:val="24"/>
          <w:szCs w:val="24"/>
          <w:lang w:val="en-GB"/>
        </w:rPr>
        <w:t xml:space="preserve">he price for this policy has been that many immigrants </w:t>
      </w:r>
      <w:r w:rsidR="00A22734">
        <w:rPr>
          <w:sz w:val="24"/>
          <w:szCs w:val="24"/>
          <w:lang w:val="en-GB"/>
        </w:rPr>
        <w:t xml:space="preserve">live </w:t>
      </w:r>
      <w:r>
        <w:rPr>
          <w:sz w:val="24"/>
          <w:szCs w:val="24"/>
          <w:lang w:val="en-GB"/>
        </w:rPr>
        <w:t xml:space="preserve">in overcrowded accommodation. </w:t>
      </w:r>
      <w:r>
        <w:rPr>
          <w:rFonts w:cs="Arial"/>
          <w:sz w:val="24"/>
          <w:szCs w:val="24"/>
          <w:lang w:val="en-GB"/>
        </w:rPr>
        <w:t xml:space="preserve">Moreover, the lack of rental housing results in a high demand pressure on rental housing. This makes room for </w:t>
      </w:r>
      <w:r w:rsidR="00FA386C">
        <w:rPr>
          <w:rFonts w:cs="Arial"/>
          <w:sz w:val="24"/>
          <w:szCs w:val="24"/>
          <w:lang w:val="en-GB"/>
        </w:rPr>
        <w:t xml:space="preserve">increased rents but also </w:t>
      </w:r>
      <w:r>
        <w:rPr>
          <w:rFonts w:cs="Arial"/>
          <w:sz w:val="24"/>
          <w:szCs w:val="24"/>
          <w:lang w:val="en-GB"/>
        </w:rPr>
        <w:t>discrimination</w:t>
      </w:r>
      <w:r w:rsidR="00FA386C">
        <w:rPr>
          <w:rFonts w:cs="Arial"/>
          <w:sz w:val="24"/>
          <w:szCs w:val="24"/>
          <w:lang w:val="en-GB"/>
        </w:rPr>
        <w:t>,</w:t>
      </w:r>
      <w:r>
        <w:rPr>
          <w:rFonts w:cs="Arial"/>
          <w:sz w:val="24"/>
          <w:szCs w:val="24"/>
          <w:lang w:val="en-GB"/>
        </w:rPr>
        <w:t xml:space="preserve"> which has been well documented in the Norwegian case</w:t>
      </w:r>
      <w:r w:rsidR="00C26C02">
        <w:rPr>
          <w:rFonts w:cs="Arial"/>
          <w:sz w:val="24"/>
          <w:szCs w:val="24"/>
          <w:lang w:val="en-GB"/>
        </w:rPr>
        <w:t xml:space="preserve"> (</w:t>
      </w:r>
      <w:proofErr w:type="spellStart"/>
      <w:r w:rsidR="00C26C02">
        <w:rPr>
          <w:rFonts w:cs="Arial"/>
          <w:sz w:val="24"/>
          <w:szCs w:val="24"/>
          <w:lang w:val="en-GB"/>
        </w:rPr>
        <w:t>Røed</w:t>
      </w:r>
      <w:proofErr w:type="spellEnd"/>
      <w:r w:rsidR="00C26C02">
        <w:rPr>
          <w:rFonts w:cs="Arial"/>
          <w:sz w:val="24"/>
          <w:szCs w:val="24"/>
          <w:lang w:val="en-GB"/>
        </w:rPr>
        <w:t xml:space="preserve"> Larsen and </w:t>
      </w:r>
      <w:proofErr w:type="spellStart"/>
      <w:r w:rsidR="00C26C02">
        <w:rPr>
          <w:rFonts w:cs="Arial"/>
          <w:sz w:val="24"/>
          <w:szCs w:val="24"/>
          <w:lang w:val="en-GB"/>
        </w:rPr>
        <w:t>Sommervoll</w:t>
      </w:r>
      <w:proofErr w:type="spellEnd"/>
      <w:r w:rsidR="00C26C02">
        <w:rPr>
          <w:rFonts w:cs="Arial"/>
          <w:sz w:val="24"/>
          <w:szCs w:val="24"/>
          <w:lang w:val="en-GB"/>
        </w:rPr>
        <w:t xml:space="preserve"> 2011, </w:t>
      </w:r>
      <w:proofErr w:type="spellStart"/>
      <w:r w:rsidR="00C26C02" w:rsidRPr="00D96A82">
        <w:rPr>
          <w:rFonts w:cs="Arial"/>
          <w:sz w:val="24"/>
          <w:szCs w:val="24"/>
          <w:lang w:val="en-GB"/>
        </w:rPr>
        <w:t>Søholt</w:t>
      </w:r>
      <w:proofErr w:type="spellEnd"/>
      <w:r w:rsidR="00C26C02" w:rsidRPr="00D96A82">
        <w:rPr>
          <w:rFonts w:cs="Arial"/>
          <w:sz w:val="24"/>
          <w:szCs w:val="24"/>
          <w:lang w:val="en-GB"/>
        </w:rPr>
        <w:t xml:space="preserve"> and </w:t>
      </w:r>
      <w:proofErr w:type="spellStart"/>
      <w:r w:rsidR="00C26C02" w:rsidRPr="00D96A82">
        <w:rPr>
          <w:rFonts w:cs="Arial"/>
          <w:sz w:val="24"/>
          <w:szCs w:val="24"/>
          <w:lang w:val="en-GB"/>
        </w:rPr>
        <w:t>Astrup</w:t>
      </w:r>
      <w:proofErr w:type="spellEnd"/>
      <w:r w:rsidR="00C26C02" w:rsidRPr="00D96A82">
        <w:rPr>
          <w:rFonts w:cs="Arial"/>
          <w:sz w:val="24"/>
          <w:szCs w:val="24"/>
          <w:lang w:val="en-GB"/>
        </w:rPr>
        <w:t xml:space="preserve"> 2009a</w:t>
      </w:r>
      <w:r w:rsidR="00C26C02">
        <w:rPr>
          <w:rFonts w:cs="Arial"/>
          <w:sz w:val="24"/>
          <w:szCs w:val="24"/>
          <w:lang w:val="en-GB"/>
        </w:rPr>
        <w:t>)</w:t>
      </w:r>
      <w:r>
        <w:rPr>
          <w:rFonts w:cs="Arial"/>
          <w:sz w:val="24"/>
          <w:szCs w:val="24"/>
          <w:lang w:val="en-GB"/>
        </w:rPr>
        <w:t xml:space="preserve">. </w:t>
      </w:r>
    </w:p>
    <w:p w:rsidR="00C81166" w:rsidRDefault="00C81166" w:rsidP="00BA1A1E">
      <w:pPr>
        <w:rPr>
          <w:rFonts w:cs="Arial"/>
          <w:sz w:val="24"/>
          <w:szCs w:val="24"/>
          <w:lang w:val="en-GB"/>
        </w:rPr>
      </w:pPr>
    </w:p>
    <w:p w:rsidR="00C81166" w:rsidRDefault="00C81166" w:rsidP="00957895">
      <w:pPr>
        <w:rPr>
          <w:rFonts w:cs="Arial"/>
          <w:sz w:val="24"/>
          <w:szCs w:val="24"/>
          <w:lang w:val="en-GB"/>
        </w:rPr>
      </w:pPr>
      <w:r>
        <w:rPr>
          <w:rFonts w:cs="Arial"/>
          <w:sz w:val="24"/>
          <w:szCs w:val="24"/>
          <w:lang w:val="en-GB"/>
        </w:rPr>
        <w:t>In the other three countries</w:t>
      </w:r>
      <w:r w:rsidR="005A14A0">
        <w:rPr>
          <w:rFonts w:cs="Arial"/>
          <w:sz w:val="24"/>
          <w:szCs w:val="24"/>
          <w:lang w:val="en-GB"/>
        </w:rPr>
        <w:t>,</w:t>
      </w:r>
      <w:r>
        <w:rPr>
          <w:rFonts w:cs="Arial"/>
          <w:sz w:val="24"/>
          <w:szCs w:val="24"/>
          <w:lang w:val="en-GB"/>
        </w:rPr>
        <w:t xml:space="preserve"> there are more rental housing and </w:t>
      </w:r>
      <w:r w:rsidR="00A14D18">
        <w:rPr>
          <w:rFonts w:cs="Arial"/>
          <w:sz w:val="24"/>
          <w:szCs w:val="24"/>
          <w:lang w:val="en-GB"/>
        </w:rPr>
        <w:t>social/public housing</w:t>
      </w:r>
      <w:r>
        <w:rPr>
          <w:rFonts w:cs="Arial"/>
          <w:sz w:val="24"/>
          <w:szCs w:val="24"/>
          <w:lang w:val="en-GB"/>
        </w:rPr>
        <w:t xml:space="preserve">, especially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Pr>
          <w:rFonts w:cs="Arial"/>
          <w:sz w:val="24"/>
          <w:szCs w:val="24"/>
          <w:lang w:val="en-GB"/>
        </w:rPr>
        <w:t>. But these sectors have been differently organised. Important differences for immigrants are rent and price control</w:t>
      </w:r>
      <w:r w:rsidR="00A22734">
        <w:rPr>
          <w:rFonts w:cs="Arial"/>
          <w:sz w:val="24"/>
          <w:szCs w:val="24"/>
          <w:lang w:val="en-GB"/>
        </w:rPr>
        <w:t>s</w:t>
      </w:r>
      <w:r>
        <w:rPr>
          <w:rFonts w:cs="Arial"/>
          <w:sz w:val="24"/>
          <w:szCs w:val="24"/>
          <w:lang w:val="en-GB"/>
        </w:rPr>
        <w:t xml:space="preserve"> in private renting and cooperatives, the size of the </w:t>
      </w:r>
      <w:r w:rsidR="00A14D18">
        <w:rPr>
          <w:rFonts w:cs="Arial"/>
          <w:sz w:val="24"/>
          <w:szCs w:val="24"/>
          <w:lang w:val="en-GB"/>
        </w:rPr>
        <w:t>social/public housing</w:t>
      </w:r>
      <w:r>
        <w:rPr>
          <w:rFonts w:cs="Arial"/>
          <w:sz w:val="24"/>
          <w:szCs w:val="24"/>
          <w:lang w:val="en-GB"/>
        </w:rPr>
        <w:t xml:space="preserve"> sector and rules of access to </w:t>
      </w:r>
      <w:r w:rsidR="00A14D18">
        <w:rPr>
          <w:rFonts w:cs="Arial"/>
          <w:sz w:val="24"/>
          <w:szCs w:val="24"/>
          <w:lang w:val="en-GB"/>
        </w:rPr>
        <w:t>social/public housing</w:t>
      </w:r>
      <w:r>
        <w:rPr>
          <w:rFonts w:cs="Arial"/>
          <w:sz w:val="24"/>
          <w:szCs w:val="24"/>
          <w:lang w:val="en-GB"/>
        </w:rPr>
        <w:t>.</w:t>
      </w:r>
    </w:p>
    <w:p w:rsidR="00C81166" w:rsidRDefault="00C81166" w:rsidP="00957895">
      <w:pPr>
        <w:rPr>
          <w:rFonts w:cs="Arial"/>
          <w:sz w:val="24"/>
          <w:szCs w:val="24"/>
          <w:lang w:val="en-GB"/>
        </w:rPr>
      </w:pPr>
    </w:p>
    <w:p w:rsidR="00C81166" w:rsidRDefault="00C81166" w:rsidP="00957895">
      <w:pPr>
        <w:rPr>
          <w:rFonts w:cs="Arial"/>
          <w:sz w:val="24"/>
          <w:szCs w:val="24"/>
          <w:lang w:val="en-GB"/>
        </w:rPr>
      </w:pPr>
      <w:r>
        <w:rPr>
          <w:rFonts w:cs="Arial"/>
          <w:sz w:val="24"/>
          <w:szCs w:val="24"/>
          <w:lang w:val="en-GB"/>
        </w:rPr>
        <w:t xml:space="preserve">The Danish case shows that immigrants’ housing </w:t>
      </w:r>
      <w:r w:rsidR="00501893">
        <w:rPr>
          <w:rFonts w:cs="Arial"/>
          <w:sz w:val="24"/>
          <w:szCs w:val="24"/>
          <w:lang w:val="en-GB"/>
        </w:rPr>
        <w:t>options</w:t>
      </w:r>
      <w:r>
        <w:rPr>
          <w:rFonts w:cs="Arial"/>
          <w:sz w:val="24"/>
          <w:szCs w:val="24"/>
          <w:lang w:val="en-GB"/>
        </w:rPr>
        <w:t xml:space="preserve"> and experience of discrimination </w:t>
      </w:r>
      <w:r w:rsidR="005A14A0">
        <w:rPr>
          <w:rFonts w:cs="Arial"/>
          <w:sz w:val="24"/>
          <w:szCs w:val="24"/>
          <w:lang w:val="en-GB"/>
        </w:rPr>
        <w:t>are</w:t>
      </w:r>
      <w:r>
        <w:rPr>
          <w:rFonts w:cs="Arial"/>
          <w:sz w:val="24"/>
          <w:szCs w:val="24"/>
          <w:lang w:val="en-GB"/>
        </w:rPr>
        <w:t xml:space="preserve"> strongly influenced by regulation of the private rental market and a lack of transparency of housing transactions. Strong rent control, like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Pr>
          <w:rFonts w:cs="Arial"/>
          <w:sz w:val="24"/>
          <w:szCs w:val="24"/>
          <w:lang w:val="en-GB"/>
        </w:rPr>
        <w:t xml:space="preserve">, is damaging the housing possibilities </w:t>
      </w:r>
      <w:r w:rsidR="005A14A0">
        <w:rPr>
          <w:rFonts w:cs="Arial"/>
          <w:sz w:val="24"/>
          <w:szCs w:val="24"/>
          <w:lang w:val="en-GB"/>
        </w:rPr>
        <w:t>of</w:t>
      </w:r>
      <w:r>
        <w:rPr>
          <w:rFonts w:cs="Arial"/>
          <w:sz w:val="24"/>
          <w:szCs w:val="24"/>
          <w:lang w:val="en-GB"/>
        </w:rPr>
        <w:t xml:space="preserve"> immigrants in private renting because rents below the market level create queues, which give landlords options to choose between house hunters. They tend to choose family and acquaintances as tenants, and as immigrants seldom have </w:t>
      </w:r>
      <w:r w:rsidR="00EB7EB5">
        <w:rPr>
          <w:rFonts w:cs="Arial"/>
          <w:sz w:val="24"/>
          <w:szCs w:val="24"/>
          <w:lang w:val="en-GB"/>
        </w:rPr>
        <w:t>good</w:t>
      </w:r>
      <w:r w:rsidRPr="00661B7C">
        <w:rPr>
          <w:rFonts w:cs="Arial"/>
          <w:sz w:val="24"/>
          <w:szCs w:val="24"/>
          <w:lang w:val="en-GB"/>
        </w:rPr>
        <w:t xml:space="preserve"> </w:t>
      </w:r>
      <w:r w:rsidR="00024AA7" w:rsidRPr="00A74433">
        <w:rPr>
          <w:rFonts w:cs="Arial"/>
          <w:sz w:val="24"/>
          <w:szCs w:val="24"/>
          <w:lang w:val="en-GB"/>
        </w:rPr>
        <w:t>informal</w:t>
      </w:r>
      <w:r w:rsidR="00024AA7">
        <w:rPr>
          <w:rFonts w:cs="Arial"/>
          <w:sz w:val="24"/>
          <w:szCs w:val="24"/>
          <w:lang w:val="en-GB"/>
        </w:rPr>
        <w:t xml:space="preserve"> </w:t>
      </w:r>
      <w:r w:rsidR="00FA386C">
        <w:rPr>
          <w:rFonts w:cs="Arial"/>
          <w:sz w:val="24"/>
          <w:szCs w:val="24"/>
          <w:lang w:val="en-GB"/>
        </w:rPr>
        <w:t xml:space="preserve">contacts </w:t>
      </w:r>
      <w:r>
        <w:rPr>
          <w:rFonts w:cs="Arial"/>
          <w:sz w:val="24"/>
          <w:szCs w:val="24"/>
          <w:lang w:val="en-GB"/>
        </w:rPr>
        <w:t>to landlords</w:t>
      </w:r>
      <w:r w:rsidR="005A14A0">
        <w:rPr>
          <w:rFonts w:cs="Arial"/>
          <w:sz w:val="24"/>
          <w:szCs w:val="24"/>
          <w:lang w:val="en-GB"/>
        </w:rPr>
        <w:t>,</w:t>
      </w:r>
      <w:r>
        <w:rPr>
          <w:rFonts w:cs="Arial"/>
          <w:sz w:val="24"/>
          <w:szCs w:val="24"/>
          <w:lang w:val="en-GB"/>
        </w:rPr>
        <w:t xml:space="preserve"> they have difficulties in getting access</w:t>
      </w:r>
      <w:r w:rsidR="00FA386C">
        <w:rPr>
          <w:rFonts w:cs="Arial"/>
          <w:sz w:val="24"/>
          <w:szCs w:val="24"/>
          <w:lang w:val="en-GB"/>
        </w:rPr>
        <w:t xml:space="preserve"> to their dwellings</w:t>
      </w:r>
      <w:r>
        <w:rPr>
          <w:rFonts w:cs="Arial"/>
          <w:sz w:val="24"/>
          <w:szCs w:val="24"/>
          <w:lang w:val="en-GB"/>
        </w:rPr>
        <w:t xml:space="preserve">. Moreover, the room for direct discrimination increases, which </w:t>
      </w:r>
      <w:r w:rsidR="001045EA">
        <w:rPr>
          <w:rFonts w:cs="Arial"/>
          <w:sz w:val="24"/>
          <w:szCs w:val="24"/>
          <w:lang w:val="en-GB"/>
        </w:rPr>
        <w:t xml:space="preserve">has </w:t>
      </w:r>
      <w:r w:rsidR="00BF29E9">
        <w:rPr>
          <w:rFonts w:cs="Arial"/>
          <w:sz w:val="24"/>
          <w:szCs w:val="24"/>
          <w:lang w:val="en-GB"/>
        </w:rPr>
        <w:t xml:space="preserve">to some extent </w:t>
      </w:r>
      <w:r>
        <w:rPr>
          <w:rFonts w:cs="Arial"/>
          <w:sz w:val="24"/>
          <w:szCs w:val="24"/>
          <w:lang w:val="en-GB"/>
        </w:rPr>
        <w:t xml:space="preserve">been documented in Denmark. Also price control in cooperatives in </w:t>
      </w:r>
      <w:smartTag w:uri="urn:schemas-microsoft-com:office:smarttags" w:element="City">
        <w:smartTag w:uri="urn:schemas-microsoft-com:office:smarttags" w:element="place">
          <w:smartTag w:uri="urn:schemas-microsoft-com:office:smarttags" w:element="country-region">
            <w:r>
              <w:rPr>
                <w:rFonts w:cs="Arial"/>
                <w:sz w:val="24"/>
                <w:szCs w:val="24"/>
                <w:lang w:val="en-GB"/>
              </w:rPr>
              <w:t>Denmark</w:t>
            </w:r>
          </w:smartTag>
        </w:smartTag>
      </w:smartTag>
      <w:r>
        <w:rPr>
          <w:rFonts w:cs="Arial"/>
          <w:sz w:val="24"/>
          <w:szCs w:val="24"/>
          <w:lang w:val="en-GB"/>
        </w:rPr>
        <w:t xml:space="preserve"> has resulted in a strong under-representation of immigrants in this tenure.</w:t>
      </w:r>
    </w:p>
    <w:p w:rsidR="00C81166" w:rsidRDefault="00C81166" w:rsidP="00BA1A1E">
      <w:pPr>
        <w:rPr>
          <w:rFonts w:cs="Arial"/>
          <w:sz w:val="24"/>
          <w:szCs w:val="24"/>
          <w:lang w:val="en-GB"/>
        </w:rPr>
      </w:pPr>
    </w:p>
    <w:p w:rsidR="00A22734" w:rsidRDefault="00A22734" w:rsidP="00A22734">
      <w:pPr>
        <w:rPr>
          <w:rFonts w:cs="Arial"/>
          <w:sz w:val="24"/>
          <w:szCs w:val="24"/>
          <w:lang w:val="en-GB"/>
        </w:rPr>
      </w:pPr>
      <w:r>
        <w:rPr>
          <w:rFonts w:cs="Arial"/>
          <w:sz w:val="24"/>
          <w:szCs w:val="24"/>
          <w:lang w:val="en-GB"/>
        </w:rPr>
        <w:t xml:space="preserve">A large social/public housing sector, which is found in </w:t>
      </w:r>
      <w:smartTag w:uri="urn:schemas-microsoft-com:office:smarttags" w:element="country-region">
        <w:r>
          <w:rPr>
            <w:rFonts w:cs="Arial"/>
            <w:sz w:val="24"/>
            <w:szCs w:val="24"/>
            <w:lang w:val="en-GB"/>
          </w:rPr>
          <w:t>Denmark</w:t>
        </w:r>
      </w:smartTag>
      <w:r>
        <w:rPr>
          <w:rFonts w:cs="Arial"/>
          <w:sz w:val="24"/>
          <w:szCs w:val="24"/>
          <w:lang w:val="en-GB"/>
        </w:rPr>
        <w:t xml:space="preserve">, and earlier in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w:t>
      </w:r>
      <w:r w:rsidRPr="000A4695">
        <w:rPr>
          <w:rFonts w:cs="Arial"/>
          <w:sz w:val="24"/>
          <w:szCs w:val="24"/>
          <w:lang w:val="en-GB"/>
        </w:rPr>
        <w:t>pave</w:t>
      </w:r>
      <w:r>
        <w:rPr>
          <w:rFonts w:cs="Arial"/>
          <w:sz w:val="24"/>
          <w:szCs w:val="24"/>
          <w:lang w:val="en-GB"/>
        </w:rPr>
        <w:t>s</w:t>
      </w:r>
      <w:r w:rsidRPr="000A4695">
        <w:rPr>
          <w:rFonts w:cs="Arial"/>
          <w:sz w:val="24"/>
          <w:szCs w:val="24"/>
          <w:lang w:val="en-GB"/>
        </w:rPr>
        <w:t xml:space="preserve"> the way for</w:t>
      </w:r>
      <w:r>
        <w:rPr>
          <w:rFonts w:cs="Arial"/>
          <w:sz w:val="24"/>
          <w:szCs w:val="24"/>
          <w:lang w:val="en-GB"/>
        </w:rPr>
        <w:t xml:space="preserve"> good housing opportunities for immigrants.  Open access to social/public housing for all income groups increases immigrants’ housing options. However, the lessons from </w:t>
      </w:r>
      <w:smartTag w:uri="urn:schemas-microsoft-com:office:smarttags" w:element="place">
        <w:smartTag w:uri="urn:schemas-microsoft-com:office:smarttags" w:element="country-region">
          <w:r>
            <w:rPr>
              <w:rFonts w:cs="Arial"/>
              <w:sz w:val="24"/>
              <w:szCs w:val="24"/>
              <w:lang w:val="en-GB"/>
            </w:rPr>
            <w:t>Finland</w:t>
          </w:r>
        </w:smartTag>
      </w:smartTag>
      <w:r>
        <w:rPr>
          <w:rFonts w:cs="Arial"/>
          <w:sz w:val="24"/>
          <w:szCs w:val="24"/>
          <w:lang w:val="en-GB"/>
        </w:rPr>
        <w:t xml:space="preserve"> are that if housing policy is on the other hand concentrated on support for housing for the poor, who are housed in social/public housing with str</w:t>
      </w:r>
      <w:r w:rsidR="00A248D2">
        <w:rPr>
          <w:rFonts w:cs="Arial"/>
          <w:sz w:val="24"/>
          <w:szCs w:val="24"/>
          <w:lang w:val="en-GB"/>
        </w:rPr>
        <w:t>ict</w:t>
      </w:r>
      <w:r>
        <w:rPr>
          <w:rFonts w:cs="Arial"/>
          <w:sz w:val="24"/>
          <w:szCs w:val="24"/>
          <w:lang w:val="en-GB"/>
        </w:rPr>
        <w:t xml:space="preserve"> </w:t>
      </w:r>
      <w:r w:rsidRPr="00661B7C">
        <w:rPr>
          <w:rFonts w:cs="Arial"/>
          <w:sz w:val="24"/>
          <w:szCs w:val="24"/>
          <w:lang w:val="en-GB"/>
        </w:rPr>
        <w:t>needs</w:t>
      </w:r>
      <w:r>
        <w:rPr>
          <w:rFonts w:cs="Arial"/>
          <w:sz w:val="24"/>
          <w:szCs w:val="24"/>
          <w:lang w:val="en-GB"/>
        </w:rPr>
        <w:t xml:space="preserve"> control, immigrants tend to be very concentrated in this kind of housing. Also in </w:t>
      </w:r>
      <w:smartTag w:uri="urn:schemas-microsoft-com:office:smarttags" w:element="place">
        <w:smartTag w:uri="urn:schemas-microsoft-com:office:smarttags" w:element="country-region">
          <w:r>
            <w:rPr>
              <w:rFonts w:cs="Arial"/>
              <w:sz w:val="24"/>
              <w:szCs w:val="24"/>
              <w:lang w:val="en-GB"/>
            </w:rPr>
            <w:t>Denmark</w:t>
          </w:r>
        </w:smartTag>
      </w:smartTag>
      <w:r>
        <w:rPr>
          <w:rFonts w:cs="Arial"/>
          <w:sz w:val="24"/>
          <w:szCs w:val="24"/>
          <w:lang w:val="en-GB"/>
        </w:rPr>
        <w:t xml:space="preserve"> there is a high concentration of immigrants in social/public housing. This can partly be explained by a housing policy that in general has resulted in higher income segmentation on the housing market than in </w:t>
      </w:r>
      <w:smartTag w:uri="urn:schemas-microsoft-com:office:smarttags" w:element="country-region">
        <w:r>
          <w:rPr>
            <w:rFonts w:cs="Arial"/>
            <w:sz w:val="24"/>
            <w:szCs w:val="24"/>
            <w:lang w:val="en-GB"/>
          </w:rPr>
          <w:t>Sweden</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Finland</w:t>
          </w:r>
        </w:smartTag>
      </w:smartTag>
      <w:r>
        <w:rPr>
          <w:rFonts w:cs="Arial"/>
          <w:sz w:val="24"/>
          <w:szCs w:val="24"/>
          <w:lang w:val="en-GB"/>
        </w:rPr>
        <w:t xml:space="preserve">. The </w:t>
      </w:r>
      <w:r w:rsidR="00BF29E9">
        <w:rPr>
          <w:rFonts w:cs="Arial"/>
          <w:sz w:val="24"/>
          <w:szCs w:val="24"/>
          <w:lang w:val="en-GB"/>
        </w:rPr>
        <w:t xml:space="preserve">universalistic housing </w:t>
      </w:r>
      <w:r>
        <w:rPr>
          <w:rFonts w:cs="Arial"/>
          <w:sz w:val="24"/>
          <w:szCs w:val="24"/>
          <w:lang w:val="en-GB"/>
        </w:rPr>
        <w:t xml:space="preserve">policy in Sweden of giving equal status to all tenures has resulted in a modest ethnic segmentation of the housing market and in a smaller over-representation of immigrants in social/public housing. It has also resulted in smaller differences between immigrants and </w:t>
      </w:r>
      <w:r w:rsidRPr="00F64292">
        <w:rPr>
          <w:rFonts w:cs="Arial"/>
          <w:sz w:val="24"/>
          <w:szCs w:val="24"/>
          <w:lang w:val="en-GB"/>
        </w:rPr>
        <w:t>natives</w:t>
      </w:r>
      <w:r>
        <w:rPr>
          <w:rFonts w:cs="Arial"/>
          <w:sz w:val="24"/>
          <w:szCs w:val="24"/>
          <w:lang w:val="en-GB"/>
        </w:rPr>
        <w:t xml:space="preserve"> concerning overcrowding.</w:t>
      </w:r>
    </w:p>
    <w:p w:rsidR="00A22734" w:rsidRDefault="00A22734" w:rsidP="00A22734">
      <w:pPr>
        <w:rPr>
          <w:rFonts w:cs="Arial"/>
          <w:sz w:val="24"/>
          <w:szCs w:val="24"/>
          <w:lang w:val="en-GB"/>
        </w:rPr>
      </w:pPr>
    </w:p>
    <w:p w:rsidR="00A22734" w:rsidRDefault="00A22734" w:rsidP="00A22734">
      <w:pPr>
        <w:rPr>
          <w:rFonts w:cs="Arial"/>
          <w:sz w:val="24"/>
          <w:szCs w:val="24"/>
          <w:lang w:val="en-GB"/>
        </w:rPr>
      </w:pPr>
      <w:r>
        <w:rPr>
          <w:rFonts w:cs="Arial"/>
          <w:sz w:val="24"/>
          <w:szCs w:val="24"/>
          <w:lang w:val="en-GB"/>
        </w:rPr>
        <w:t>The high over</w:t>
      </w:r>
      <w:r w:rsidR="005A14A0">
        <w:rPr>
          <w:rFonts w:cs="Arial"/>
          <w:sz w:val="24"/>
          <w:szCs w:val="24"/>
          <w:lang w:val="en-GB"/>
        </w:rPr>
        <w:t>-</w:t>
      </w:r>
      <w:r>
        <w:rPr>
          <w:rFonts w:cs="Arial"/>
          <w:sz w:val="24"/>
          <w:szCs w:val="24"/>
          <w:lang w:val="en-GB"/>
        </w:rPr>
        <w:t xml:space="preserve">representation of immigrants in social/public housing in </w:t>
      </w:r>
      <w:smartTag w:uri="urn:schemas-microsoft-com:office:smarttags" w:element="country-region">
        <w:r>
          <w:rPr>
            <w:rFonts w:cs="Arial"/>
            <w:sz w:val="24"/>
            <w:szCs w:val="24"/>
            <w:lang w:val="en-GB"/>
          </w:rPr>
          <w:t>Denmark</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Finland</w:t>
          </w:r>
        </w:smartTag>
      </w:smartTag>
      <w:r>
        <w:rPr>
          <w:rFonts w:cs="Arial"/>
          <w:sz w:val="24"/>
          <w:szCs w:val="24"/>
          <w:lang w:val="en-GB"/>
        </w:rPr>
        <w:t xml:space="preserve"> has led to </w:t>
      </w:r>
      <w:r w:rsidRPr="00661B7C">
        <w:rPr>
          <w:rFonts w:cs="Arial"/>
          <w:sz w:val="24"/>
          <w:szCs w:val="24"/>
          <w:lang w:val="en-GB"/>
        </w:rPr>
        <w:t>spatial</w:t>
      </w:r>
      <w:r>
        <w:rPr>
          <w:rFonts w:cs="Arial"/>
          <w:sz w:val="24"/>
          <w:szCs w:val="24"/>
          <w:lang w:val="en-GB"/>
        </w:rPr>
        <w:t xml:space="preserve"> segregation and to a high concentration of immigrants appearing in certain neighbourhoods in the cities. It can be assumed that processes of ethnic </w:t>
      </w:r>
      <w:r w:rsidRPr="00661B7C">
        <w:rPr>
          <w:rFonts w:cs="Arial"/>
          <w:sz w:val="24"/>
          <w:szCs w:val="24"/>
          <w:lang w:val="en-GB"/>
        </w:rPr>
        <w:t>spatial</w:t>
      </w:r>
      <w:r>
        <w:rPr>
          <w:rFonts w:cs="Arial"/>
          <w:sz w:val="24"/>
          <w:szCs w:val="24"/>
          <w:lang w:val="en-GB"/>
        </w:rPr>
        <w:t xml:space="preserve"> segregation like ‘preferences for enclaves’ and ‘white flight and avoidance’ have occurred in these neighbourhoods and thus have </w:t>
      </w:r>
      <w:r w:rsidRPr="00713951">
        <w:rPr>
          <w:rFonts w:cs="Arial"/>
          <w:sz w:val="24"/>
          <w:szCs w:val="24"/>
          <w:lang w:val="en-GB"/>
        </w:rPr>
        <w:t>contribute</w:t>
      </w:r>
      <w:r>
        <w:rPr>
          <w:rFonts w:cs="Arial"/>
          <w:sz w:val="24"/>
          <w:szCs w:val="24"/>
          <w:lang w:val="en-GB"/>
        </w:rPr>
        <w:t xml:space="preserve">d to increased over-representation in social/public housing. Also in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large housing estates with high concentrations of immigrants exist where these processes may have occurred. In </w:t>
      </w:r>
      <w:smartTag w:uri="urn:schemas-microsoft-com:office:smarttags" w:element="place">
        <w:smartTag w:uri="urn:schemas-microsoft-com:office:smarttags" w:element="country-region">
          <w:r>
            <w:rPr>
              <w:rFonts w:cs="Arial"/>
              <w:sz w:val="24"/>
              <w:szCs w:val="24"/>
              <w:lang w:val="en-GB"/>
            </w:rPr>
            <w:t>Norway</w:t>
          </w:r>
        </w:smartTag>
      </w:smartTag>
      <w:r>
        <w:rPr>
          <w:rFonts w:cs="Arial"/>
          <w:sz w:val="24"/>
          <w:szCs w:val="24"/>
          <w:lang w:val="en-GB"/>
        </w:rPr>
        <w:t xml:space="preserve">, concentrations of immigrants have mostly occurred in neighbourhoods with cooperatives.  But it does not </w:t>
      </w:r>
      <w:r>
        <w:rPr>
          <w:rFonts w:cs="Arial"/>
          <w:sz w:val="24"/>
          <w:szCs w:val="24"/>
          <w:lang w:val="en-GB"/>
        </w:rPr>
        <w:lastRenderedPageBreak/>
        <w:t xml:space="preserve">seem that these immigrant-dense neighbourhoods in </w:t>
      </w:r>
      <w:smartTag w:uri="urn:schemas-microsoft-com:office:smarttags" w:element="country-region">
        <w:r>
          <w:rPr>
            <w:rFonts w:cs="Arial"/>
            <w:sz w:val="24"/>
            <w:szCs w:val="24"/>
            <w:lang w:val="en-GB"/>
          </w:rPr>
          <w:t>Norway</w:t>
        </w:r>
      </w:smartTag>
      <w:r>
        <w:rPr>
          <w:rFonts w:cs="Arial"/>
          <w:sz w:val="24"/>
          <w:szCs w:val="24"/>
          <w:lang w:val="en-GB"/>
        </w:rPr>
        <w:t xml:space="preserve"> and </w:t>
      </w:r>
      <w:smartTag w:uri="urn:schemas-microsoft-com:office:smarttags" w:element="place">
        <w:smartTag w:uri="urn:schemas-microsoft-com:office:smarttags" w:element="country-region">
          <w:r>
            <w:rPr>
              <w:rFonts w:cs="Arial"/>
              <w:sz w:val="24"/>
              <w:szCs w:val="24"/>
              <w:lang w:val="en-GB"/>
            </w:rPr>
            <w:t>Sweden</w:t>
          </w:r>
        </w:smartTag>
      </w:smartTag>
      <w:r>
        <w:rPr>
          <w:rFonts w:cs="Arial"/>
          <w:sz w:val="24"/>
          <w:szCs w:val="24"/>
          <w:lang w:val="en-GB"/>
        </w:rPr>
        <w:t xml:space="preserve"> have to the same extent contributed to a concentration of immigrants in respectively cooperatives and social/public housing.</w:t>
      </w:r>
    </w:p>
    <w:p w:rsidR="00E67A3F" w:rsidRDefault="00E67A3F" w:rsidP="00E67A3F">
      <w:pPr>
        <w:pStyle w:val="Overskrift3"/>
        <w:rPr>
          <w:lang w:val="en-GB" w:eastAsia="x-none"/>
        </w:rPr>
      </w:pPr>
      <w:r>
        <w:rPr>
          <w:lang w:val="en-GB" w:eastAsia="x-none"/>
        </w:rPr>
        <w:t>References</w:t>
      </w:r>
    </w:p>
    <w:p w:rsidR="00E67A3F" w:rsidRPr="00B3651E" w:rsidRDefault="00E67A3F" w:rsidP="00E67A3F">
      <w:pPr>
        <w:autoSpaceDE w:val="0"/>
        <w:autoSpaceDN w:val="0"/>
        <w:adjustRightInd w:val="0"/>
        <w:rPr>
          <w:rFonts w:cs="Arial"/>
          <w:sz w:val="24"/>
          <w:szCs w:val="24"/>
          <w:lang w:val="en-GB"/>
        </w:rPr>
      </w:pPr>
      <w:proofErr w:type="spellStart"/>
      <w:r>
        <w:rPr>
          <w:rFonts w:cs="Arial"/>
          <w:sz w:val="24"/>
          <w:szCs w:val="24"/>
          <w:lang w:val="en-GB"/>
        </w:rPr>
        <w:t>Aalbers</w:t>
      </w:r>
      <w:proofErr w:type="spellEnd"/>
      <w:r>
        <w:rPr>
          <w:rFonts w:cs="Arial"/>
          <w:sz w:val="24"/>
          <w:szCs w:val="24"/>
          <w:lang w:val="en-GB"/>
        </w:rPr>
        <w:t>, M. B. (2002)</w:t>
      </w:r>
      <w:r w:rsidRPr="00B3651E">
        <w:rPr>
          <w:rFonts w:cs="Arial"/>
          <w:sz w:val="24"/>
          <w:szCs w:val="24"/>
          <w:lang w:val="en-GB"/>
        </w:rPr>
        <w:t xml:space="preserve"> </w:t>
      </w:r>
      <w:proofErr w:type="gramStart"/>
      <w:r w:rsidRPr="00B3651E">
        <w:rPr>
          <w:rFonts w:cs="Arial"/>
          <w:sz w:val="24"/>
          <w:szCs w:val="24"/>
          <w:lang w:val="en-GB"/>
        </w:rPr>
        <w:t>The</w:t>
      </w:r>
      <w:proofErr w:type="gramEnd"/>
      <w:r w:rsidRPr="00B3651E">
        <w:rPr>
          <w:rFonts w:cs="Arial"/>
          <w:sz w:val="24"/>
          <w:szCs w:val="24"/>
          <w:lang w:val="en-GB"/>
        </w:rPr>
        <w:t xml:space="preserve"> neglected evidence of housing market discrimination in the </w:t>
      </w:r>
      <w:smartTag w:uri="urn:schemas-microsoft-com:office:smarttags" w:element="City">
        <w:smartTag w:uri="urn:schemas-microsoft-com:office:smarttags" w:element="place">
          <w:smartTag w:uri="urn:schemas-microsoft-com:office:smarttags" w:element="country-region">
            <w:r w:rsidRPr="00B3651E">
              <w:rPr>
                <w:rFonts w:cs="Arial"/>
                <w:sz w:val="24"/>
                <w:szCs w:val="24"/>
                <w:lang w:val="en-GB"/>
              </w:rPr>
              <w:t>Netherlands</w:t>
            </w:r>
          </w:smartTag>
        </w:smartTag>
      </w:smartTag>
      <w:r w:rsidRPr="00B3651E">
        <w:rPr>
          <w:rFonts w:cs="Arial"/>
          <w:sz w:val="24"/>
          <w:szCs w:val="24"/>
          <w:lang w:val="en-GB"/>
        </w:rPr>
        <w:t xml:space="preserve">, </w:t>
      </w:r>
      <w:r w:rsidRPr="00B3651E">
        <w:rPr>
          <w:rFonts w:cs="Arial"/>
          <w:i/>
          <w:sz w:val="24"/>
          <w:szCs w:val="24"/>
          <w:lang w:val="en-GB"/>
        </w:rPr>
        <w:t>Radical Statistics Journal</w:t>
      </w:r>
      <w:r w:rsidRPr="00B3651E">
        <w:rPr>
          <w:rFonts w:cs="Arial"/>
          <w:sz w:val="24"/>
          <w:szCs w:val="24"/>
          <w:lang w:val="en-GB"/>
        </w:rPr>
        <w:t>, 79/80, pp. 161–169.</w:t>
      </w:r>
    </w:p>
    <w:p w:rsidR="00E67A3F" w:rsidRDefault="00E67A3F" w:rsidP="00E67A3F">
      <w:pPr>
        <w:rPr>
          <w:rFonts w:cs="Arial"/>
          <w:sz w:val="24"/>
          <w:szCs w:val="24"/>
          <w:lang w:val="en-GB"/>
        </w:rPr>
      </w:pPr>
    </w:p>
    <w:p w:rsidR="00E67A3F" w:rsidRDefault="00E67A3F" w:rsidP="00E67A3F">
      <w:pPr>
        <w:rPr>
          <w:rFonts w:cs="Arial"/>
          <w:sz w:val="24"/>
          <w:szCs w:val="24"/>
          <w:lang w:val="en-GB"/>
        </w:rPr>
      </w:pPr>
      <w:r>
        <w:rPr>
          <w:rFonts w:cs="Arial"/>
          <w:sz w:val="24"/>
          <w:szCs w:val="24"/>
          <w:lang w:val="en-GB"/>
        </w:rPr>
        <w:t xml:space="preserve">Alba, R. and Nee, V. (1997) Rethinking Assimilation Theory for a New Era of Immigration. </w:t>
      </w:r>
      <w:r w:rsidRPr="0032427E">
        <w:rPr>
          <w:rFonts w:cs="Arial"/>
          <w:i/>
          <w:sz w:val="24"/>
          <w:szCs w:val="24"/>
          <w:lang w:val="en-GB"/>
        </w:rPr>
        <w:t>International Migration Review</w:t>
      </w:r>
      <w:r>
        <w:rPr>
          <w:rFonts w:cs="Arial"/>
          <w:sz w:val="24"/>
          <w:szCs w:val="24"/>
          <w:lang w:val="en-GB"/>
        </w:rPr>
        <w:t xml:space="preserve">, </w:t>
      </w:r>
      <w:proofErr w:type="spellStart"/>
      <w:r>
        <w:rPr>
          <w:rFonts w:cs="Arial"/>
          <w:sz w:val="24"/>
          <w:szCs w:val="24"/>
          <w:lang w:val="en-GB"/>
        </w:rPr>
        <w:t>vol</w:t>
      </w:r>
      <w:proofErr w:type="spellEnd"/>
      <w:r>
        <w:rPr>
          <w:rFonts w:cs="Arial"/>
          <w:sz w:val="24"/>
          <w:szCs w:val="24"/>
          <w:lang w:val="en-GB"/>
        </w:rPr>
        <w:t xml:space="preserve"> 31, No. 4, pp. 826-874.</w:t>
      </w:r>
    </w:p>
    <w:p w:rsidR="00E67A3F" w:rsidRPr="00B3651E"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spellStart"/>
      <w:r w:rsidRPr="00B3651E">
        <w:rPr>
          <w:rFonts w:cs="Arial"/>
          <w:sz w:val="24"/>
          <w:szCs w:val="24"/>
          <w:lang w:val="en-GB"/>
        </w:rPr>
        <w:t>Andersson</w:t>
      </w:r>
      <w:proofErr w:type="spellEnd"/>
      <w:r w:rsidRPr="00B3651E">
        <w:rPr>
          <w:rFonts w:cs="Arial"/>
          <w:sz w:val="24"/>
          <w:szCs w:val="24"/>
          <w:lang w:val="en-GB"/>
        </w:rPr>
        <w:t xml:space="preserve">, R. (1998) Socio-spatial dynamics: ethnic divisions of mobility and housing in post-Palme Sweden, </w:t>
      </w:r>
      <w:r w:rsidRPr="00B3651E">
        <w:rPr>
          <w:rFonts w:cs="Arial"/>
          <w:i/>
          <w:sz w:val="24"/>
          <w:szCs w:val="24"/>
          <w:lang w:val="en-GB"/>
        </w:rPr>
        <w:t>Urban Studies</w:t>
      </w:r>
      <w:r w:rsidRPr="00B3651E">
        <w:rPr>
          <w:rFonts w:cs="Arial"/>
          <w:sz w:val="24"/>
          <w:szCs w:val="24"/>
          <w:lang w:val="en-GB"/>
        </w:rPr>
        <w:t>, 35(3), pp. 397–428.</w:t>
      </w:r>
    </w:p>
    <w:p w:rsidR="00E67A3F" w:rsidRPr="007D643F" w:rsidRDefault="00E67A3F" w:rsidP="00E67A3F">
      <w:pPr>
        <w:rPr>
          <w:rFonts w:cs="Arial"/>
          <w:sz w:val="24"/>
          <w:szCs w:val="24"/>
          <w:lang w:val="en-GB"/>
        </w:rPr>
      </w:pPr>
    </w:p>
    <w:p w:rsidR="00E67A3F" w:rsidRDefault="00E67A3F" w:rsidP="00E67A3F">
      <w:pPr>
        <w:rPr>
          <w:rFonts w:cs="Arial"/>
          <w:sz w:val="24"/>
          <w:szCs w:val="24"/>
          <w:lang w:val="en-GB"/>
        </w:rPr>
      </w:pPr>
      <w:proofErr w:type="spellStart"/>
      <w:r w:rsidRPr="007D643F">
        <w:rPr>
          <w:rFonts w:cs="Arial"/>
          <w:sz w:val="24"/>
          <w:szCs w:val="24"/>
          <w:lang w:val="en-GB"/>
        </w:rPr>
        <w:t>Anders</w:t>
      </w:r>
      <w:r>
        <w:rPr>
          <w:rFonts w:cs="Arial"/>
          <w:sz w:val="24"/>
          <w:szCs w:val="24"/>
          <w:lang w:val="en-GB"/>
        </w:rPr>
        <w:t>s</w:t>
      </w:r>
      <w:r w:rsidRPr="007D643F">
        <w:rPr>
          <w:rFonts w:cs="Arial"/>
          <w:sz w:val="24"/>
          <w:szCs w:val="24"/>
          <w:lang w:val="en-GB"/>
        </w:rPr>
        <w:t>on</w:t>
      </w:r>
      <w:proofErr w:type="spellEnd"/>
      <w:r>
        <w:rPr>
          <w:rFonts w:cs="Arial"/>
          <w:sz w:val="24"/>
          <w:szCs w:val="24"/>
          <w:lang w:val="en-GB"/>
        </w:rPr>
        <w:t>, R.</w:t>
      </w:r>
      <w:r w:rsidRPr="007D643F">
        <w:rPr>
          <w:rFonts w:cs="Arial"/>
          <w:sz w:val="24"/>
          <w:szCs w:val="24"/>
          <w:lang w:val="en-GB"/>
        </w:rPr>
        <w:t xml:space="preserve"> </w:t>
      </w:r>
      <w:proofErr w:type="gramStart"/>
      <w:r w:rsidRPr="007D643F">
        <w:rPr>
          <w:rFonts w:cs="Arial"/>
          <w:sz w:val="24"/>
          <w:szCs w:val="24"/>
          <w:lang w:val="en-GB"/>
        </w:rPr>
        <w:t>et</w:t>
      </w:r>
      <w:proofErr w:type="gramEnd"/>
      <w:r w:rsidRPr="007D643F">
        <w:rPr>
          <w:rFonts w:cs="Arial"/>
          <w:sz w:val="24"/>
          <w:szCs w:val="24"/>
          <w:lang w:val="en-GB"/>
        </w:rPr>
        <w:t xml:space="preserve">. </w:t>
      </w:r>
      <w:proofErr w:type="gramStart"/>
      <w:r w:rsidRPr="007D643F">
        <w:rPr>
          <w:rFonts w:cs="Arial"/>
          <w:sz w:val="24"/>
          <w:szCs w:val="24"/>
          <w:lang w:val="en-GB"/>
        </w:rPr>
        <w:t xml:space="preserve">al. </w:t>
      </w:r>
      <w:r>
        <w:rPr>
          <w:rFonts w:cs="Arial"/>
          <w:sz w:val="24"/>
          <w:szCs w:val="24"/>
          <w:lang w:val="en-GB"/>
        </w:rPr>
        <w:t xml:space="preserve">(2010) </w:t>
      </w:r>
      <w:r w:rsidRPr="0032427E">
        <w:rPr>
          <w:rFonts w:cs="Arial"/>
          <w:i/>
          <w:sz w:val="24"/>
          <w:szCs w:val="24"/>
          <w:lang w:val="en-GB"/>
        </w:rPr>
        <w:t>Immigration,</w:t>
      </w:r>
      <w:r>
        <w:rPr>
          <w:rFonts w:cs="Arial"/>
          <w:sz w:val="24"/>
          <w:szCs w:val="24"/>
          <w:lang w:val="en-GB"/>
        </w:rPr>
        <w:t xml:space="preserve"> </w:t>
      </w:r>
      <w:r w:rsidRPr="0032427E">
        <w:rPr>
          <w:rFonts w:cs="Arial"/>
          <w:i/>
          <w:sz w:val="24"/>
          <w:szCs w:val="24"/>
          <w:lang w:val="en-GB"/>
        </w:rPr>
        <w:t>Housing and Segregation in the Nordic Welfare States</w:t>
      </w:r>
      <w:r>
        <w:rPr>
          <w:rFonts w:cs="Arial"/>
          <w:sz w:val="24"/>
          <w:szCs w:val="24"/>
          <w:lang w:val="en-GB"/>
        </w:rPr>
        <w:t>.</w:t>
      </w:r>
      <w:proofErr w:type="gramEnd"/>
      <w:r>
        <w:rPr>
          <w:rFonts w:cs="Arial"/>
          <w:sz w:val="24"/>
          <w:szCs w:val="24"/>
          <w:lang w:val="en-GB"/>
        </w:rPr>
        <w:t xml:space="preserve"> </w:t>
      </w:r>
      <w:proofErr w:type="gramStart"/>
      <w:r>
        <w:rPr>
          <w:rFonts w:cs="Arial"/>
          <w:sz w:val="24"/>
          <w:szCs w:val="24"/>
          <w:lang w:val="en-GB"/>
        </w:rPr>
        <w:t>Department of Geosciences and Geography, University of Helsinki.</w:t>
      </w:r>
      <w:proofErr w:type="gramEnd"/>
    </w:p>
    <w:p w:rsidR="00401241" w:rsidRDefault="00401241" w:rsidP="00E67A3F">
      <w:pPr>
        <w:rPr>
          <w:rFonts w:cs="Arial"/>
          <w:sz w:val="24"/>
          <w:szCs w:val="24"/>
          <w:lang w:val="en-GB"/>
        </w:rPr>
      </w:pPr>
    </w:p>
    <w:p w:rsidR="00401241" w:rsidRPr="00401241" w:rsidRDefault="00401241" w:rsidP="00627D9F">
      <w:pPr>
        <w:autoSpaceDE w:val="0"/>
        <w:autoSpaceDN w:val="0"/>
        <w:adjustRightInd w:val="0"/>
        <w:rPr>
          <w:rFonts w:cs="Arial"/>
          <w:sz w:val="24"/>
          <w:szCs w:val="24"/>
          <w:lang w:val="en-GB"/>
        </w:rPr>
      </w:pPr>
      <w:proofErr w:type="spellStart"/>
      <w:proofErr w:type="gramStart"/>
      <w:r w:rsidRPr="00401241">
        <w:rPr>
          <w:rFonts w:cs="Arial"/>
          <w:sz w:val="24"/>
          <w:szCs w:val="24"/>
          <w:lang w:val="en-GB"/>
        </w:rPr>
        <w:t>Artle</w:t>
      </w:r>
      <w:proofErr w:type="spellEnd"/>
      <w:r w:rsidRPr="00401241">
        <w:rPr>
          <w:rFonts w:cs="Arial"/>
          <w:sz w:val="24"/>
          <w:szCs w:val="24"/>
          <w:lang w:val="en-GB"/>
        </w:rPr>
        <w:t xml:space="preserve"> R. and </w:t>
      </w:r>
      <w:proofErr w:type="spellStart"/>
      <w:r w:rsidRPr="00401241">
        <w:rPr>
          <w:rFonts w:cs="Arial"/>
          <w:sz w:val="24"/>
          <w:szCs w:val="24"/>
          <w:lang w:val="en-GB"/>
        </w:rPr>
        <w:t>Varaiya</w:t>
      </w:r>
      <w:proofErr w:type="spellEnd"/>
      <w:r w:rsidRPr="00401241">
        <w:rPr>
          <w:rFonts w:cs="Arial"/>
          <w:sz w:val="24"/>
          <w:szCs w:val="24"/>
          <w:lang w:val="en-GB"/>
        </w:rPr>
        <w:t xml:space="preserve"> P. (1978) </w:t>
      </w:r>
      <w:r w:rsidRPr="00627D9F">
        <w:rPr>
          <w:rFonts w:cs="Arial"/>
          <w:color w:val="292526"/>
          <w:sz w:val="24"/>
          <w:szCs w:val="24"/>
          <w:lang w:val="en-US"/>
        </w:rPr>
        <w:t xml:space="preserve">Life cycle consumption and homeownership, </w:t>
      </w:r>
      <w:r w:rsidRPr="00627D9F">
        <w:rPr>
          <w:rFonts w:cs="Arial"/>
          <w:i/>
          <w:iCs/>
          <w:color w:val="292526"/>
          <w:sz w:val="24"/>
          <w:szCs w:val="24"/>
          <w:lang w:val="en-US"/>
        </w:rPr>
        <w:t>Journal of Economic Theory,</w:t>
      </w:r>
      <w:r>
        <w:rPr>
          <w:rFonts w:cs="Arial"/>
          <w:i/>
          <w:iCs/>
          <w:color w:val="292526"/>
          <w:sz w:val="24"/>
          <w:szCs w:val="24"/>
          <w:lang w:val="en-US"/>
        </w:rPr>
        <w:t xml:space="preserve"> </w:t>
      </w:r>
      <w:r w:rsidRPr="00627D9F">
        <w:rPr>
          <w:rFonts w:cs="Arial"/>
          <w:color w:val="292526"/>
          <w:sz w:val="24"/>
          <w:szCs w:val="24"/>
          <w:lang w:val="en-US"/>
        </w:rPr>
        <w:t>18, pp. 38–58.</w:t>
      </w:r>
      <w:proofErr w:type="gramEnd"/>
    </w:p>
    <w:p w:rsidR="00E67A3F" w:rsidRPr="007D643F"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r w:rsidRPr="00B3651E">
        <w:rPr>
          <w:rFonts w:cs="Arial"/>
          <w:sz w:val="24"/>
          <w:szCs w:val="24"/>
          <w:lang w:val="en-GB"/>
        </w:rPr>
        <w:t>Bartel</w:t>
      </w:r>
      <w:proofErr w:type="spellEnd"/>
      <w:r w:rsidRPr="00B3651E">
        <w:rPr>
          <w:rFonts w:cs="Arial"/>
          <w:sz w:val="24"/>
          <w:szCs w:val="24"/>
          <w:lang w:val="en-GB"/>
        </w:rPr>
        <w:t xml:space="preserve">, A. P. (1989) </w:t>
      </w:r>
      <w:proofErr w:type="gramStart"/>
      <w:r w:rsidRPr="00B3651E">
        <w:rPr>
          <w:rFonts w:cs="Arial"/>
          <w:sz w:val="24"/>
          <w:szCs w:val="24"/>
          <w:lang w:val="en-GB"/>
        </w:rPr>
        <w:t>Where</w:t>
      </w:r>
      <w:proofErr w:type="gramEnd"/>
      <w:r w:rsidRPr="00B3651E">
        <w:rPr>
          <w:rFonts w:cs="Arial"/>
          <w:sz w:val="24"/>
          <w:szCs w:val="24"/>
          <w:lang w:val="en-GB"/>
        </w:rPr>
        <w:t xml:space="preserve"> do the </w:t>
      </w:r>
      <w:smartTag w:uri="urn:schemas-microsoft-com:office:smarttags" w:element="City">
        <w:smartTag w:uri="urn:schemas-microsoft-com:office:smarttags" w:element="place">
          <w:smartTag w:uri="urn:schemas-microsoft-com:office:smarttags" w:element="country-region">
            <w:r w:rsidRPr="00B3651E">
              <w:rPr>
                <w:rFonts w:cs="Arial"/>
                <w:sz w:val="24"/>
                <w:szCs w:val="24"/>
                <w:lang w:val="en-GB"/>
              </w:rPr>
              <w:t>U.S.</w:t>
            </w:r>
          </w:smartTag>
        </w:smartTag>
      </w:smartTag>
      <w:r w:rsidRPr="00B3651E">
        <w:rPr>
          <w:rFonts w:cs="Arial"/>
          <w:sz w:val="24"/>
          <w:szCs w:val="24"/>
          <w:lang w:val="en-GB"/>
        </w:rPr>
        <w:t xml:space="preserve"> immigrants live? </w:t>
      </w:r>
      <w:r w:rsidRPr="00B3651E">
        <w:rPr>
          <w:rFonts w:cs="Arial"/>
          <w:i/>
          <w:sz w:val="24"/>
          <w:szCs w:val="24"/>
          <w:lang w:val="en-GB"/>
        </w:rPr>
        <w:t>Journal of Labour Economics</w:t>
      </w:r>
      <w:r w:rsidRPr="00B3651E">
        <w:rPr>
          <w:rFonts w:cs="Arial"/>
          <w:sz w:val="24"/>
          <w:szCs w:val="24"/>
          <w:lang w:val="en-GB"/>
        </w:rPr>
        <w:t>, 7(4), pp. 371–391.</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r w:rsidRPr="00497FF8">
        <w:rPr>
          <w:rFonts w:cs="Arial"/>
          <w:sz w:val="24"/>
          <w:szCs w:val="24"/>
          <w:lang w:val="sv-SE"/>
        </w:rPr>
        <w:t>Bengtsson, B. et. al. (2</w:t>
      </w:r>
      <w:r w:rsidRPr="00B3651E">
        <w:rPr>
          <w:rFonts w:cs="Arial"/>
          <w:sz w:val="24"/>
          <w:szCs w:val="24"/>
        </w:rPr>
        <w:t xml:space="preserve">006). </w:t>
      </w:r>
      <w:proofErr w:type="spellStart"/>
      <w:r w:rsidRPr="00B3651E">
        <w:rPr>
          <w:rFonts w:cs="Arial"/>
          <w:i/>
          <w:sz w:val="24"/>
          <w:szCs w:val="24"/>
        </w:rPr>
        <w:t>Varför</w:t>
      </w:r>
      <w:proofErr w:type="spellEnd"/>
      <w:r w:rsidRPr="00B3651E">
        <w:rPr>
          <w:rFonts w:cs="Arial"/>
          <w:i/>
          <w:sz w:val="24"/>
          <w:szCs w:val="24"/>
        </w:rPr>
        <w:t xml:space="preserve"> så </w:t>
      </w:r>
      <w:proofErr w:type="spellStart"/>
      <w:r w:rsidRPr="00B3651E">
        <w:rPr>
          <w:rFonts w:cs="Arial"/>
          <w:i/>
          <w:sz w:val="24"/>
          <w:szCs w:val="24"/>
        </w:rPr>
        <w:t>olika</w:t>
      </w:r>
      <w:proofErr w:type="spellEnd"/>
      <w:r w:rsidRPr="00B3651E">
        <w:rPr>
          <w:rFonts w:cs="Arial"/>
          <w:i/>
          <w:sz w:val="24"/>
          <w:szCs w:val="24"/>
        </w:rPr>
        <w:t xml:space="preserve">? Nordisk </w:t>
      </w:r>
      <w:proofErr w:type="spellStart"/>
      <w:r w:rsidRPr="00B3651E">
        <w:rPr>
          <w:rFonts w:cs="Arial"/>
          <w:i/>
          <w:sz w:val="24"/>
          <w:szCs w:val="24"/>
        </w:rPr>
        <w:t>bostadspolitik</w:t>
      </w:r>
      <w:proofErr w:type="spellEnd"/>
      <w:r w:rsidRPr="00B3651E">
        <w:rPr>
          <w:rFonts w:cs="Arial"/>
          <w:i/>
          <w:sz w:val="24"/>
          <w:szCs w:val="24"/>
        </w:rPr>
        <w:t xml:space="preserve"> i </w:t>
      </w:r>
      <w:proofErr w:type="spellStart"/>
      <w:r w:rsidRPr="00B3651E">
        <w:rPr>
          <w:rFonts w:cs="Arial"/>
          <w:i/>
          <w:sz w:val="24"/>
          <w:szCs w:val="24"/>
        </w:rPr>
        <w:t>jämförande</w:t>
      </w:r>
      <w:proofErr w:type="spellEnd"/>
      <w:r w:rsidRPr="00B3651E">
        <w:rPr>
          <w:rFonts w:cs="Arial"/>
          <w:i/>
          <w:sz w:val="24"/>
          <w:szCs w:val="24"/>
        </w:rPr>
        <w:t xml:space="preserve"> historisk </w:t>
      </w:r>
      <w:proofErr w:type="spellStart"/>
      <w:r w:rsidRPr="00B3651E">
        <w:rPr>
          <w:rFonts w:cs="Arial"/>
          <w:i/>
          <w:sz w:val="24"/>
          <w:szCs w:val="24"/>
        </w:rPr>
        <w:t>ljus</w:t>
      </w:r>
      <w:proofErr w:type="spellEnd"/>
      <w:r w:rsidRPr="00B3651E">
        <w:rPr>
          <w:rFonts w:cs="Arial"/>
          <w:sz w:val="24"/>
          <w:szCs w:val="24"/>
        </w:rPr>
        <w:t xml:space="preserve">. </w:t>
      </w:r>
      <w:r w:rsidRPr="00B3651E">
        <w:rPr>
          <w:rFonts w:cs="Arial"/>
          <w:sz w:val="24"/>
          <w:szCs w:val="24"/>
          <w:lang w:val="en-GB"/>
        </w:rPr>
        <w:t xml:space="preserve">Malmö: </w:t>
      </w:r>
      <w:proofErr w:type="spellStart"/>
      <w:r w:rsidRPr="00B3651E">
        <w:rPr>
          <w:rFonts w:cs="Arial"/>
          <w:sz w:val="24"/>
          <w:szCs w:val="24"/>
          <w:lang w:val="en-GB"/>
        </w:rPr>
        <w:t>Egalitè</w:t>
      </w:r>
      <w:proofErr w:type="spellEnd"/>
      <w:r>
        <w:rPr>
          <w:rFonts w:cs="Arial"/>
          <w:sz w:val="24"/>
          <w:szCs w:val="24"/>
          <w:lang w:val="en-GB"/>
        </w:rPr>
        <w:t>.</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proofErr w:type="gramStart"/>
      <w:r w:rsidRPr="00B3651E">
        <w:rPr>
          <w:rFonts w:cs="Arial"/>
          <w:sz w:val="24"/>
          <w:szCs w:val="24"/>
          <w:lang w:val="en-GB"/>
        </w:rPr>
        <w:t>Bleiklie</w:t>
      </w:r>
      <w:proofErr w:type="spellEnd"/>
      <w:r w:rsidRPr="00B3651E">
        <w:rPr>
          <w:rFonts w:cs="Arial"/>
          <w:sz w:val="24"/>
          <w:szCs w:val="24"/>
          <w:lang w:val="en-GB"/>
        </w:rPr>
        <w:t xml:space="preserve"> I</w:t>
      </w:r>
      <w:r>
        <w:rPr>
          <w:rFonts w:cs="Arial"/>
          <w:sz w:val="24"/>
          <w:szCs w:val="24"/>
          <w:lang w:val="en-GB"/>
        </w:rPr>
        <w:t>.</w:t>
      </w:r>
      <w:r w:rsidRPr="00B3651E">
        <w:rPr>
          <w:rFonts w:cs="Arial"/>
          <w:sz w:val="24"/>
          <w:szCs w:val="24"/>
          <w:lang w:val="en-GB"/>
        </w:rPr>
        <w:t xml:space="preserve"> (1997) </w:t>
      </w:r>
      <w:r w:rsidRPr="00B3651E">
        <w:rPr>
          <w:rFonts w:cs="Arial"/>
          <w:i/>
          <w:sz w:val="24"/>
          <w:szCs w:val="24"/>
          <w:lang w:val="en-GB"/>
        </w:rPr>
        <w:t>Service Regimes in Public Welfare Administration.</w:t>
      </w:r>
      <w:proofErr w:type="gramEnd"/>
      <w:r w:rsidRPr="00B3651E">
        <w:rPr>
          <w:rFonts w:cs="Arial"/>
          <w:i/>
          <w:sz w:val="24"/>
          <w:szCs w:val="24"/>
          <w:lang w:val="en-GB"/>
        </w:rPr>
        <w:t xml:space="preserve"> Case Studies of Street-level Bureaucrats and Professionals as Decision Makers. </w:t>
      </w:r>
      <w:smartTag w:uri="urn:schemas-microsoft-com:office:smarttags" w:element="City">
        <w:smartTag w:uri="urn:schemas-microsoft-com:office:smarttags" w:element="place">
          <w:r w:rsidRPr="00B3651E">
            <w:rPr>
              <w:rFonts w:cs="Arial"/>
              <w:sz w:val="24"/>
              <w:szCs w:val="24"/>
              <w:lang w:val="en-GB"/>
            </w:rPr>
            <w:t>Oslo</w:t>
          </w:r>
        </w:smartTag>
      </w:smartTag>
      <w:r w:rsidRPr="00B3651E">
        <w:rPr>
          <w:rFonts w:cs="Arial"/>
          <w:sz w:val="24"/>
          <w:szCs w:val="24"/>
          <w:lang w:val="en-GB"/>
        </w:rPr>
        <w:t xml:space="preserve">: </w:t>
      </w:r>
      <w:proofErr w:type="spellStart"/>
      <w:r w:rsidRPr="00B3651E">
        <w:rPr>
          <w:rFonts w:cs="Arial"/>
          <w:sz w:val="24"/>
          <w:szCs w:val="24"/>
          <w:lang w:val="en-GB"/>
        </w:rPr>
        <w:t>Tano</w:t>
      </w:r>
      <w:proofErr w:type="spellEnd"/>
      <w:r w:rsidRPr="00B3651E">
        <w:rPr>
          <w:rFonts w:cs="Arial"/>
          <w:sz w:val="24"/>
          <w:szCs w:val="24"/>
          <w:lang w:val="en-GB"/>
        </w:rPr>
        <w:t xml:space="preserve"> </w:t>
      </w:r>
      <w:proofErr w:type="spellStart"/>
      <w:r w:rsidRPr="00B3651E">
        <w:rPr>
          <w:rFonts w:cs="Arial"/>
          <w:sz w:val="24"/>
          <w:szCs w:val="24"/>
          <w:lang w:val="en-GB"/>
        </w:rPr>
        <w:t>Aschehougs</w:t>
      </w:r>
      <w:proofErr w:type="spellEnd"/>
      <w:r w:rsidRPr="00B3651E">
        <w:rPr>
          <w:rFonts w:cs="Arial"/>
          <w:sz w:val="24"/>
          <w:szCs w:val="24"/>
          <w:lang w:val="en-GB"/>
        </w:rPr>
        <w:t xml:space="preserve"> </w:t>
      </w:r>
      <w:proofErr w:type="spellStart"/>
      <w:r w:rsidRPr="00B3651E">
        <w:rPr>
          <w:rFonts w:cs="Arial"/>
          <w:sz w:val="24"/>
          <w:szCs w:val="24"/>
          <w:lang w:val="en-GB"/>
        </w:rPr>
        <w:t>Fonteneserie</w:t>
      </w:r>
      <w:proofErr w:type="spellEnd"/>
      <w:r w:rsidRPr="00B3651E">
        <w:rPr>
          <w:rFonts w:cs="Arial"/>
          <w:sz w:val="24"/>
          <w:szCs w:val="24"/>
          <w:lang w:val="en-GB"/>
        </w:rPr>
        <w:t xml:space="preserve">. </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rPr>
      </w:pPr>
      <w:proofErr w:type="spellStart"/>
      <w:proofErr w:type="gramStart"/>
      <w:r w:rsidRPr="00B3651E">
        <w:rPr>
          <w:rFonts w:cs="Arial"/>
          <w:sz w:val="24"/>
          <w:szCs w:val="24"/>
          <w:lang w:val="en-GB"/>
        </w:rPr>
        <w:t>Blom</w:t>
      </w:r>
      <w:proofErr w:type="spellEnd"/>
      <w:r w:rsidRPr="00B3651E">
        <w:rPr>
          <w:rFonts w:cs="Arial"/>
          <w:sz w:val="24"/>
          <w:szCs w:val="24"/>
          <w:lang w:val="en-GB"/>
        </w:rPr>
        <w:t xml:space="preserve"> S</w:t>
      </w:r>
      <w:r>
        <w:rPr>
          <w:rFonts w:cs="Arial"/>
          <w:sz w:val="24"/>
          <w:szCs w:val="24"/>
          <w:lang w:val="en-GB"/>
        </w:rPr>
        <w:t>.</w:t>
      </w:r>
      <w:r w:rsidRPr="00B3651E">
        <w:rPr>
          <w:rFonts w:cs="Arial"/>
          <w:sz w:val="24"/>
          <w:szCs w:val="24"/>
          <w:lang w:val="en-GB"/>
        </w:rPr>
        <w:t xml:space="preserve"> </w:t>
      </w:r>
      <w:r>
        <w:rPr>
          <w:rFonts w:cs="Arial"/>
          <w:sz w:val="24"/>
          <w:szCs w:val="24"/>
          <w:lang w:val="en-GB"/>
        </w:rPr>
        <w:t>and</w:t>
      </w:r>
      <w:r w:rsidRPr="00B3651E">
        <w:rPr>
          <w:rFonts w:cs="Arial"/>
          <w:sz w:val="24"/>
          <w:szCs w:val="24"/>
          <w:lang w:val="en-GB"/>
        </w:rPr>
        <w:t xml:space="preserve"> </w:t>
      </w:r>
      <w:proofErr w:type="spellStart"/>
      <w:r w:rsidRPr="00B3651E">
        <w:rPr>
          <w:rFonts w:cs="Arial"/>
          <w:sz w:val="24"/>
          <w:szCs w:val="24"/>
          <w:lang w:val="en-GB"/>
        </w:rPr>
        <w:t>Henriksen</w:t>
      </w:r>
      <w:proofErr w:type="spellEnd"/>
      <w:r w:rsidRPr="00B3651E">
        <w:rPr>
          <w:rFonts w:cs="Arial"/>
          <w:sz w:val="24"/>
          <w:szCs w:val="24"/>
          <w:lang w:val="en-GB"/>
        </w:rPr>
        <w:t xml:space="preserve"> K</w:t>
      </w:r>
      <w:r>
        <w:rPr>
          <w:rFonts w:cs="Arial"/>
          <w:sz w:val="24"/>
          <w:szCs w:val="24"/>
          <w:lang w:val="en-GB"/>
        </w:rPr>
        <w:t>.</w:t>
      </w:r>
      <w:r w:rsidRPr="00B3651E">
        <w:rPr>
          <w:rFonts w:cs="Arial"/>
          <w:sz w:val="24"/>
          <w:szCs w:val="24"/>
          <w:lang w:val="en-GB"/>
        </w:rPr>
        <w:t xml:space="preserve"> (2008) </w:t>
      </w:r>
      <w:proofErr w:type="spellStart"/>
      <w:r w:rsidRPr="00B3651E">
        <w:rPr>
          <w:rFonts w:cs="Arial"/>
          <w:i/>
          <w:sz w:val="24"/>
          <w:szCs w:val="24"/>
          <w:lang w:val="en-GB"/>
        </w:rPr>
        <w:t>Levekår</w:t>
      </w:r>
      <w:proofErr w:type="spellEnd"/>
      <w:r w:rsidRPr="00B3651E">
        <w:rPr>
          <w:rFonts w:cs="Arial"/>
          <w:i/>
          <w:sz w:val="24"/>
          <w:szCs w:val="24"/>
          <w:lang w:val="en-GB"/>
        </w:rPr>
        <w:t xml:space="preserve"> </w:t>
      </w:r>
      <w:proofErr w:type="spellStart"/>
      <w:r w:rsidRPr="00B3651E">
        <w:rPr>
          <w:rFonts w:cs="Arial"/>
          <w:i/>
          <w:sz w:val="24"/>
          <w:szCs w:val="24"/>
          <w:lang w:val="en-GB"/>
        </w:rPr>
        <w:t>blant</w:t>
      </w:r>
      <w:proofErr w:type="spellEnd"/>
      <w:r w:rsidRPr="00B3651E">
        <w:rPr>
          <w:rFonts w:cs="Arial"/>
          <w:i/>
          <w:sz w:val="24"/>
          <w:szCs w:val="24"/>
          <w:lang w:val="en-GB"/>
        </w:rPr>
        <w:t xml:space="preserve"> </w:t>
      </w:r>
      <w:proofErr w:type="spellStart"/>
      <w:r w:rsidRPr="00B3651E">
        <w:rPr>
          <w:rFonts w:cs="Arial"/>
          <w:i/>
          <w:sz w:val="24"/>
          <w:szCs w:val="24"/>
          <w:lang w:val="en-GB"/>
        </w:rPr>
        <w:t>innvandrere</w:t>
      </w:r>
      <w:proofErr w:type="spellEnd"/>
      <w:r w:rsidRPr="00B3651E">
        <w:rPr>
          <w:rFonts w:cs="Arial"/>
          <w:i/>
          <w:sz w:val="24"/>
          <w:szCs w:val="24"/>
          <w:lang w:val="en-GB"/>
        </w:rPr>
        <w:t xml:space="preserve"> </w:t>
      </w:r>
      <w:proofErr w:type="spellStart"/>
      <w:r w:rsidRPr="00B3651E">
        <w:rPr>
          <w:rFonts w:cs="Arial"/>
          <w:i/>
          <w:sz w:val="24"/>
          <w:szCs w:val="24"/>
          <w:lang w:val="en-GB"/>
        </w:rPr>
        <w:t>i</w:t>
      </w:r>
      <w:proofErr w:type="spellEnd"/>
      <w:r w:rsidRPr="00B3651E">
        <w:rPr>
          <w:rFonts w:cs="Arial"/>
          <w:i/>
          <w:sz w:val="24"/>
          <w:szCs w:val="24"/>
          <w:lang w:val="en-GB"/>
        </w:rPr>
        <w:t xml:space="preserve"> </w:t>
      </w:r>
      <w:proofErr w:type="spellStart"/>
      <w:r w:rsidRPr="00B3651E">
        <w:rPr>
          <w:rFonts w:cs="Arial"/>
          <w:i/>
          <w:sz w:val="24"/>
          <w:szCs w:val="24"/>
          <w:lang w:val="en-GB"/>
        </w:rPr>
        <w:t>Norge</w:t>
      </w:r>
      <w:proofErr w:type="spellEnd"/>
      <w:r w:rsidRPr="00B3651E">
        <w:rPr>
          <w:rFonts w:cs="Arial"/>
          <w:i/>
          <w:sz w:val="24"/>
          <w:szCs w:val="24"/>
          <w:lang w:val="en-GB"/>
        </w:rPr>
        <w:t xml:space="preserve"> 2005/2006 (Living conditions among immigrants in Norway 2005/2006).</w:t>
      </w:r>
      <w:proofErr w:type="gramEnd"/>
      <w:r w:rsidRPr="00B3651E">
        <w:rPr>
          <w:rFonts w:cs="Arial"/>
          <w:i/>
          <w:sz w:val="24"/>
          <w:szCs w:val="24"/>
          <w:lang w:val="en-GB"/>
        </w:rPr>
        <w:t xml:space="preserve"> </w:t>
      </w:r>
      <w:r w:rsidRPr="00B3651E">
        <w:rPr>
          <w:rFonts w:cs="Arial"/>
          <w:sz w:val="24"/>
          <w:szCs w:val="24"/>
        </w:rPr>
        <w:t xml:space="preserve">Report 5. Oslo: </w:t>
      </w:r>
      <w:proofErr w:type="spellStart"/>
      <w:r w:rsidRPr="00B3651E">
        <w:rPr>
          <w:rFonts w:cs="Arial"/>
          <w:sz w:val="24"/>
          <w:szCs w:val="24"/>
        </w:rPr>
        <w:t>Statistics</w:t>
      </w:r>
      <w:proofErr w:type="spellEnd"/>
      <w:r w:rsidRPr="00B3651E">
        <w:rPr>
          <w:rFonts w:cs="Arial"/>
          <w:sz w:val="24"/>
          <w:szCs w:val="24"/>
        </w:rPr>
        <w:t xml:space="preserve"> </w:t>
      </w:r>
      <w:proofErr w:type="spellStart"/>
      <w:r w:rsidRPr="00B3651E">
        <w:rPr>
          <w:rFonts w:cs="Arial"/>
          <w:sz w:val="24"/>
          <w:szCs w:val="24"/>
        </w:rPr>
        <w:t>Norway</w:t>
      </w:r>
      <w:proofErr w:type="spellEnd"/>
      <w:r w:rsidRPr="00B3651E">
        <w:rPr>
          <w:rFonts w:cs="Arial"/>
          <w:sz w:val="24"/>
          <w:szCs w:val="24"/>
        </w:rPr>
        <w:t>.</w:t>
      </w:r>
    </w:p>
    <w:p w:rsidR="00E67A3F" w:rsidRPr="00B3651E" w:rsidRDefault="00E67A3F" w:rsidP="00E67A3F">
      <w:pPr>
        <w:rPr>
          <w:rFonts w:cs="Arial"/>
          <w:sz w:val="24"/>
          <w:szCs w:val="24"/>
        </w:rPr>
      </w:pPr>
    </w:p>
    <w:p w:rsidR="00E67A3F" w:rsidRPr="00401EC1" w:rsidRDefault="00E67A3F" w:rsidP="00E67A3F">
      <w:pPr>
        <w:rPr>
          <w:rFonts w:cs="Arial"/>
          <w:sz w:val="24"/>
          <w:szCs w:val="24"/>
        </w:rPr>
      </w:pPr>
      <w:r w:rsidRPr="00B3651E">
        <w:rPr>
          <w:rFonts w:cs="Arial"/>
          <w:sz w:val="24"/>
          <w:szCs w:val="24"/>
          <w:lang w:val="nb-NO"/>
        </w:rPr>
        <w:t xml:space="preserve">Boligbygg (2011) </w:t>
      </w:r>
      <w:r w:rsidRPr="00B3651E">
        <w:rPr>
          <w:rFonts w:cs="Arial"/>
          <w:i/>
          <w:sz w:val="24"/>
          <w:szCs w:val="24"/>
          <w:lang w:val="nb-NO"/>
        </w:rPr>
        <w:t xml:space="preserve">Markedsleie og gjengs leie for hybler og leiligheter i Oslo 4. kvartal 2010. </w:t>
      </w:r>
      <w:r w:rsidRPr="00B3651E">
        <w:rPr>
          <w:rFonts w:cs="Arial"/>
          <w:sz w:val="24"/>
          <w:szCs w:val="24"/>
          <w:lang w:val="nb-NO"/>
        </w:rPr>
        <w:t xml:space="preserve">Oslo: Boligbygg Oslo KF. </w:t>
      </w:r>
      <w:hyperlink r:id="rId10" w:history="1">
        <w:r w:rsidRPr="00401EC1">
          <w:rPr>
            <w:rStyle w:val="Hyperlink"/>
            <w:rFonts w:cs="Arial"/>
            <w:sz w:val="24"/>
            <w:szCs w:val="24"/>
          </w:rPr>
          <w:t>http://www.boligbygg.oslo.kommune.no/getfile.php/boligbygg%20oslo%20kf%20(BBY)/Internett%20(BBY)/Dokumenter/2010_04_gjengsleie.pdf</w:t>
        </w:r>
      </w:hyperlink>
    </w:p>
    <w:p w:rsidR="00E67A3F" w:rsidRPr="00401EC1" w:rsidRDefault="00E67A3F" w:rsidP="00E67A3F">
      <w:pPr>
        <w:rPr>
          <w:rFonts w:cs="Arial"/>
          <w:sz w:val="24"/>
          <w:szCs w:val="24"/>
        </w:rPr>
      </w:pPr>
    </w:p>
    <w:p w:rsidR="00E67A3F" w:rsidRPr="00CD1CBB" w:rsidRDefault="00E67A3F" w:rsidP="00E67A3F">
      <w:pPr>
        <w:rPr>
          <w:rFonts w:cs="Arial"/>
          <w:sz w:val="24"/>
          <w:szCs w:val="24"/>
          <w:lang w:val="en-US"/>
        </w:rPr>
      </w:pPr>
      <w:proofErr w:type="spellStart"/>
      <w:r w:rsidRPr="00CD1CBB">
        <w:rPr>
          <w:rFonts w:cs="Arial"/>
          <w:sz w:val="24"/>
          <w:szCs w:val="24"/>
          <w:lang w:val="en-US"/>
        </w:rPr>
        <w:t>Borjas</w:t>
      </w:r>
      <w:proofErr w:type="spellEnd"/>
      <w:r w:rsidRPr="00CD1CBB">
        <w:rPr>
          <w:rFonts w:cs="Arial"/>
          <w:sz w:val="24"/>
          <w:szCs w:val="24"/>
          <w:lang w:val="en-US"/>
        </w:rPr>
        <w:t xml:space="preserve">, G. J. (2002) Homeownership in the immigrant population. </w:t>
      </w:r>
      <w:r w:rsidRPr="00CD1CBB">
        <w:rPr>
          <w:rFonts w:cs="Arial"/>
          <w:i/>
          <w:sz w:val="24"/>
          <w:szCs w:val="24"/>
          <w:lang w:val="en-US"/>
        </w:rPr>
        <w:t>Journal of Urban Economics</w:t>
      </w:r>
      <w:r w:rsidRPr="00CD1CBB">
        <w:rPr>
          <w:rFonts w:cs="Arial"/>
          <w:sz w:val="24"/>
          <w:szCs w:val="24"/>
          <w:lang w:val="en-US"/>
        </w:rPr>
        <w:t xml:space="preserve"> Vol. 52, pp. 448-476.</w:t>
      </w:r>
    </w:p>
    <w:p w:rsidR="00E67A3F" w:rsidRPr="00CD1CBB" w:rsidRDefault="00E67A3F" w:rsidP="00E67A3F">
      <w:pPr>
        <w:rPr>
          <w:rFonts w:cs="Arial"/>
          <w:sz w:val="24"/>
          <w:szCs w:val="24"/>
          <w:lang w:val="en-US"/>
        </w:rPr>
      </w:pPr>
    </w:p>
    <w:p w:rsidR="00E67A3F" w:rsidRPr="00B3651E" w:rsidRDefault="00E67A3F" w:rsidP="00E67A3F">
      <w:pPr>
        <w:rPr>
          <w:rFonts w:cs="Arial"/>
          <w:bCs/>
          <w:sz w:val="24"/>
          <w:szCs w:val="24"/>
          <w:lang w:val="en-GB"/>
        </w:rPr>
      </w:pPr>
      <w:proofErr w:type="spellStart"/>
      <w:proofErr w:type="gramStart"/>
      <w:r w:rsidRPr="00B3651E">
        <w:rPr>
          <w:rFonts w:cs="Arial"/>
          <w:sz w:val="24"/>
          <w:szCs w:val="24"/>
          <w:lang w:val="en-GB"/>
        </w:rPr>
        <w:t>Bråmå</w:t>
      </w:r>
      <w:proofErr w:type="spellEnd"/>
      <w:r w:rsidRPr="00B3651E">
        <w:rPr>
          <w:rFonts w:cs="Arial"/>
          <w:sz w:val="24"/>
          <w:szCs w:val="24"/>
          <w:lang w:val="en-GB"/>
        </w:rPr>
        <w:t xml:space="preserve"> Å. (2006) </w:t>
      </w:r>
      <w:r w:rsidRPr="00B3651E">
        <w:rPr>
          <w:rFonts w:cs="Arial"/>
          <w:bCs/>
          <w:sz w:val="24"/>
          <w:szCs w:val="24"/>
          <w:lang w:val="en-GB"/>
        </w:rPr>
        <w:t>'White Flight'?</w:t>
      </w:r>
      <w:proofErr w:type="gramEnd"/>
      <w:r w:rsidRPr="00B3651E">
        <w:rPr>
          <w:rFonts w:cs="Arial"/>
          <w:bCs/>
          <w:sz w:val="24"/>
          <w:szCs w:val="24"/>
          <w:lang w:val="en-GB"/>
        </w:rPr>
        <w:t xml:space="preserve"> </w:t>
      </w:r>
      <w:proofErr w:type="gramStart"/>
      <w:r w:rsidRPr="00B3651E">
        <w:rPr>
          <w:rFonts w:cs="Arial"/>
          <w:bCs/>
          <w:sz w:val="24"/>
          <w:szCs w:val="24"/>
          <w:lang w:val="en-GB"/>
        </w:rPr>
        <w:t>The Production and Reproduction of Immigrant Concentration Areas in Swedish Cities, 1990-2000.</w:t>
      </w:r>
      <w:proofErr w:type="gramEnd"/>
      <w:r w:rsidRPr="00B3651E">
        <w:rPr>
          <w:rFonts w:cs="Arial"/>
          <w:bCs/>
          <w:sz w:val="24"/>
          <w:szCs w:val="24"/>
          <w:lang w:val="en-GB"/>
        </w:rPr>
        <w:t xml:space="preserve"> </w:t>
      </w:r>
      <w:r w:rsidRPr="00B3651E">
        <w:rPr>
          <w:rFonts w:cs="Arial"/>
          <w:i/>
          <w:iCs/>
          <w:sz w:val="24"/>
          <w:szCs w:val="24"/>
          <w:lang w:val="en-GB"/>
        </w:rPr>
        <w:t xml:space="preserve">Urban Studies </w:t>
      </w:r>
      <w:r w:rsidRPr="00B3651E">
        <w:rPr>
          <w:rFonts w:cs="Arial"/>
          <w:sz w:val="24"/>
          <w:szCs w:val="24"/>
          <w:lang w:val="en-GB"/>
        </w:rPr>
        <w:t>2006 43: 1127-1146.</w:t>
      </w:r>
    </w:p>
    <w:p w:rsidR="00E67A3F" w:rsidRPr="00CD1CBB" w:rsidRDefault="00E67A3F" w:rsidP="00E67A3F">
      <w:pPr>
        <w:rPr>
          <w:sz w:val="24"/>
          <w:lang w:val="en-GB"/>
        </w:rPr>
      </w:pPr>
    </w:p>
    <w:p w:rsidR="00E67A3F" w:rsidRPr="0059328B" w:rsidRDefault="00E67A3F" w:rsidP="00E67A3F">
      <w:pPr>
        <w:rPr>
          <w:rFonts w:cs="Arial"/>
          <w:sz w:val="24"/>
          <w:szCs w:val="24"/>
          <w:lang w:val="en-GB"/>
        </w:rPr>
      </w:pPr>
      <w:proofErr w:type="spellStart"/>
      <w:r w:rsidRPr="00497FF8">
        <w:rPr>
          <w:rFonts w:cs="Arial"/>
          <w:sz w:val="24"/>
          <w:szCs w:val="24"/>
          <w:lang w:val="en-GB"/>
        </w:rPr>
        <w:t>Bråmå</w:t>
      </w:r>
      <w:proofErr w:type="spellEnd"/>
      <w:r w:rsidRPr="00497FF8">
        <w:rPr>
          <w:rFonts w:cs="Arial"/>
          <w:sz w:val="24"/>
          <w:szCs w:val="24"/>
          <w:lang w:val="en-GB"/>
        </w:rPr>
        <w:t xml:space="preserve">, Å. </w:t>
      </w:r>
      <w:r>
        <w:rPr>
          <w:rFonts w:cs="Arial"/>
          <w:sz w:val="24"/>
          <w:szCs w:val="24"/>
          <w:lang w:val="en-GB"/>
        </w:rPr>
        <w:t>and</w:t>
      </w:r>
      <w:r w:rsidRPr="00497FF8">
        <w:rPr>
          <w:rFonts w:cs="Arial"/>
          <w:sz w:val="24"/>
          <w:szCs w:val="24"/>
          <w:lang w:val="en-GB"/>
        </w:rPr>
        <w:t xml:space="preserve"> </w:t>
      </w:r>
      <w:proofErr w:type="spellStart"/>
      <w:r w:rsidRPr="00497FF8">
        <w:rPr>
          <w:rFonts w:cs="Arial"/>
          <w:sz w:val="24"/>
          <w:szCs w:val="24"/>
          <w:lang w:val="en-GB"/>
        </w:rPr>
        <w:t>Andersson</w:t>
      </w:r>
      <w:proofErr w:type="spellEnd"/>
      <w:r w:rsidRPr="00497FF8">
        <w:rPr>
          <w:rFonts w:cs="Arial"/>
          <w:sz w:val="24"/>
          <w:szCs w:val="24"/>
          <w:lang w:val="en-GB"/>
        </w:rPr>
        <w:t xml:space="preserve">, R. (2010) </w:t>
      </w:r>
      <w:proofErr w:type="gramStart"/>
      <w:r w:rsidRPr="00497FF8">
        <w:rPr>
          <w:rFonts w:cs="Arial"/>
          <w:sz w:val="24"/>
          <w:szCs w:val="24"/>
          <w:lang w:val="en-GB"/>
        </w:rPr>
        <w:t>Who</w:t>
      </w:r>
      <w:proofErr w:type="gramEnd"/>
      <w:r w:rsidRPr="00497FF8">
        <w:rPr>
          <w:rFonts w:cs="Arial"/>
          <w:sz w:val="24"/>
          <w:szCs w:val="24"/>
          <w:lang w:val="en-GB"/>
        </w:rPr>
        <w:t xml:space="preserve"> leaves rental housing? Examining possible explanations for ethnic housing segmentation in </w:t>
      </w:r>
      <w:smartTag w:uri="urn:schemas-microsoft-com:office:smarttags" w:element="City">
        <w:smartTag w:uri="urn:schemas-microsoft-com:office:smarttags" w:element="place">
          <w:r w:rsidRPr="00497FF8">
            <w:rPr>
              <w:rFonts w:cs="Arial"/>
              <w:sz w:val="24"/>
              <w:szCs w:val="24"/>
              <w:lang w:val="en-GB"/>
            </w:rPr>
            <w:t>Uppsala</w:t>
          </w:r>
        </w:smartTag>
        <w:r w:rsidRPr="00497FF8">
          <w:rPr>
            <w:rFonts w:cs="Arial"/>
            <w:sz w:val="24"/>
            <w:szCs w:val="24"/>
            <w:lang w:val="en-GB"/>
          </w:rPr>
          <w:t xml:space="preserve">, </w:t>
        </w:r>
        <w:smartTag w:uri="urn:schemas-microsoft-com:office:smarttags" w:element="City">
          <w:smartTag w:uri="urn:schemas-microsoft-com:office:smarttags" w:element="country-region">
            <w:r w:rsidRPr="00497FF8">
              <w:rPr>
                <w:rFonts w:cs="Arial"/>
                <w:sz w:val="24"/>
                <w:szCs w:val="24"/>
                <w:lang w:val="en-GB"/>
              </w:rPr>
              <w:t>Sweden</w:t>
            </w:r>
          </w:smartTag>
        </w:smartTag>
      </w:smartTag>
      <w:r w:rsidRPr="00497FF8">
        <w:rPr>
          <w:rFonts w:cs="Arial"/>
          <w:sz w:val="24"/>
          <w:szCs w:val="24"/>
          <w:lang w:val="en-GB"/>
        </w:rPr>
        <w:t xml:space="preserve">, </w:t>
      </w:r>
      <w:r w:rsidRPr="00E67A3F">
        <w:rPr>
          <w:rFonts w:cs="Arial"/>
          <w:sz w:val="24"/>
          <w:szCs w:val="24"/>
          <w:lang w:val="en-GB"/>
        </w:rPr>
        <w:t>Journal of Housing and the Built Environment</w:t>
      </w:r>
      <w:r w:rsidRPr="00497FF8">
        <w:rPr>
          <w:rFonts w:cs="Arial"/>
          <w:sz w:val="24"/>
          <w:szCs w:val="24"/>
          <w:lang w:val="en-GB"/>
        </w:rPr>
        <w:t xml:space="preserve">, vol. 25, no. 3, </w:t>
      </w:r>
      <w:proofErr w:type="gramStart"/>
      <w:r w:rsidRPr="00497FF8">
        <w:rPr>
          <w:rFonts w:cs="Arial"/>
          <w:sz w:val="24"/>
          <w:szCs w:val="24"/>
          <w:lang w:val="en-GB"/>
        </w:rPr>
        <w:t>pp</w:t>
      </w:r>
      <w:proofErr w:type="gramEnd"/>
      <w:r w:rsidRPr="00497FF8">
        <w:rPr>
          <w:rFonts w:cs="Arial"/>
          <w:sz w:val="24"/>
          <w:szCs w:val="24"/>
          <w:lang w:val="en-GB"/>
        </w:rPr>
        <w:t>. 331-352.</w:t>
      </w:r>
    </w:p>
    <w:p w:rsidR="00E67A3F" w:rsidRPr="00CD1CBB" w:rsidRDefault="00E67A3F" w:rsidP="00E67A3F">
      <w:pPr>
        <w:rPr>
          <w:rFonts w:cs="Arial"/>
          <w:sz w:val="24"/>
          <w:szCs w:val="24"/>
          <w:lang w:val="en-US"/>
        </w:rPr>
      </w:pPr>
    </w:p>
    <w:p w:rsidR="00E67A3F" w:rsidRPr="00CD1CBB" w:rsidRDefault="00E67A3F" w:rsidP="00E67A3F">
      <w:pPr>
        <w:rPr>
          <w:rFonts w:cs="Arial"/>
          <w:sz w:val="24"/>
          <w:szCs w:val="24"/>
          <w:lang w:val="nb-NO"/>
        </w:rPr>
      </w:pPr>
      <w:r w:rsidRPr="00E67A3F">
        <w:rPr>
          <w:rFonts w:cs="Arial"/>
          <w:sz w:val="24"/>
          <w:szCs w:val="24"/>
          <w:lang w:val="en-GB"/>
        </w:rPr>
        <w:lastRenderedPageBreak/>
        <w:t xml:space="preserve">Chiswick, B. R and Miller, P. (2002) </w:t>
      </w:r>
      <w:r w:rsidRPr="00B3651E">
        <w:rPr>
          <w:rFonts w:cs="Arial"/>
          <w:i/>
          <w:sz w:val="24"/>
          <w:szCs w:val="24"/>
          <w:lang w:val="en-GB"/>
        </w:rPr>
        <w:t>Do enclaves matter in immigrant adjustment?</w:t>
      </w:r>
      <w:r w:rsidRPr="00B3651E">
        <w:rPr>
          <w:rFonts w:cs="Arial"/>
          <w:sz w:val="24"/>
          <w:szCs w:val="24"/>
          <w:lang w:val="en-GB"/>
        </w:rPr>
        <w:t xml:space="preserve"> </w:t>
      </w:r>
      <w:r w:rsidRPr="00CD1CBB">
        <w:rPr>
          <w:rFonts w:cs="Arial"/>
          <w:sz w:val="24"/>
          <w:szCs w:val="24"/>
          <w:lang w:val="nb-NO"/>
        </w:rPr>
        <w:t>IZA Discussion Paper 449.</w:t>
      </w:r>
    </w:p>
    <w:p w:rsidR="00E67A3F" w:rsidRPr="00CD1CBB" w:rsidRDefault="00E67A3F" w:rsidP="00E67A3F">
      <w:pPr>
        <w:rPr>
          <w:rFonts w:cs="Arial"/>
          <w:sz w:val="24"/>
          <w:szCs w:val="24"/>
          <w:lang w:val="nb-NO"/>
        </w:rPr>
      </w:pPr>
    </w:p>
    <w:p w:rsidR="00E67A3F" w:rsidRPr="00CD1CBB" w:rsidRDefault="00E67A3F" w:rsidP="00E67A3F">
      <w:pPr>
        <w:rPr>
          <w:rFonts w:cs="Arial"/>
          <w:sz w:val="24"/>
          <w:szCs w:val="24"/>
          <w:lang w:val="nb-NO"/>
        </w:rPr>
      </w:pPr>
      <w:r w:rsidRPr="00CD1CBB">
        <w:rPr>
          <w:rFonts w:cs="Arial"/>
          <w:sz w:val="24"/>
          <w:szCs w:val="24"/>
          <w:lang w:val="nb-NO"/>
        </w:rPr>
        <w:t xml:space="preserve">City of Oslo (2011) Endringer i forskrift om tildeling av </w:t>
      </w:r>
      <w:r>
        <w:rPr>
          <w:rFonts w:cs="Arial"/>
          <w:sz w:val="24"/>
          <w:szCs w:val="24"/>
          <w:lang w:val="nb-NO"/>
        </w:rPr>
        <w:t>k</w:t>
      </w:r>
      <w:r w:rsidRPr="00CD1CBB">
        <w:rPr>
          <w:rFonts w:cs="Arial"/>
          <w:sz w:val="24"/>
          <w:szCs w:val="24"/>
          <w:lang w:val="nb-NO"/>
        </w:rPr>
        <w:t xml:space="preserve">ommunal bolig i Oslo </w:t>
      </w:r>
      <w:r>
        <w:rPr>
          <w:rFonts w:cs="Arial"/>
          <w:sz w:val="24"/>
          <w:szCs w:val="24"/>
          <w:lang w:val="nb-NO"/>
        </w:rPr>
        <w:t>k</w:t>
      </w:r>
      <w:r w:rsidRPr="00CD1CBB">
        <w:rPr>
          <w:rFonts w:cs="Arial"/>
          <w:sz w:val="24"/>
          <w:szCs w:val="24"/>
          <w:lang w:val="nb-NO"/>
        </w:rPr>
        <w:t xml:space="preserve">ommune. </w:t>
      </w:r>
      <w:r>
        <w:rPr>
          <w:rFonts w:cs="Arial"/>
          <w:sz w:val="24"/>
          <w:szCs w:val="24"/>
          <w:lang w:val="nb-NO"/>
        </w:rPr>
        <w:t xml:space="preserve">Høringsbrev. Byrådsavdeling for eldre og sosiale tjenester. </w:t>
      </w:r>
    </w:p>
    <w:p w:rsidR="00E67A3F" w:rsidRPr="00CD1CBB" w:rsidRDefault="00E67A3F" w:rsidP="00E67A3F">
      <w:pPr>
        <w:rPr>
          <w:rFonts w:cs="Arial"/>
          <w:sz w:val="24"/>
          <w:szCs w:val="24"/>
          <w:lang w:val="nb-NO"/>
        </w:rPr>
      </w:pPr>
    </w:p>
    <w:p w:rsidR="00E67A3F" w:rsidRPr="00EA1C82" w:rsidRDefault="00E67A3F" w:rsidP="00E67A3F">
      <w:pPr>
        <w:autoSpaceDE w:val="0"/>
        <w:autoSpaceDN w:val="0"/>
        <w:adjustRightInd w:val="0"/>
        <w:rPr>
          <w:rFonts w:cs="Arial"/>
          <w:sz w:val="24"/>
          <w:szCs w:val="24"/>
          <w:lang w:val="nb-NO"/>
        </w:rPr>
      </w:pPr>
      <w:r w:rsidRPr="00EA1C82">
        <w:rPr>
          <w:rFonts w:cs="Arial"/>
          <w:sz w:val="24"/>
          <w:szCs w:val="24"/>
          <w:lang w:val="nb-NO"/>
        </w:rPr>
        <w:t xml:space="preserve">Clark, W. A. V. (1992) Residential preferences and residential choices in a multiethnic context, </w:t>
      </w:r>
      <w:r w:rsidRPr="00EA1C82">
        <w:rPr>
          <w:rFonts w:cs="Arial"/>
          <w:i/>
          <w:sz w:val="24"/>
          <w:szCs w:val="24"/>
          <w:lang w:val="nb-NO"/>
        </w:rPr>
        <w:t>Demography</w:t>
      </w:r>
      <w:r w:rsidRPr="00EA1C82">
        <w:rPr>
          <w:rFonts w:cs="Arial"/>
          <w:sz w:val="24"/>
          <w:szCs w:val="24"/>
          <w:lang w:val="nb-NO"/>
        </w:rPr>
        <w:t>, 29, pp. 451–466.</w:t>
      </w:r>
    </w:p>
    <w:p w:rsidR="00E67A3F" w:rsidRPr="00EA1C82" w:rsidRDefault="00E67A3F" w:rsidP="00E67A3F">
      <w:pPr>
        <w:rPr>
          <w:rFonts w:cs="Arial"/>
          <w:sz w:val="24"/>
          <w:szCs w:val="24"/>
          <w:lang w:val="nb-NO"/>
        </w:rPr>
      </w:pPr>
    </w:p>
    <w:p w:rsidR="00E67A3F" w:rsidRPr="00CD1CBB" w:rsidRDefault="00E67A3F" w:rsidP="00E67A3F">
      <w:pPr>
        <w:rPr>
          <w:rFonts w:cs="Arial"/>
          <w:sz w:val="24"/>
          <w:szCs w:val="24"/>
          <w:lang w:val="nb-NO"/>
        </w:rPr>
      </w:pPr>
      <w:proofErr w:type="spellStart"/>
      <w:r w:rsidRPr="00B3651E">
        <w:rPr>
          <w:rFonts w:cs="Arial"/>
          <w:sz w:val="24"/>
          <w:szCs w:val="24"/>
        </w:rPr>
        <w:t>Damn</w:t>
      </w:r>
      <w:proofErr w:type="spellEnd"/>
      <w:r w:rsidRPr="00B3651E">
        <w:rPr>
          <w:rFonts w:cs="Arial"/>
          <w:sz w:val="24"/>
          <w:szCs w:val="24"/>
        </w:rPr>
        <w:t xml:space="preserve">, A. P. (2002) </w:t>
      </w:r>
      <w:r w:rsidRPr="00B3651E">
        <w:rPr>
          <w:rFonts w:cs="Arial"/>
          <w:i/>
          <w:sz w:val="24"/>
          <w:szCs w:val="24"/>
        </w:rPr>
        <w:t>Etniske minoriteters bosætning og flytninger – de seneste 20 års økonomisk kvantitative forskningsresultater</w:t>
      </w:r>
      <w:r w:rsidRPr="00B3651E">
        <w:rPr>
          <w:rFonts w:cs="Arial"/>
          <w:sz w:val="24"/>
          <w:szCs w:val="24"/>
        </w:rPr>
        <w:t xml:space="preserve">. </w:t>
      </w:r>
      <w:r w:rsidRPr="00CD1CBB">
        <w:rPr>
          <w:rFonts w:cs="Arial"/>
          <w:sz w:val="24"/>
          <w:szCs w:val="24"/>
          <w:lang w:val="nb-NO"/>
        </w:rPr>
        <w:t>AMID Working Paper Series 13/2002. Aalborg University</w:t>
      </w:r>
      <w:r>
        <w:rPr>
          <w:rFonts w:cs="Arial"/>
          <w:sz w:val="24"/>
          <w:szCs w:val="24"/>
          <w:lang w:val="nb-NO"/>
        </w:rPr>
        <w:t>.</w:t>
      </w:r>
    </w:p>
    <w:p w:rsidR="00E67A3F" w:rsidRPr="00CD1CBB" w:rsidRDefault="00E67A3F" w:rsidP="00E67A3F">
      <w:pPr>
        <w:rPr>
          <w:rFonts w:cs="Arial"/>
          <w:sz w:val="24"/>
          <w:szCs w:val="24"/>
          <w:lang w:val="nb-NO"/>
        </w:rPr>
      </w:pPr>
    </w:p>
    <w:p w:rsidR="00E67A3F" w:rsidRPr="00CD1CBB" w:rsidRDefault="00E67A3F" w:rsidP="00E67A3F">
      <w:pPr>
        <w:rPr>
          <w:rFonts w:cs="Arial"/>
          <w:sz w:val="24"/>
          <w:szCs w:val="24"/>
          <w:lang w:val="en-US"/>
        </w:rPr>
      </w:pPr>
      <w:r w:rsidRPr="00CD1CBB">
        <w:rPr>
          <w:rFonts w:cs="Arial"/>
          <w:sz w:val="24"/>
          <w:szCs w:val="24"/>
          <w:lang w:val="nb-NO"/>
        </w:rPr>
        <w:t xml:space="preserve">Ellingsen, D. (2011) Mange låner mye in </w:t>
      </w:r>
      <w:r>
        <w:rPr>
          <w:rFonts w:cs="Arial"/>
          <w:i/>
          <w:sz w:val="24"/>
          <w:szCs w:val="24"/>
          <w:lang w:val="nb-NO"/>
        </w:rPr>
        <w:t xml:space="preserve">Samfunsspeilet </w:t>
      </w:r>
      <w:r>
        <w:rPr>
          <w:rFonts w:cs="Arial"/>
          <w:sz w:val="24"/>
          <w:szCs w:val="24"/>
          <w:lang w:val="nb-NO"/>
        </w:rPr>
        <w:t xml:space="preserve">no. 4. </w:t>
      </w:r>
      <w:r w:rsidRPr="00CD1CBB">
        <w:rPr>
          <w:rFonts w:cs="Arial"/>
          <w:sz w:val="24"/>
          <w:szCs w:val="24"/>
          <w:lang w:val="en-US"/>
        </w:rPr>
        <w:t xml:space="preserve">Statistics </w:t>
      </w:r>
      <w:smartTag w:uri="urn:schemas-microsoft-com:office:smarttags" w:element="City">
        <w:smartTag w:uri="urn:schemas-microsoft-com:office:smarttags" w:element="country-region">
          <w:r w:rsidRPr="00CD1CBB">
            <w:rPr>
              <w:rFonts w:cs="Arial"/>
              <w:sz w:val="24"/>
              <w:szCs w:val="24"/>
              <w:lang w:val="en-US"/>
            </w:rPr>
            <w:t>Norway</w:t>
          </w:r>
        </w:smartTag>
      </w:smartTag>
      <w:r w:rsidRPr="00CD1CBB">
        <w:rPr>
          <w:rFonts w:cs="Arial"/>
          <w:sz w:val="24"/>
          <w:szCs w:val="24"/>
          <w:lang w:val="en-US"/>
        </w:rPr>
        <w:t xml:space="preserve">, </w:t>
      </w:r>
      <w:smartTag w:uri="urn:schemas-microsoft-com:office:smarttags" w:element="City">
        <w:smartTag w:uri="urn:schemas-microsoft-com:office:smarttags" w:element="place">
          <w:r w:rsidRPr="00CD1CBB">
            <w:rPr>
              <w:rFonts w:cs="Arial"/>
              <w:sz w:val="24"/>
              <w:szCs w:val="24"/>
              <w:lang w:val="en-US"/>
            </w:rPr>
            <w:t>Oslo</w:t>
          </w:r>
        </w:smartTag>
      </w:smartTag>
    </w:p>
    <w:p w:rsidR="00E67A3F" w:rsidRPr="00CD1CBB" w:rsidRDefault="00E67A3F" w:rsidP="00E67A3F">
      <w:pPr>
        <w:rPr>
          <w:rFonts w:cs="Arial"/>
          <w:sz w:val="24"/>
          <w:szCs w:val="24"/>
          <w:lang w:val="en-US"/>
        </w:rPr>
      </w:pPr>
    </w:p>
    <w:p w:rsidR="00E67A3F" w:rsidRPr="004E0A27" w:rsidRDefault="00E67A3F" w:rsidP="00E67A3F">
      <w:pPr>
        <w:rPr>
          <w:rFonts w:cs="Arial"/>
          <w:sz w:val="24"/>
          <w:szCs w:val="24"/>
          <w:lang w:val="en-GB"/>
        </w:rPr>
      </w:pPr>
      <w:proofErr w:type="spellStart"/>
      <w:r>
        <w:rPr>
          <w:rFonts w:cs="Arial"/>
          <w:sz w:val="24"/>
          <w:szCs w:val="24"/>
          <w:lang w:val="en-GB"/>
        </w:rPr>
        <w:t>Esping</w:t>
      </w:r>
      <w:proofErr w:type="spellEnd"/>
      <w:r>
        <w:rPr>
          <w:rFonts w:cs="Arial"/>
          <w:sz w:val="24"/>
          <w:szCs w:val="24"/>
          <w:lang w:val="en-GB"/>
        </w:rPr>
        <w:t xml:space="preserve">-Andersen G. (1990) </w:t>
      </w:r>
      <w:proofErr w:type="gramStart"/>
      <w:r>
        <w:rPr>
          <w:rFonts w:cs="Arial"/>
          <w:i/>
          <w:sz w:val="24"/>
          <w:szCs w:val="24"/>
          <w:lang w:val="en-GB"/>
        </w:rPr>
        <w:t>The</w:t>
      </w:r>
      <w:proofErr w:type="gramEnd"/>
      <w:r>
        <w:rPr>
          <w:rFonts w:cs="Arial"/>
          <w:i/>
          <w:sz w:val="24"/>
          <w:szCs w:val="24"/>
          <w:lang w:val="en-GB"/>
        </w:rPr>
        <w:t xml:space="preserve"> Three Worlds of Welfare Capitalism. </w:t>
      </w:r>
      <w:smartTag w:uri="urn:schemas-microsoft-com:office:smarttags" w:element="City">
        <w:smartTag w:uri="urn:schemas-microsoft-com:office:smarttags" w:element="place">
          <w:r>
            <w:rPr>
              <w:rFonts w:cs="Arial"/>
              <w:sz w:val="24"/>
              <w:szCs w:val="24"/>
              <w:lang w:val="en-GB"/>
            </w:rPr>
            <w:t>Cambridge</w:t>
          </w:r>
        </w:smartTag>
      </w:smartTag>
      <w:r>
        <w:rPr>
          <w:rFonts w:cs="Arial"/>
          <w:sz w:val="24"/>
          <w:szCs w:val="24"/>
          <w:lang w:val="en-GB"/>
        </w:rPr>
        <w:t xml:space="preserve">, Polity Press. </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r w:rsidRPr="00B3651E">
        <w:rPr>
          <w:rFonts w:cs="Arial"/>
          <w:sz w:val="24"/>
          <w:szCs w:val="24"/>
          <w:lang w:val="en-GB"/>
        </w:rPr>
        <w:t xml:space="preserve">Finney N. (2002) Ethnic Group Population Change and Interaction: A Demographic Perspective on Ethnic Geographies. </w:t>
      </w:r>
      <w:proofErr w:type="gramStart"/>
      <w:r w:rsidRPr="00B3651E">
        <w:rPr>
          <w:rFonts w:cs="Arial"/>
          <w:sz w:val="24"/>
          <w:szCs w:val="24"/>
          <w:lang w:val="en-GB"/>
        </w:rPr>
        <w:t>Ethnicity and Integration.</w:t>
      </w:r>
      <w:proofErr w:type="gramEnd"/>
      <w:r w:rsidRPr="00B3651E">
        <w:rPr>
          <w:rFonts w:cs="Arial"/>
          <w:sz w:val="24"/>
          <w:szCs w:val="24"/>
          <w:lang w:val="en-GB"/>
        </w:rPr>
        <w:t xml:space="preserve"> </w:t>
      </w:r>
      <w:proofErr w:type="gramStart"/>
      <w:r w:rsidRPr="00B3651E">
        <w:rPr>
          <w:rFonts w:cs="Arial"/>
          <w:i/>
          <w:sz w:val="24"/>
          <w:szCs w:val="24"/>
          <w:lang w:val="en-GB"/>
        </w:rPr>
        <w:t>Understanding Population Trends and Processes</w:t>
      </w:r>
      <w:r w:rsidRPr="00B3651E">
        <w:rPr>
          <w:rFonts w:cs="Arial"/>
          <w:sz w:val="24"/>
          <w:szCs w:val="24"/>
          <w:lang w:val="en-GB"/>
        </w:rPr>
        <w:t>, volume 3, 27-45.</w:t>
      </w:r>
      <w:proofErr w:type="gramEnd"/>
      <w:r w:rsidRPr="00B3651E">
        <w:rPr>
          <w:rFonts w:cs="Arial"/>
          <w:sz w:val="24"/>
          <w:szCs w:val="24"/>
          <w:lang w:val="en-GB"/>
        </w:rPr>
        <w:t xml:space="preserve"> </w:t>
      </w:r>
    </w:p>
    <w:p w:rsidR="00E67A3F" w:rsidRPr="00B3651E" w:rsidRDefault="00E67A3F" w:rsidP="00E67A3F">
      <w:pPr>
        <w:pStyle w:val="Overskrift2"/>
        <w:rPr>
          <w:b w:val="0"/>
          <w:i w:val="0"/>
          <w:sz w:val="24"/>
          <w:szCs w:val="24"/>
          <w:lang w:val="en-GB" w:eastAsia="x-none"/>
        </w:rPr>
      </w:pPr>
      <w:r w:rsidRPr="00B3651E">
        <w:rPr>
          <w:b w:val="0"/>
          <w:i w:val="0"/>
          <w:sz w:val="24"/>
          <w:szCs w:val="24"/>
          <w:lang w:val="en-GB" w:eastAsia="x-none"/>
        </w:rPr>
        <w:t xml:space="preserve">Fong E. and Chan E. (2010) </w:t>
      </w:r>
      <w:proofErr w:type="gramStart"/>
      <w:r w:rsidRPr="00B3651E">
        <w:rPr>
          <w:b w:val="0"/>
          <w:i w:val="0"/>
          <w:sz w:val="24"/>
          <w:szCs w:val="24"/>
          <w:lang w:val="en-GB" w:eastAsia="x-none"/>
        </w:rPr>
        <w:t>The</w:t>
      </w:r>
      <w:proofErr w:type="gramEnd"/>
      <w:r w:rsidRPr="00B3651E">
        <w:rPr>
          <w:b w:val="0"/>
          <w:i w:val="0"/>
          <w:sz w:val="24"/>
          <w:szCs w:val="24"/>
          <w:lang w:val="en-GB" w:eastAsia="x-none"/>
        </w:rPr>
        <w:t xml:space="preserve"> Effect of Economic Standing, Individual Preferences, and Co-ethnic Resources on Immigrant Residential Clustering. </w:t>
      </w:r>
      <w:proofErr w:type="gramStart"/>
      <w:r w:rsidRPr="00B3651E">
        <w:rPr>
          <w:b w:val="0"/>
          <w:sz w:val="24"/>
          <w:szCs w:val="24"/>
          <w:lang w:val="en-GB" w:eastAsia="x-none"/>
        </w:rPr>
        <w:t>International Migration Review</w:t>
      </w:r>
      <w:r w:rsidRPr="00B3651E">
        <w:rPr>
          <w:b w:val="0"/>
          <w:i w:val="0"/>
          <w:sz w:val="24"/>
          <w:szCs w:val="24"/>
          <w:lang w:val="en-GB" w:eastAsia="x-none"/>
        </w:rPr>
        <w:t>.</w:t>
      </w:r>
      <w:proofErr w:type="gramEnd"/>
      <w:r w:rsidRPr="00B3651E">
        <w:rPr>
          <w:b w:val="0"/>
          <w:i w:val="0"/>
          <w:sz w:val="24"/>
          <w:szCs w:val="24"/>
          <w:lang w:val="en-GB" w:eastAsia="x-none"/>
        </w:rPr>
        <w:t xml:space="preserve"> </w:t>
      </w:r>
      <w:hyperlink r:id="rId11" w:history="1">
        <w:r w:rsidRPr="00B3651E">
          <w:rPr>
            <w:rStyle w:val="Hyperlink"/>
            <w:rFonts w:cs="Arial"/>
            <w:b w:val="0"/>
            <w:i w:val="0"/>
            <w:sz w:val="24"/>
            <w:szCs w:val="24"/>
            <w:lang w:val="en-GB" w:eastAsia="x-none"/>
          </w:rPr>
          <w:t xml:space="preserve">Volume 44, Issue 1, </w:t>
        </w:r>
      </w:hyperlink>
      <w:r w:rsidRPr="00B3651E">
        <w:rPr>
          <w:b w:val="0"/>
          <w:i w:val="0"/>
          <w:sz w:val="24"/>
          <w:szCs w:val="24"/>
          <w:lang w:val="en-GB" w:eastAsia="x-none"/>
        </w:rPr>
        <w:t>pages 111–141</w:t>
      </w:r>
      <w:r>
        <w:rPr>
          <w:b w:val="0"/>
          <w:i w:val="0"/>
          <w:sz w:val="24"/>
          <w:szCs w:val="24"/>
          <w:lang w:val="en-GB" w:eastAsia="x-none"/>
        </w:rPr>
        <w:t>.</w:t>
      </w:r>
    </w:p>
    <w:p w:rsidR="00E67A3F" w:rsidRPr="00B3651E" w:rsidRDefault="00E67A3F" w:rsidP="00E67A3F">
      <w:pPr>
        <w:rPr>
          <w:rFonts w:cs="Arial"/>
          <w:sz w:val="24"/>
          <w:szCs w:val="24"/>
          <w:lang w:val="en-GB"/>
        </w:rPr>
      </w:pPr>
    </w:p>
    <w:p w:rsidR="00E67A3F" w:rsidRDefault="00E67A3F" w:rsidP="00E67A3F">
      <w:pPr>
        <w:rPr>
          <w:rFonts w:cs="Arial"/>
          <w:sz w:val="24"/>
          <w:szCs w:val="24"/>
          <w:lang w:val="en-GB"/>
        </w:rPr>
      </w:pPr>
      <w:r w:rsidRPr="00B3651E">
        <w:rPr>
          <w:rFonts w:cs="Arial"/>
          <w:sz w:val="24"/>
          <w:szCs w:val="24"/>
          <w:lang w:val="en-GB"/>
        </w:rPr>
        <w:t>Fonseca M. L</w:t>
      </w:r>
      <w:proofErr w:type="gramStart"/>
      <w:r w:rsidRPr="00B3651E">
        <w:rPr>
          <w:rFonts w:cs="Arial"/>
          <w:sz w:val="24"/>
          <w:szCs w:val="24"/>
          <w:lang w:val="en-GB"/>
        </w:rPr>
        <w:t>. ,</w:t>
      </w:r>
      <w:proofErr w:type="gramEnd"/>
      <w:r w:rsidRPr="00B3651E">
        <w:rPr>
          <w:rFonts w:cs="Arial"/>
          <w:sz w:val="24"/>
          <w:szCs w:val="24"/>
          <w:lang w:val="en-GB"/>
        </w:rPr>
        <w:t xml:space="preserve"> J</w:t>
      </w:r>
      <w:r>
        <w:rPr>
          <w:rFonts w:cs="Arial"/>
          <w:sz w:val="24"/>
          <w:szCs w:val="24"/>
          <w:lang w:val="en-GB"/>
        </w:rPr>
        <w:t>.</w:t>
      </w:r>
      <w:r w:rsidRPr="00B3651E">
        <w:rPr>
          <w:rFonts w:cs="Arial"/>
          <w:sz w:val="24"/>
          <w:szCs w:val="24"/>
          <w:lang w:val="en-GB"/>
        </w:rPr>
        <w:t xml:space="preserve"> </w:t>
      </w:r>
      <w:proofErr w:type="spellStart"/>
      <w:r w:rsidRPr="00B3651E">
        <w:rPr>
          <w:rFonts w:cs="Arial"/>
          <w:sz w:val="24"/>
          <w:szCs w:val="24"/>
          <w:lang w:val="en-GB"/>
        </w:rPr>
        <w:t>McGarrigle</w:t>
      </w:r>
      <w:proofErr w:type="spellEnd"/>
      <w:r w:rsidRPr="00B3651E">
        <w:rPr>
          <w:rFonts w:cs="Arial"/>
          <w:sz w:val="24"/>
          <w:szCs w:val="24"/>
          <w:lang w:val="en-GB"/>
        </w:rPr>
        <w:t xml:space="preserve"> and A</w:t>
      </w:r>
      <w:r>
        <w:rPr>
          <w:rFonts w:cs="Arial"/>
          <w:sz w:val="24"/>
          <w:szCs w:val="24"/>
          <w:lang w:val="en-GB"/>
        </w:rPr>
        <w:t>.</w:t>
      </w:r>
      <w:r w:rsidRPr="00B3651E">
        <w:rPr>
          <w:rFonts w:cs="Arial"/>
          <w:sz w:val="24"/>
          <w:szCs w:val="24"/>
          <w:lang w:val="en-GB"/>
        </w:rPr>
        <w:t xml:space="preserve"> </w:t>
      </w:r>
      <w:proofErr w:type="spellStart"/>
      <w:r w:rsidRPr="00B3651E">
        <w:rPr>
          <w:rFonts w:cs="Arial"/>
          <w:sz w:val="24"/>
          <w:szCs w:val="24"/>
          <w:lang w:val="en-GB"/>
        </w:rPr>
        <w:t>Esteves</w:t>
      </w:r>
      <w:proofErr w:type="spellEnd"/>
      <w:r w:rsidRPr="00B3651E">
        <w:rPr>
          <w:rFonts w:cs="Arial"/>
          <w:sz w:val="24"/>
          <w:szCs w:val="24"/>
          <w:lang w:val="en-GB"/>
        </w:rPr>
        <w:t xml:space="preserve"> (2010)  Possibilities and limitations of comparative quantitative research on immigrant’s housing conditions.  </w:t>
      </w:r>
      <w:proofErr w:type="gramStart"/>
      <w:r w:rsidRPr="00B3651E">
        <w:rPr>
          <w:rFonts w:cs="Arial"/>
          <w:sz w:val="24"/>
          <w:szCs w:val="24"/>
          <w:lang w:val="en-GB"/>
        </w:rPr>
        <w:t>Working Paper No. 06.</w:t>
      </w:r>
      <w:proofErr w:type="gramEnd"/>
      <w:r w:rsidRPr="00B3651E">
        <w:rPr>
          <w:rFonts w:cs="Arial"/>
          <w:sz w:val="24"/>
          <w:szCs w:val="24"/>
          <w:lang w:val="en-GB"/>
        </w:rPr>
        <w:t xml:space="preserve">  </w:t>
      </w:r>
      <w:proofErr w:type="gramStart"/>
      <w:r w:rsidRPr="00B3651E">
        <w:rPr>
          <w:rFonts w:cs="Arial"/>
          <w:sz w:val="24"/>
          <w:szCs w:val="24"/>
          <w:lang w:val="en-GB"/>
        </w:rPr>
        <w:t>PROMINSTAT</w:t>
      </w:r>
      <w:r>
        <w:rPr>
          <w:rFonts w:cs="Arial"/>
          <w:sz w:val="24"/>
          <w:szCs w:val="24"/>
          <w:lang w:val="en-GB"/>
        </w:rPr>
        <w:t>.</w:t>
      </w:r>
      <w:proofErr w:type="gramEnd"/>
    </w:p>
    <w:p w:rsidR="00E67A3F"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r w:rsidRPr="00B3651E">
        <w:rPr>
          <w:rFonts w:cs="Arial"/>
          <w:sz w:val="24"/>
          <w:szCs w:val="24"/>
          <w:lang w:val="en-GB"/>
        </w:rPr>
        <w:t>Hamnett</w:t>
      </w:r>
      <w:proofErr w:type="spellEnd"/>
      <w:r w:rsidRPr="00B3651E">
        <w:rPr>
          <w:rFonts w:cs="Arial"/>
          <w:sz w:val="24"/>
          <w:szCs w:val="24"/>
          <w:lang w:val="en-GB"/>
        </w:rPr>
        <w:t xml:space="preserve"> </w:t>
      </w:r>
      <w:r>
        <w:rPr>
          <w:rFonts w:cs="Arial"/>
          <w:sz w:val="24"/>
          <w:szCs w:val="24"/>
          <w:lang w:val="en-GB"/>
        </w:rPr>
        <w:t>C. and T.</w:t>
      </w:r>
      <w:r w:rsidRPr="00B3651E">
        <w:rPr>
          <w:rFonts w:cs="Arial"/>
          <w:sz w:val="24"/>
          <w:szCs w:val="24"/>
          <w:lang w:val="en-GB"/>
        </w:rPr>
        <w:t xml:space="preserve"> Butler </w:t>
      </w:r>
      <w:r>
        <w:rPr>
          <w:rFonts w:cs="Arial"/>
          <w:sz w:val="24"/>
          <w:szCs w:val="24"/>
          <w:lang w:val="en-GB"/>
        </w:rPr>
        <w:t xml:space="preserve">T. </w:t>
      </w:r>
      <w:r w:rsidRPr="00B3651E">
        <w:rPr>
          <w:rFonts w:cs="Arial"/>
          <w:sz w:val="24"/>
          <w:szCs w:val="24"/>
          <w:lang w:val="en-GB"/>
        </w:rPr>
        <w:t xml:space="preserve">(2010) The Changing Ethnic Structure of Housing Tenures in </w:t>
      </w:r>
      <w:smartTag w:uri="urn:schemas-microsoft-com:office:smarttags" w:element="City">
        <w:smartTag w:uri="urn:schemas-microsoft-com:office:smarttags" w:element="place">
          <w:r w:rsidRPr="00B3651E">
            <w:rPr>
              <w:rFonts w:cs="Arial"/>
              <w:sz w:val="24"/>
              <w:szCs w:val="24"/>
              <w:lang w:val="en-GB"/>
            </w:rPr>
            <w:t>London</w:t>
          </w:r>
        </w:smartTag>
      </w:smartTag>
      <w:r w:rsidRPr="00B3651E">
        <w:rPr>
          <w:rFonts w:cs="Arial"/>
          <w:sz w:val="24"/>
          <w:szCs w:val="24"/>
          <w:lang w:val="en-GB"/>
        </w:rPr>
        <w:t xml:space="preserve">, 1991–2001. </w:t>
      </w:r>
      <w:r w:rsidRPr="00CD1CBB">
        <w:rPr>
          <w:i/>
          <w:sz w:val="24"/>
          <w:lang w:val="en-GB"/>
        </w:rPr>
        <w:t>Urban Studies</w:t>
      </w:r>
      <w:r w:rsidRPr="00B3651E">
        <w:rPr>
          <w:rFonts w:cs="Arial"/>
          <w:sz w:val="24"/>
          <w:szCs w:val="24"/>
          <w:lang w:val="en-GB"/>
        </w:rPr>
        <w:t xml:space="preserve"> 47(1) </w:t>
      </w:r>
      <w:r>
        <w:rPr>
          <w:rFonts w:cs="Arial"/>
          <w:sz w:val="24"/>
          <w:szCs w:val="24"/>
          <w:lang w:val="en-GB"/>
        </w:rPr>
        <w:t xml:space="preserve">pp. </w:t>
      </w:r>
      <w:r w:rsidRPr="00B3651E">
        <w:rPr>
          <w:rFonts w:cs="Arial"/>
          <w:sz w:val="24"/>
          <w:szCs w:val="24"/>
          <w:lang w:val="en-GB"/>
        </w:rPr>
        <w:t>55–74</w:t>
      </w:r>
      <w:r>
        <w:rPr>
          <w:rFonts w:cs="Arial"/>
          <w:sz w:val="24"/>
          <w:szCs w:val="24"/>
          <w:lang w:val="en-GB"/>
        </w:rPr>
        <w:t>.</w:t>
      </w:r>
    </w:p>
    <w:p w:rsidR="00E67A3F" w:rsidRPr="00B3651E"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gramStart"/>
      <w:r w:rsidRPr="00B3651E">
        <w:rPr>
          <w:rFonts w:cs="Arial"/>
          <w:sz w:val="24"/>
          <w:szCs w:val="24"/>
          <w:lang w:val="en-GB"/>
        </w:rPr>
        <w:t xml:space="preserve">Jaeger, D. A. (2000) </w:t>
      </w:r>
      <w:r w:rsidRPr="00B3651E">
        <w:rPr>
          <w:rFonts w:cs="Arial"/>
          <w:i/>
          <w:sz w:val="24"/>
          <w:szCs w:val="24"/>
          <w:lang w:val="en-GB"/>
        </w:rPr>
        <w:t>Local labour markets, admission categories, and immigrant location choice</w:t>
      </w:r>
      <w:r w:rsidRPr="00B3651E">
        <w:rPr>
          <w:rFonts w:cs="Arial"/>
          <w:sz w:val="24"/>
          <w:szCs w:val="24"/>
          <w:lang w:val="en-GB"/>
        </w:rPr>
        <w:t>.</w:t>
      </w:r>
      <w:proofErr w:type="gramEnd"/>
      <w:r w:rsidRPr="00B3651E">
        <w:rPr>
          <w:rFonts w:cs="Arial"/>
          <w:sz w:val="24"/>
          <w:szCs w:val="24"/>
          <w:lang w:val="en-GB"/>
        </w:rPr>
        <w:t xml:space="preserve"> </w:t>
      </w:r>
      <w:proofErr w:type="gramStart"/>
      <w:r w:rsidRPr="00B3651E">
        <w:rPr>
          <w:rFonts w:cs="Arial"/>
          <w:sz w:val="24"/>
          <w:szCs w:val="24"/>
          <w:lang w:val="en-GB"/>
        </w:rPr>
        <w:t>Working paper, Princeton, NJ: Hunter College, Princeton University.</w:t>
      </w:r>
      <w:proofErr w:type="gramEnd"/>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gramStart"/>
      <w:r w:rsidRPr="00B3651E">
        <w:rPr>
          <w:rFonts w:cs="Arial"/>
          <w:sz w:val="24"/>
          <w:szCs w:val="24"/>
          <w:lang w:val="en-GB"/>
        </w:rPr>
        <w:t xml:space="preserve">Johnston R., Forrest J. and </w:t>
      </w:r>
      <w:proofErr w:type="spellStart"/>
      <w:r w:rsidRPr="00B3651E">
        <w:rPr>
          <w:rFonts w:cs="Arial"/>
          <w:sz w:val="24"/>
          <w:szCs w:val="24"/>
          <w:lang w:val="en-GB"/>
        </w:rPr>
        <w:t>Poulsen</w:t>
      </w:r>
      <w:proofErr w:type="spellEnd"/>
      <w:r w:rsidRPr="00B3651E">
        <w:rPr>
          <w:rFonts w:cs="Arial"/>
          <w:sz w:val="24"/>
          <w:szCs w:val="24"/>
          <w:lang w:val="en-GB"/>
        </w:rPr>
        <w:t xml:space="preserve"> M. (2002).</w:t>
      </w:r>
      <w:proofErr w:type="gramEnd"/>
      <w:r w:rsidRPr="00B3651E">
        <w:rPr>
          <w:rFonts w:cs="Arial"/>
          <w:sz w:val="24"/>
          <w:szCs w:val="24"/>
          <w:lang w:val="en-GB"/>
        </w:rPr>
        <w:t xml:space="preserve"> Are there Ethnic Enclaves in English Cities? </w:t>
      </w:r>
      <w:r w:rsidRPr="00B3651E">
        <w:rPr>
          <w:rFonts w:cs="Arial"/>
          <w:i/>
          <w:sz w:val="24"/>
          <w:szCs w:val="24"/>
          <w:lang w:val="en-GB"/>
        </w:rPr>
        <w:t>Urban Studies</w:t>
      </w:r>
      <w:r w:rsidRPr="00B3651E">
        <w:rPr>
          <w:rFonts w:cs="Arial"/>
          <w:sz w:val="24"/>
          <w:szCs w:val="24"/>
          <w:lang w:val="en-GB"/>
        </w:rPr>
        <w:t xml:space="preserve"> 39:591-618</w:t>
      </w:r>
      <w:r>
        <w:rPr>
          <w:rFonts w:cs="Arial"/>
          <w:sz w:val="24"/>
          <w:szCs w:val="24"/>
          <w:lang w:val="en-GB"/>
        </w:rPr>
        <w:t>.</w:t>
      </w:r>
    </w:p>
    <w:p w:rsidR="00E67A3F" w:rsidRPr="00B3651E"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spellStart"/>
      <w:r w:rsidRPr="00B3651E">
        <w:rPr>
          <w:rFonts w:cs="Arial"/>
          <w:sz w:val="24"/>
          <w:szCs w:val="24"/>
          <w:lang w:val="en-GB"/>
        </w:rPr>
        <w:t>Juntto</w:t>
      </w:r>
      <w:proofErr w:type="spellEnd"/>
      <w:r w:rsidRPr="00B3651E">
        <w:rPr>
          <w:rFonts w:cs="Arial"/>
          <w:sz w:val="24"/>
          <w:szCs w:val="24"/>
          <w:lang w:val="en-GB"/>
        </w:rPr>
        <w:t xml:space="preserve"> A. (1992) Post-Industrial Housing Crisis: </w:t>
      </w:r>
      <w:smartTag w:uri="urn:schemas-microsoft-com:office:smarttags" w:element="City">
        <w:smartTag w:uri="urn:schemas-microsoft-com:office:smarttags" w:element="place">
          <w:smartTag w:uri="urn:schemas-microsoft-com:office:smarttags" w:element="country-region">
            <w:r w:rsidRPr="00B3651E">
              <w:rPr>
                <w:rFonts w:cs="Arial"/>
                <w:sz w:val="24"/>
                <w:szCs w:val="24"/>
                <w:lang w:val="en-GB"/>
              </w:rPr>
              <w:t>Finland</w:t>
            </w:r>
          </w:smartTag>
        </w:smartTag>
      </w:smartTag>
      <w:r w:rsidRPr="00B3651E">
        <w:rPr>
          <w:rFonts w:cs="Arial"/>
          <w:sz w:val="24"/>
          <w:szCs w:val="24"/>
          <w:lang w:val="en-GB"/>
        </w:rPr>
        <w:t xml:space="preserve"> as a Case Study. In: L. J. </w:t>
      </w:r>
      <w:proofErr w:type="spellStart"/>
      <w:r w:rsidRPr="00B3651E">
        <w:rPr>
          <w:rFonts w:cs="Arial"/>
          <w:sz w:val="24"/>
          <w:szCs w:val="24"/>
          <w:lang w:val="en-GB"/>
        </w:rPr>
        <w:t>Lundqvist</w:t>
      </w:r>
      <w:proofErr w:type="spellEnd"/>
      <w:r w:rsidRPr="00B3651E">
        <w:rPr>
          <w:rFonts w:cs="Arial"/>
          <w:sz w:val="24"/>
          <w:szCs w:val="24"/>
          <w:lang w:val="en-GB"/>
        </w:rPr>
        <w:t xml:space="preserve"> (Ed.):</w:t>
      </w:r>
      <w:r>
        <w:rPr>
          <w:rFonts w:cs="Arial"/>
          <w:sz w:val="24"/>
          <w:szCs w:val="24"/>
          <w:lang w:val="en-GB"/>
        </w:rPr>
        <w:t xml:space="preserve"> </w:t>
      </w:r>
      <w:r w:rsidRPr="00B3651E">
        <w:rPr>
          <w:rFonts w:cs="Arial"/>
          <w:sz w:val="24"/>
          <w:szCs w:val="24"/>
          <w:lang w:val="en-GB"/>
        </w:rPr>
        <w:t xml:space="preserve">Policy, organization, tenure. A comparative history of housing in small welfare states, </w:t>
      </w:r>
      <w:r w:rsidRPr="00B3651E">
        <w:rPr>
          <w:rFonts w:cs="Arial"/>
          <w:i/>
          <w:iCs/>
          <w:sz w:val="24"/>
          <w:szCs w:val="24"/>
          <w:lang w:val="en-GB"/>
        </w:rPr>
        <w:t>Scandinavian</w:t>
      </w:r>
      <w:r>
        <w:rPr>
          <w:rFonts w:cs="Arial"/>
          <w:i/>
          <w:iCs/>
          <w:sz w:val="24"/>
          <w:szCs w:val="24"/>
          <w:lang w:val="en-GB"/>
        </w:rPr>
        <w:t xml:space="preserve"> </w:t>
      </w:r>
      <w:r w:rsidRPr="00B3651E">
        <w:rPr>
          <w:rFonts w:cs="Arial"/>
          <w:i/>
          <w:iCs/>
          <w:sz w:val="24"/>
          <w:szCs w:val="24"/>
          <w:lang w:val="en-GB"/>
        </w:rPr>
        <w:t>Housing and Planning Research</w:t>
      </w:r>
      <w:r w:rsidRPr="00B3651E">
        <w:rPr>
          <w:rFonts w:cs="Arial"/>
          <w:sz w:val="24"/>
          <w:szCs w:val="24"/>
          <w:lang w:val="en-GB"/>
        </w:rPr>
        <w:t>, Supplement no. 2, pp. 47- 59.</w:t>
      </w:r>
    </w:p>
    <w:p w:rsidR="00E67A3F" w:rsidRPr="00B3651E" w:rsidRDefault="00E67A3F" w:rsidP="00E67A3F">
      <w:pPr>
        <w:rPr>
          <w:rFonts w:cs="Arial"/>
          <w:sz w:val="24"/>
          <w:szCs w:val="24"/>
          <w:lang w:val="en-GB"/>
        </w:rPr>
      </w:pPr>
    </w:p>
    <w:p w:rsidR="00E67A3F" w:rsidRDefault="00E67A3F" w:rsidP="00E67A3F">
      <w:pPr>
        <w:rPr>
          <w:rFonts w:cs="Arial"/>
          <w:sz w:val="24"/>
          <w:szCs w:val="24"/>
          <w:lang w:val="en-GB"/>
        </w:rPr>
      </w:pPr>
      <w:proofErr w:type="gramStart"/>
      <w:r w:rsidRPr="00B3651E">
        <w:rPr>
          <w:rFonts w:cs="Arial"/>
          <w:sz w:val="24"/>
          <w:szCs w:val="24"/>
          <w:lang w:val="en-GB"/>
        </w:rPr>
        <w:t>van</w:t>
      </w:r>
      <w:proofErr w:type="gramEnd"/>
      <w:r w:rsidRPr="00B3651E">
        <w:rPr>
          <w:rFonts w:cs="Arial"/>
          <w:sz w:val="24"/>
          <w:szCs w:val="24"/>
          <w:lang w:val="en-GB"/>
        </w:rPr>
        <w:t xml:space="preserve"> </w:t>
      </w:r>
      <w:proofErr w:type="spellStart"/>
      <w:r w:rsidRPr="00B3651E">
        <w:rPr>
          <w:rFonts w:cs="Arial"/>
          <w:sz w:val="24"/>
          <w:szCs w:val="24"/>
          <w:lang w:val="en-GB"/>
        </w:rPr>
        <w:t>Kempen</w:t>
      </w:r>
      <w:proofErr w:type="spellEnd"/>
      <w:r w:rsidRPr="00B3651E">
        <w:rPr>
          <w:rFonts w:cs="Arial"/>
          <w:sz w:val="24"/>
          <w:szCs w:val="24"/>
          <w:lang w:val="en-GB"/>
        </w:rPr>
        <w:t xml:space="preserve">, R. (2003) </w:t>
      </w:r>
      <w:r w:rsidRPr="00B3651E">
        <w:rPr>
          <w:rFonts w:cs="Arial"/>
          <w:i/>
          <w:iCs/>
          <w:sz w:val="24"/>
          <w:szCs w:val="24"/>
          <w:lang w:val="en-GB"/>
        </w:rPr>
        <w:t xml:space="preserve">Segregation and Housing Conditions of Immigrants in Western European Cities. </w:t>
      </w:r>
      <w:proofErr w:type="spellStart"/>
      <w:r w:rsidRPr="00B3651E">
        <w:rPr>
          <w:rFonts w:cs="Arial"/>
          <w:sz w:val="24"/>
          <w:szCs w:val="24"/>
          <w:lang w:val="en-GB"/>
        </w:rPr>
        <w:t>Eurex</w:t>
      </w:r>
      <w:proofErr w:type="spellEnd"/>
      <w:r w:rsidRPr="00B3651E">
        <w:rPr>
          <w:rFonts w:cs="Arial"/>
          <w:sz w:val="24"/>
          <w:szCs w:val="24"/>
          <w:lang w:val="en-GB"/>
        </w:rPr>
        <w:t xml:space="preserve"> Lecture 7 – March 13th 2003. Located on</w:t>
      </w:r>
      <w:r w:rsidRPr="00B3651E">
        <w:rPr>
          <w:rFonts w:cs="Arial"/>
          <w:color w:val="000000"/>
          <w:sz w:val="24"/>
          <w:szCs w:val="24"/>
          <w:lang w:val="en-GB"/>
        </w:rPr>
        <w:t xml:space="preserve">: </w:t>
      </w:r>
      <w:hyperlink r:id="rId12" w:history="1">
        <w:r w:rsidRPr="00F16DFF">
          <w:rPr>
            <w:rStyle w:val="Hyperlink"/>
            <w:rFonts w:cs="Arial"/>
            <w:sz w:val="24"/>
            <w:szCs w:val="24"/>
            <w:lang w:val="en-GB"/>
          </w:rPr>
          <w:t>http://www.shiva.uniurb.it/eurex/syllabus/lecture7/Lecture7-VanKempen.pdf</w:t>
        </w:r>
      </w:hyperlink>
    </w:p>
    <w:p w:rsidR="00E67A3F" w:rsidRPr="007D643F" w:rsidRDefault="00E67A3F" w:rsidP="00E67A3F">
      <w:pPr>
        <w:rPr>
          <w:rFonts w:cs="Arial"/>
          <w:sz w:val="24"/>
          <w:szCs w:val="24"/>
          <w:lang w:val="en-GB"/>
        </w:rPr>
      </w:pPr>
    </w:p>
    <w:p w:rsidR="00E67A3F" w:rsidRPr="00B3651E" w:rsidRDefault="00E67A3F" w:rsidP="00E67A3F">
      <w:pPr>
        <w:rPr>
          <w:rStyle w:val="1linie"/>
          <w:rFonts w:ascii="Arial" w:hAnsi="Arial" w:cs="Arial"/>
          <w:sz w:val="24"/>
          <w:szCs w:val="24"/>
          <w:lang w:val="da-DK" w:eastAsia="da-DK"/>
        </w:rPr>
      </w:pPr>
      <w:proofErr w:type="gramStart"/>
      <w:r w:rsidRPr="00B3651E">
        <w:rPr>
          <w:rStyle w:val="1linie"/>
          <w:rFonts w:ascii="Arial" w:hAnsi="Arial" w:cs="Arial"/>
          <w:sz w:val="24"/>
          <w:szCs w:val="24"/>
          <w:lang w:eastAsia="da-DK"/>
        </w:rPr>
        <w:lastRenderedPageBreak/>
        <w:t>Lindberg G. and A-L.</w:t>
      </w:r>
      <w:proofErr w:type="gramEnd"/>
      <w:r w:rsidRPr="00B3651E">
        <w:rPr>
          <w:rStyle w:val="1linie"/>
          <w:rFonts w:ascii="Arial" w:hAnsi="Arial" w:cs="Arial"/>
          <w:sz w:val="24"/>
          <w:szCs w:val="24"/>
          <w:lang w:eastAsia="da-DK"/>
        </w:rPr>
        <w:t xml:space="preserve"> </w:t>
      </w:r>
      <w:proofErr w:type="spellStart"/>
      <w:r w:rsidRPr="00B3651E">
        <w:rPr>
          <w:rStyle w:val="1linie"/>
          <w:rFonts w:ascii="Arial" w:hAnsi="Arial" w:cs="Arial"/>
          <w:sz w:val="24"/>
          <w:szCs w:val="24"/>
          <w:lang w:val="da-DK" w:eastAsia="da-DK"/>
        </w:rPr>
        <w:t>Lindèn</w:t>
      </w:r>
      <w:proofErr w:type="spellEnd"/>
      <w:r w:rsidRPr="00B3651E">
        <w:rPr>
          <w:rStyle w:val="1linie"/>
          <w:rFonts w:ascii="Arial" w:hAnsi="Arial" w:cs="Arial"/>
          <w:sz w:val="24"/>
          <w:szCs w:val="24"/>
          <w:lang w:val="da-DK" w:eastAsia="da-DK"/>
        </w:rPr>
        <w:t xml:space="preserve"> (1989) </w:t>
      </w:r>
      <w:r w:rsidRPr="00B3651E">
        <w:rPr>
          <w:rStyle w:val="1linie"/>
          <w:rFonts w:ascii="Arial" w:hAnsi="Arial" w:cs="Arial"/>
          <w:i/>
          <w:sz w:val="24"/>
          <w:szCs w:val="24"/>
          <w:lang w:val="da-DK" w:eastAsia="da-DK"/>
        </w:rPr>
        <w:t xml:space="preserve">Social </w:t>
      </w:r>
      <w:proofErr w:type="spellStart"/>
      <w:r w:rsidRPr="00B3651E">
        <w:rPr>
          <w:rStyle w:val="1linie"/>
          <w:rFonts w:ascii="Arial" w:hAnsi="Arial" w:cs="Arial"/>
          <w:i/>
          <w:sz w:val="24"/>
          <w:szCs w:val="24"/>
          <w:lang w:val="da-DK" w:eastAsia="da-DK"/>
        </w:rPr>
        <w:t>segmentation</w:t>
      </w:r>
      <w:proofErr w:type="spellEnd"/>
      <w:r w:rsidRPr="00B3651E">
        <w:rPr>
          <w:rStyle w:val="1linie"/>
          <w:rFonts w:ascii="Arial" w:hAnsi="Arial" w:cs="Arial"/>
          <w:i/>
          <w:sz w:val="24"/>
          <w:szCs w:val="24"/>
          <w:lang w:val="da-DK" w:eastAsia="da-DK"/>
        </w:rPr>
        <w:t xml:space="preserve"> på det svenske </w:t>
      </w:r>
      <w:proofErr w:type="spellStart"/>
      <w:r w:rsidRPr="00B3651E">
        <w:rPr>
          <w:rStyle w:val="1linie"/>
          <w:rFonts w:ascii="Arial" w:hAnsi="Arial" w:cs="Arial"/>
          <w:i/>
          <w:sz w:val="24"/>
          <w:szCs w:val="24"/>
          <w:lang w:val="da-DK" w:eastAsia="da-DK"/>
        </w:rPr>
        <w:t>bostadsmarknaden</w:t>
      </w:r>
      <w:proofErr w:type="spellEnd"/>
      <w:r w:rsidRPr="00B3651E">
        <w:rPr>
          <w:rStyle w:val="1linie"/>
          <w:rFonts w:ascii="Arial" w:hAnsi="Arial" w:cs="Arial"/>
          <w:sz w:val="24"/>
          <w:szCs w:val="24"/>
          <w:lang w:val="da-DK" w:eastAsia="da-DK"/>
        </w:rPr>
        <w:t xml:space="preserve"> (Social </w:t>
      </w:r>
      <w:proofErr w:type="spellStart"/>
      <w:r w:rsidRPr="00B3651E">
        <w:rPr>
          <w:rStyle w:val="1linie"/>
          <w:rFonts w:ascii="Arial" w:hAnsi="Arial" w:cs="Arial"/>
          <w:sz w:val="24"/>
          <w:szCs w:val="24"/>
          <w:lang w:val="da-DK" w:eastAsia="da-DK"/>
        </w:rPr>
        <w:t>Segmentation</w:t>
      </w:r>
      <w:proofErr w:type="spellEnd"/>
      <w:r w:rsidRPr="00B3651E">
        <w:rPr>
          <w:rStyle w:val="1linie"/>
          <w:rFonts w:ascii="Arial" w:hAnsi="Arial" w:cs="Arial"/>
          <w:sz w:val="24"/>
          <w:szCs w:val="24"/>
          <w:lang w:val="da-DK" w:eastAsia="da-DK"/>
        </w:rPr>
        <w:t xml:space="preserve"> on the </w:t>
      </w:r>
      <w:proofErr w:type="spellStart"/>
      <w:r w:rsidRPr="00B3651E">
        <w:rPr>
          <w:rStyle w:val="1linie"/>
          <w:rFonts w:ascii="Arial" w:hAnsi="Arial" w:cs="Arial"/>
          <w:sz w:val="24"/>
          <w:szCs w:val="24"/>
          <w:lang w:val="da-DK" w:eastAsia="da-DK"/>
        </w:rPr>
        <w:t>Swedish</w:t>
      </w:r>
      <w:proofErr w:type="spellEnd"/>
      <w:r w:rsidRPr="00B3651E">
        <w:rPr>
          <w:rStyle w:val="1linie"/>
          <w:rFonts w:ascii="Arial" w:hAnsi="Arial" w:cs="Arial"/>
          <w:sz w:val="24"/>
          <w:szCs w:val="24"/>
          <w:lang w:val="da-DK" w:eastAsia="da-DK"/>
        </w:rPr>
        <w:t xml:space="preserve"> </w:t>
      </w:r>
      <w:proofErr w:type="spellStart"/>
      <w:r w:rsidRPr="00B3651E">
        <w:rPr>
          <w:rStyle w:val="1linie"/>
          <w:rFonts w:ascii="Arial" w:hAnsi="Arial" w:cs="Arial"/>
          <w:sz w:val="24"/>
          <w:szCs w:val="24"/>
          <w:lang w:val="da-DK" w:eastAsia="da-DK"/>
        </w:rPr>
        <w:t>Housing</w:t>
      </w:r>
      <w:proofErr w:type="spellEnd"/>
      <w:r w:rsidRPr="00B3651E">
        <w:rPr>
          <w:rStyle w:val="1linie"/>
          <w:rFonts w:ascii="Arial" w:hAnsi="Arial" w:cs="Arial"/>
          <w:sz w:val="24"/>
          <w:szCs w:val="24"/>
          <w:lang w:val="da-DK" w:eastAsia="da-DK"/>
        </w:rPr>
        <w:t xml:space="preserve"> Market), Sociologiske Institutionen, Lunds Universitet.</w:t>
      </w:r>
    </w:p>
    <w:p w:rsidR="00E67A3F" w:rsidRPr="007D643F" w:rsidRDefault="00E67A3F" w:rsidP="00E67A3F">
      <w:pPr>
        <w:rPr>
          <w:rFonts w:cs="Arial"/>
          <w:sz w:val="24"/>
          <w:szCs w:val="24"/>
        </w:rPr>
      </w:pPr>
    </w:p>
    <w:p w:rsidR="00E67A3F" w:rsidRPr="00497FF8" w:rsidRDefault="00E67A3F" w:rsidP="00E67A3F">
      <w:pPr>
        <w:rPr>
          <w:rFonts w:cs="Arial"/>
          <w:sz w:val="24"/>
          <w:szCs w:val="24"/>
          <w:lang w:val="nb-NO"/>
        </w:rPr>
      </w:pPr>
      <w:proofErr w:type="spellStart"/>
      <w:proofErr w:type="gramStart"/>
      <w:r w:rsidRPr="00B3651E">
        <w:rPr>
          <w:rFonts w:cs="Arial"/>
          <w:sz w:val="24"/>
          <w:szCs w:val="24"/>
          <w:lang w:val="en-GB"/>
        </w:rPr>
        <w:t>Lujanen</w:t>
      </w:r>
      <w:proofErr w:type="spellEnd"/>
      <w:r w:rsidRPr="00B3651E">
        <w:rPr>
          <w:rFonts w:cs="Arial"/>
          <w:sz w:val="24"/>
          <w:szCs w:val="24"/>
          <w:lang w:val="en-GB"/>
        </w:rPr>
        <w:t xml:space="preserve"> M. (ed.) (2004) Housing and Housing Policy in the Nordic Countries.</w:t>
      </w:r>
      <w:proofErr w:type="gramEnd"/>
      <w:r w:rsidRPr="00B3651E">
        <w:rPr>
          <w:rFonts w:cs="Arial"/>
          <w:sz w:val="24"/>
          <w:szCs w:val="24"/>
          <w:lang w:val="en-GB"/>
        </w:rPr>
        <w:t xml:space="preserve"> </w:t>
      </w:r>
      <w:r w:rsidRPr="00497FF8">
        <w:rPr>
          <w:rFonts w:cs="Arial"/>
          <w:sz w:val="24"/>
          <w:szCs w:val="24"/>
          <w:lang w:val="nb-NO"/>
        </w:rPr>
        <w:t>Nord2004:7. Copenhagen:Nordic Council of Ministers.</w:t>
      </w:r>
    </w:p>
    <w:p w:rsidR="00E67A3F" w:rsidRPr="00497FF8" w:rsidRDefault="00E67A3F" w:rsidP="00E67A3F">
      <w:pPr>
        <w:rPr>
          <w:rFonts w:cs="Arial"/>
          <w:sz w:val="24"/>
          <w:szCs w:val="24"/>
          <w:lang w:val="nb-NO"/>
        </w:rPr>
      </w:pPr>
    </w:p>
    <w:p w:rsidR="00E67A3F" w:rsidRDefault="00E67A3F" w:rsidP="00E67A3F">
      <w:pPr>
        <w:rPr>
          <w:rFonts w:cs="Arial"/>
          <w:sz w:val="24"/>
          <w:szCs w:val="24"/>
          <w:lang w:val="en-US"/>
        </w:rPr>
      </w:pPr>
      <w:r w:rsidRPr="00497FF8">
        <w:rPr>
          <w:rFonts w:cs="Arial"/>
          <w:sz w:val="24"/>
          <w:szCs w:val="24"/>
          <w:lang w:val="en-US"/>
        </w:rPr>
        <w:t>Magnusson Turner, L</w:t>
      </w:r>
      <w:r>
        <w:rPr>
          <w:rFonts w:cs="Arial"/>
          <w:sz w:val="24"/>
          <w:szCs w:val="24"/>
          <w:lang w:val="en-US"/>
        </w:rPr>
        <w:t>.</w:t>
      </w:r>
      <w:r w:rsidRPr="00497FF8">
        <w:rPr>
          <w:rFonts w:cs="Arial"/>
          <w:sz w:val="24"/>
          <w:szCs w:val="24"/>
          <w:lang w:val="en-US"/>
        </w:rPr>
        <w:t xml:space="preserve"> (2010) Study on housing and exclusion. Country report </w:t>
      </w:r>
      <w:smartTag w:uri="urn:schemas-microsoft-com:office:smarttags" w:element="City">
        <w:smartTag w:uri="urn:schemas-microsoft-com:office:smarttags" w:element="place">
          <w:smartTag w:uri="urn:schemas-microsoft-com:office:smarttags" w:element="country-region">
            <w:r w:rsidRPr="00497FF8">
              <w:rPr>
                <w:rFonts w:cs="Arial"/>
                <w:sz w:val="24"/>
                <w:szCs w:val="24"/>
                <w:lang w:val="en-US"/>
              </w:rPr>
              <w:t>Sweden</w:t>
            </w:r>
          </w:smartTag>
        </w:smartTag>
      </w:smartTag>
      <w:r w:rsidRPr="00497FF8">
        <w:rPr>
          <w:rFonts w:cs="Arial"/>
          <w:sz w:val="24"/>
          <w:szCs w:val="24"/>
          <w:lang w:val="en-US"/>
        </w:rPr>
        <w:t xml:space="preserve">. European Commission </w:t>
      </w:r>
    </w:p>
    <w:p w:rsidR="00E67A3F" w:rsidRPr="00497FF8" w:rsidRDefault="00E67A3F" w:rsidP="00E67A3F">
      <w:pPr>
        <w:rPr>
          <w:rFonts w:cs="Arial"/>
          <w:sz w:val="24"/>
          <w:szCs w:val="24"/>
          <w:lang w:val="en-US"/>
        </w:rPr>
      </w:pPr>
    </w:p>
    <w:p w:rsidR="00E67A3F" w:rsidRPr="00EA1C82" w:rsidRDefault="00E67A3F" w:rsidP="00E67A3F">
      <w:pPr>
        <w:rPr>
          <w:rFonts w:cs="Arial"/>
          <w:sz w:val="24"/>
          <w:szCs w:val="24"/>
          <w:lang w:val="nb-NO"/>
        </w:rPr>
      </w:pPr>
      <w:r w:rsidRPr="00EA1C82">
        <w:rPr>
          <w:rFonts w:cs="Arial"/>
          <w:sz w:val="24"/>
          <w:szCs w:val="24"/>
          <w:lang w:val="nb-NO"/>
        </w:rPr>
        <w:t xml:space="preserve">Medby, P. and Å. Langsether (2007) </w:t>
      </w:r>
      <w:r w:rsidRPr="00EA1C82">
        <w:rPr>
          <w:rFonts w:cs="Arial"/>
          <w:i/>
          <w:sz w:val="24"/>
          <w:szCs w:val="24"/>
          <w:lang w:val="nb-NO"/>
        </w:rPr>
        <w:t xml:space="preserve">Den kommunale utleiesektor. </w:t>
      </w:r>
      <w:r w:rsidRPr="00EA1C82">
        <w:rPr>
          <w:rFonts w:cs="Arial"/>
          <w:sz w:val="24"/>
          <w:szCs w:val="24"/>
          <w:lang w:val="nb-NO"/>
        </w:rPr>
        <w:t>NOVA</w:t>
      </w:r>
      <w:r>
        <w:rPr>
          <w:rFonts w:cs="Arial"/>
          <w:i/>
          <w:sz w:val="24"/>
          <w:szCs w:val="24"/>
          <w:lang w:val="nb-NO"/>
        </w:rPr>
        <w:t xml:space="preserve"> </w:t>
      </w:r>
      <w:r>
        <w:rPr>
          <w:rFonts w:cs="Arial"/>
          <w:sz w:val="24"/>
          <w:szCs w:val="24"/>
          <w:lang w:val="nb-NO"/>
        </w:rPr>
        <w:t>Rapport 12/07. Oslo: NOVA and SINTEF Byggforsk.</w:t>
      </w:r>
    </w:p>
    <w:p w:rsidR="00E67A3F" w:rsidRPr="00EA1C82" w:rsidRDefault="00E67A3F" w:rsidP="00E67A3F">
      <w:pPr>
        <w:rPr>
          <w:rFonts w:cs="Arial"/>
          <w:sz w:val="24"/>
          <w:szCs w:val="24"/>
          <w:lang w:val="nb-NO"/>
        </w:rPr>
      </w:pPr>
    </w:p>
    <w:p w:rsidR="00E67A3F" w:rsidRPr="00497FF8" w:rsidRDefault="00E67A3F" w:rsidP="00E67A3F">
      <w:pPr>
        <w:rPr>
          <w:rFonts w:cs="Arial"/>
          <w:sz w:val="24"/>
          <w:szCs w:val="24"/>
          <w:lang w:val="sv-SE"/>
        </w:rPr>
      </w:pPr>
      <w:r w:rsidRPr="00B3651E">
        <w:rPr>
          <w:rFonts w:cs="Arial"/>
          <w:sz w:val="24"/>
          <w:szCs w:val="24"/>
          <w:lang w:val="en-GB"/>
        </w:rPr>
        <w:t xml:space="preserve">Ministry of Children, Equality and Social Inclusion (2010) Proposition to the </w:t>
      </w:r>
      <w:proofErr w:type="spellStart"/>
      <w:r w:rsidRPr="00B3651E">
        <w:rPr>
          <w:rFonts w:cs="Arial"/>
          <w:sz w:val="24"/>
          <w:szCs w:val="24"/>
          <w:lang w:val="en-GB"/>
        </w:rPr>
        <w:t>Storting</w:t>
      </w:r>
      <w:proofErr w:type="spellEnd"/>
      <w:r w:rsidRPr="00B3651E">
        <w:rPr>
          <w:rFonts w:cs="Arial"/>
          <w:sz w:val="24"/>
          <w:szCs w:val="24"/>
          <w:lang w:val="en-GB"/>
        </w:rPr>
        <w:t xml:space="preserve"> no. 1 (2010-2011). </w:t>
      </w:r>
      <w:r w:rsidRPr="00497FF8">
        <w:rPr>
          <w:rFonts w:cs="Arial"/>
          <w:sz w:val="24"/>
          <w:szCs w:val="24"/>
          <w:lang w:val="sv-SE"/>
        </w:rPr>
        <w:t xml:space="preserve">Oslo: </w:t>
      </w:r>
      <w:proofErr w:type="spellStart"/>
      <w:r w:rsidRPr="00497FF8">
        <w:rPr>
          <w:rFonts w:cs="Arial"/>
          <w:sz w:val="24"/>
          <w:szCs w:val="24"/>
          <w:lang w:val="sv-SE"/>
        </w:rPr>
        <w:t>Ministry</w:t>
      </w:r>
      <w:proofErr w:type="spellEnd"/>
      <w:r w:rsidRPr="00497FF8">
        <w:rPr>
          <w:rFonts w:cs="Arial"/>
          <w:sz w:val="24"/>
          <w:szCs w:val="24"/>
          <w:lang w:val="sv-SE"/>
        </w:rPr>
        <w:t xml:space="preserve"> </w:t>
      </w:r>
      <w:proofErr w:type="spellStart"/>
      <w:r w:rsidRPr="00497FF8">
        <w:rPr>
          <w:rFonts w:cs="Arial"/>
          <w:sz w:val="24"/>
          <w:szCs w:val="24"/>
          <w:lang w:val="sv-SE"/>
        </w:rPr>
        <w:t>of</w:t>
      </w:r>
      <w:proofErr w:type="spellEnd"/>
      <w:r w:rsidRPr="00497FF8">
        <w:rPr>
          <w:rFonts w:cs="Arial"/>
          <w:sz w:val="24"/>
          <w:szCs w:val="24"/>
          <w:lang w:val="sv-SE"/>
        </w:rPr>
        <w:t xml:space="preserve"> Children, </w:t>
      </w:r>
      <w:proofErr w:type="spellStart"/>
      <w:r w:rsidRPr="00497FF8">
        <w:rPr>
          <w:rFonts w:cs="Arial"/>
          <w:sz w:val="24"/>
          <w:szCs w:val="24"/>
          <w:lang w:val="sv-SE"/>
        </w:rPr>
        <w:t>Equality</w:t>
      </w:r>
      <w:proofErr w:type="spellEnd"/>
      <w:r w:rsidRPr="00497FF8">
        <w:rPr>
          <w:rFonts w:cs="Arial"/>
          <w:sz w:val="24"/>
          <w:szCs w:val="24"/>
          <w:lang w:val="sv-SE"/>
        </w:rPr>
        <w:t xml:space="preserve"> and Social </w:t>
      </w:r>
      <w:proofErr w:type="spellStart"/>
      <w:r w:rsidRPr="00497FF8">
        <w:rPr>
          <w:rFonts w:cs="Arial"/>
          <w:sz w:val="24"/>
          <w:szCs w:val="24"/>
          <w:lang w:val="sv-SE"/>
        </w:rPr>
        <w:t>Inclusion</w:t>
      </w:r>
      <w:proofErr w:type="spellEnd"/>
      <w:r w:rsidRPr="00497FF8">
        <w:rPr>
          <w:rFonts w:cs="Arial"/>
          <w:sz w:val="24"/>
          <w:szCs w:val="24"/>
          <w:lang w:val="sv-SE"/>
        </w:rPr>
        <w:t>.</w:t>
      </w:r>
    </w:p>
    <w:p w:rsidR="00E67A3F" w:rsidRPr="00497FF8" w:rsidRDefault="00E67A3F" w:rsidP="00E67A3F">
      <w:pPr>
        <w:rPr>
          <w:rFonts w:cs="Arial"/>
          <w:sz w:val="24"/>
          <w:szCs w:val="24"/>
          <w:lang w:val="sv-SE"/>
        </w:rPr>
      </w:pPr>
    </w:p>
    <w:p w:rsidR="00E67A3F" w:rsidRDefault="00E67A3F" w:rsidP="00E67A3F">
      <w:pPr>
        <w:rPr>
          <w:rFonts w:cs="Arial"/>
          <w:sz w:val="24"/>
          <w:szCs w:val="24"/>
          <w:lang w:val="en-US"/>
        </w:rPr>
      </w:pPr>
      <w:proofErr w:type="spellStart"/>
      <w:r w:rsidRPr="00497FF8">
        <w:rPr>
          <w:rFonts w:cs="Arial"/>
          <w:sz w:val="24"/>
          <w:szCs w:val="24"/>
          <w:lang w:val="sv-SE"/>
        </w:rPr>
        <w:t>Molina</w:t>
      </w:r>
      <w:proofErr w:type="spellEnd"/>
      <w:r w:rsidRPr="00497FF8">
        <w:rPr>
          <w:rFonts w:cs="Arial"/>
          <w:sz w:val="24"/>
          <w:szCs w:val="24"/>
          <w:lang w:val="sv-SE"/>
        </w:rPr>
        <w:t>, I</w:t>
      </w:r>
      <w:r>
        <w:rPr>
          <w:rFonts w:cs="Arial"/>
          <w:sz w:val="24"/>
          <w:szCs w:val="24"/>
          <w:lang w:val="sv-SE"/>
        </w:rPr>
        <w:t>.</w:t>
      </w:r>
      <w:r w:rsidRPr="00497FF8">
        <w:rPr>
          <w:rFonts w:cs="Arial"/>
          <w:sz w:val="24"/>
          <w:szCs w:val="24"/>
          <w:lang w:val="sv-SE"/>
        </w:rPr>
        <w:t xml:space="preserve"> (2010) Nedslag i diskriminering på bostadsmarknaden. </w:t>
      </w:r>
      <w:proofErr w:type="gramStart"/>
      <w:r w:rsidRPr="00497FF8">
        <w:rPr>
          <w:rFonts w:cs="Arial"/>
          <w:sz w:val="24"/>
          <w:szCs w:val="24"/>
          <w:lang w:val="en-US"/>
        </w:rPr>
        <w:t>Unpublished report to the Equality Ombudsman (DO).</w:t>
      </w:r>
      <w:proofErr w:type="gramEnd"/>
      <w:r w:rsidRPr="00497FF8">
        <w:rPr>
          <w:rFonts w:cs="Arial"/>
          <w:sz w:val="24"/>
          <w:szCs w:val="24"/>
          <w:lang w:val="en-US"/>
        </w:rPr>
        <w:t xml:space="preserve"> </w:t>
      </w:r>
    </w:p>
    <w:p w:rsidR="008F37A2" w:rsidRPr="00497FF8" w:rsidRDefault="008F37A2" w:rsidP="00E67A3F">
      <w:pPr>
        <w:rPr>
          <w:rFonts w:cs="Arial"/>
          <w:sz w:val="24"/>
          <w:szCs w:val="24"/>
          <w:lang w:val="en-US"/>
        </w:rPr>
      </w:pPr>
    </w:p>
    <w:p w:rsidR="00E67A3F" w:rsidRPr="00B3651E" w:rsidRDefault="00E67A3F" w:rsidP="00E67A3F">
      <w:pPr>
        <w:autoSpaceDE w:val="0"/>
        <w:autoSpaceDN w:val="0"/>
        <w:adjustRightInd w:val="0"/>
        <w:rPr>
          <w:rFonts w:cs="Arial"/>
          <w:sz w:val="24"/>
          <w:szCs w:val="24"/>
          <w:lang w:val="en-GB"/>
        </w:rPr>
      </w:pPr>
      <w:proofErr w:type="spellStart"/>
      <w:r w:rsidRPr="00B3651E">
        <w:rPr>
          <w:rFonts w:cs="Arial"/>
          <w:sz w:val="24"/>
          <w:szCs w:val="24"/>
          <w:lang w:val="en-GB"/>
        </w:rPr>
        <w:t>Murdie</w:t>
      </w:r>
      <w:proofErr w:type="spellEnd"/>
      <w:r w:rsidRPr="00B3651E">
        <w:rPr>
          <w:rFonts w:cs="Arial"/>
          <w:sz w:val="24"/>
          <w:szCs w:val="24"/>
          <w:lang w:val="en-GB"/>
        </w:rPr>
        <w:t xml:space="preserve">, R. A. (2002) The Housing Careers of Polish and Somali Newcomers in </w:t>
      </w:r>
      <w:smartTag w:uri="urn:schemas-microsoft-com:office:smarttags" w:element="City">
        <w:smartTag w:uri="urn:schemas-microsoft-com:office:smarttags" w:element="place">
          <w:r w:rsidRPr="00B3651E">
            <w:rPr>
              <w:rFonts w:cs="Arial"/>
              <w:sz w:val="24"/>
              <w:szCs w:val="24"/>
              <w:lang w:val="en-GB"/>
            </w:rPr>
            <w:t>Toronto</w:t>
          </w:r>
        </w:smartTag>
      </w:smartTag>
      <w:r w:rsidRPr="00B3651E">
        <w:rPr>
          <w:rFonts w:cs="Arial"/>
          <w:sz w:val="24"/>
          <w:szCs w:val="24"/>
          <w:lang w:val="en-GB"/>
        </w:rPr>
        <w:t xml:space="preserve">’s Rental Market. </w:t>
      </w:r>
      <w:r w:rsidRPr="00B3651E">
        <w:rPr>
          <w:rFonts w:cs="Arial"/>
          <w:i/>
          <w:iCs/>
          <w:sz w:val="24"/>
          <w:szCs w:val="24"/>
          <w:lang w:val="en-GB"/>
        </w:rPr>
        <w:t xml:space="preserve">Housing Studies, </w:t>
      </w:r>
      <w:r w:rsidRPr="00B3651E">
        <w:rPr>
          <w:rFonts w:cs="Arial"/>
          <w:sz w:val="24"/>
          <w:szCs w:val="24"/>
          <w:lang w:val="en-GB"/>
        </w:rPr>
        <w:t>17 (3), 423-443.</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r w:rsidRPr="00B3651E">
        <w:rPr>
          <w:rFonts w:cs="Arial"/>
          <w:sz w:val="24"/>
          <w:szCs w:val="24"/>
          <w:lang w:val="en-GB"/>
        </w:rPr>
        <w:t>Musterd</w:t>
      </w:r>
      <w:proofErr w:type="spellEnd"/>
      <w:r w:rsidRPr="00B3651E">
        <w:rPr>
          <w:rFonts w:cs="Arial"/>
          <w:sz w:val="24"/>
          <w:szCs w:val="24"/>
          <w:lang w:val="en-GB"/>
        </w:rPr>
        <w:t xml:space="preserve"> S. (2005) Social and Ethnic Segregation in </w:t>
      </w:r>
      <w:smartTag w:uri="urn:schemas-microsoft-com:office:smarttags" w:element="place">
        <w:r w:rsidRPr="00B3651E">
          <w:rPr>
            <w:rFonts w:cs="Arial"/>
            <w:sz w:val="24"/>
            <w:szCs w:val="24"/>
            <w:lang w:val="en-GB"/>
          </w:rPr>
          <w:t>Europe</w:t>
        </w:r>
      </w:smartTag>
      <w:r w:rsidRPr="00B3651E">
        <w:rPr>
          <w:rFonts w:cs="Arial"/>
          <w:sz w:val="24"/>
          <w:szCs w:val="24"/>
          <w:lang w:val="en-GB"/>
        </w:rPr>
        <w:t xml:space="preserve">: Levels, Causes and Effects. </w:t>
      </w:r>
      <w:r w:rsidRPr="00B3651E">
        <w:rPr>
          <w:rFonts w:cs="Arial"/>
          <w:i/>
          <w:sz w:val="24"/>
          <w:szCs w:val="24"/>
          <w:lang w:val="en-GB"/>
        </w:rPr>
        <w:t>Journal of Urban Affairs</w:t>
      </w:r>
      <w:r w:rsidRPr="00B3651E">
        <w:rPr>
          <w:rFonts w:cs="Arial"/>
          <w:sz w:val="24"/>
          <w:szCs w:val="24"/>
          <w:lang w:val="en-GB"/>
        </w:rPr>
        <w:t>, Volume 27, Number 3, pages 331–348.</w:t>
      </w:r>
    </w:p>
    <w:p w:rsidR="00E67A3F" w:rsidRPr="00B3651E" w:rsidRDefault="00E67A3F" w:rsidP="00E67A3F">
      <w:pPr>
        <w:rPr>
          <w:rFonts w:cs="Arial"/>
          <w:sz w:val="24"/>
          <w:szCs w:val="24"/>
          <w:lang w:val="en-GB"/>
        </w:rPr>
      </w:pPr>
    </w:p>
    <w:p w:rsidR="00E67A3F" w:rsidRPr="00497FF8" w:rsidRDefault="00E67A3F" w:rsidP="00E67A3F">
      <w:pPr>
        <w:autoSpaceDE w:val="0"/>
        <w:autoSpaceDN w:val="0"/>
        <w:adjustRightInd w:val="0"/>
        <w:rPr>
          <w:rFonts w:cs="Arial"/>
          <w:sz w:val="24"/>
          <w:szCs w:val="24"/>
          <w:lang w:val="sv-SE"/>
        </w:rPr>
      </w:pPr>
      <w:proofErr w:type="spellStart"/>
      <w:r w:rsidRPr="00B3651E">
        <w:rPr>
          <w:rFonts w:cs="Arial"/>
          <w:sz w:val="24"/>
          <w:szCs w:val="24"/>
          <w:lang w:val="en-GB"/>
        </w:rPr>
        <w:t>Musterd</w:t>
      </w:r>
      <w:proofErr w:type="spellEnd"/>
      <w:r w:rsidRPr="00B3651E">
        <w:rPr>
          <w:rFonts w:cs="Arial"/>
          <w:sz w:val="24"/>
          <w:szCs w:val="24"/>
          <w:lang w:val="en-GB"/>
        </w:rPr>
        <w:t xml:space="preserve">, S., </w:t>
      </w:r>
      <w:proofErr w:type="spellStart"/>
      <w:r w:rsidRPr="00B3651E">
        <w:rPr>
          <w:rFonts w:cs="Arial"/>
          <w:sz w:val="24"/>
          <w:szCs w:val="24"/>
          <w:lang w:val="en-GB"/>
        </w:rPr>
        <w:t>Ostendorf</w:t>
      </w:r>
      <w:proofErr w:type="spellEnd"/>
      <w:r w:rsidRPr="00B3651E">
        <w:rPr>
          <w:rFonts w:cs="Arial"/>
          <w:sz w:val="24"/>
          <w:szCs w:val="24"/>
          <w:lang w:val="en-GB"/>
        </w:rPr>
        <w:t xml:space="preserve">, W. </w:t>
      </w:r>
      <w:r>
        <w:rPr>
          <w:rFonts w:cs="Arial"/>
          <w:sz w:val="24"/>
          <w:szCs w:val="24"/>
          <w:lang w:val="en-GB"/>
        </w:rPr>
        <w:t>and</w:t>
      </w:r>
      <w:r w:rsidRPr="00B3651E">
        <w:rPr>
          <w:rFonts w:cs="Arial"/>
          <w:sz w:val="24"/>
          <w:szCs w:val="24"/>
          <w:lang w:val="en-GB"/>
        </w:rPr>
        <w:t xml:space="preserve"> </w:t>
      </w:r>
      <w:proofErr w:type="spellStart"/>
      <w:r w:rsidRPr="00B3651E">
        <w:rPr>
          <w:rFonts w:cs="Arial"/>
          <w:sz w:val="24"/>
          <w:szCs w:val="24"/>
          <w:lang w:val="en-GB"/>
        </w:rPr>
        <w:t>Breebaart</w:t>
      </w:r>
      <w:proofErr w:type="spellEnd"/>
      <w:r w:rsidRPr="00B3651E">
        <w:rPr>
          <w:rFonts w:cs="Arial"/>
          <w:sz w:val="24"/>
          <w:szCs w:val="24"/>
          <w:lang w:val="en-GB"/>
        </w:rPr>
        <w:t xml:space="preserve">, M. (1998) </w:t>
      </w:r>
      <w:r w:rsidRPr="00B3651E">
        <w:rPr>
          <w:rFonts w:cs="Arial"/>
          <w:i/>
          <w:sz w:val="24"/>
          <w:szCs w:val="24"/>
          <w:lang w:val="en-GB"/>
        </w:rPr>
        <w:t>Multi-ethnic Metropolis: Patterns and Policies.</w:t>
      </w:r>
      <w:r w:rsidRPr="00B3651E">
        <w:rPr>
          <w:rFonts w:cs="Arial"/>
          <w:sz w:val="24"/>
          <w:szCs w:val="24"/>
          <w:lang w:val="en-GB"/>
        </w:rPr>
        <w:t xml:space="preserve"> </w:t>
      </w:r>
      <w:r w:rsidRPr="00497FF8">
        <w:rPr>
          <w:rFonts w:cs="Arial"/>
          <w:sz w:val="24"/>
          <w:szCs w:val="24"/>
          <w:lang w:val="sv-SE"/>
        </w:rPr>
        <w:t xml:space="preserve">Dordrecht: </w:t>
      </w:r>
      <w:proofErr w:type="spellStart"/>
      <w:r w:rsidRPr="00497FF8">
        <w:rPr>
          <w:rFonts w:cs="Arial"/>
          <w:sz w:val="24"/>
          <w:szCs w:val="24"/>
          <w:lang w:val="sv-SE"/>
        </w:rPr>
        <w:t>Kluwer</w:t>
      </w:r>
      <w:proofErr w:type="spellEnd"/>
      <w:r w:rsidRPr="00497FF8">
        <w:rPr>
          <w:rFonts w:cs="Arial"/>
          <w:sz w:val="24"/>
          <w:szCs w:val="24"/>
          <w:lang w:val="sv-SE"/>
        </w:rPr>
        <w:t xml:space="preserve"> </w:t>
      </w:r>
      <w:proofErr w:type="spellStart"/>
      <w:r w:rsidRPr="00497FF8">
        <w:rPr>
          <w:rFonts w:cs="Arial"/>
          <w:sz w:val="24"/>
          <w:szCs w:val="24"/>
          <w:lang w:val="sv-SE"/>
        </w:rPr>
        <w:t>Publications</w:t>
      </w:r>
      <w:proofErr w:type="spellEnd"/>
      <w:r w:rsidRPr="00497FF8">
        <w:rPr>
          <w:rFonts w:cs="Arial"/>
          <w:sz w:val="24"/>
          <w:szCs w:val="24"/>
          <w:lang w:val="sv-SE"/>
        </w:rPr>
        <w:t>.</w:t>
      </w:r>
    </w:p>
    <w:p w:rsidR="00E67A3F" w:rsidRPr="00497FF8" w:rsidRDefault="00E67A3F" w:rsidP="00E67A3F">
      <w:pPr>
        <w:rPr>
          <w:rFonts w:cs="Arial"/>
          <w:sz w:val="24"/>
          <w:szCs w:val="24"/>
          <w:lang w:val="sv-SE"/>
        </w:rPr>
      </w:pPr>
    </w:p>
    <w:p w:rsidR="00E67A3F" w:rsidRPr="00497FF8" w:rsidRDefault="00E67A3F" w:rsidP="00E67A3F">
      <w:pPr>
        <w:rPr>
          <w:rFonts w:cs="Arial"/>
          <w:sz w:val="24"/>
          <w:szCs w:val="24"/>
          <w:lang w:val="sv-SE"/>
        </w:rPr>
      </w:pPr>
      <w:r w:rsidRPr="00497FF8">
        <w:rPr>
          <w:rFonts w:cs="Arial"/>
          <w:sz w:val="24"/>
          <w:szCs w:val="24"/>
          <w:lang w:val="sv-SE"/>
        </w:rPr>
        <w:t xml:space="preserve">Niva M. (1989) Bostad, politik och marknad. Stockholm: Nordisk Institut för Samhällsplanering. </w:t>
      </w:r>
    </w:p>
    <w:p w:rsidR="00E67A3F" w:rsidRPr="00497FF8" w:rsidRDefault="00E67A3F" w:rsidP="00E67A3F">
      <w:pPr>
        <w:rPr>
          <w:rFonts w:cs="Arial"/>
          <w:sz w:val="24"/>
          <w:szCs w:val="24"/>
          <w:lang w:val="sv-SE"/>
        </w:rPr>
      </w:pPr>
    </w:p>
    <w:p w:rsidR="00E67A3F" w:rsidRPr="00EA1C82" w:rsidRDefault="00E67A3F" w:rsidP="00E67A3F">
      <w:pPr>
        <w:autoSpaceDE w:val="0"/>
        <w:autoSpaceDN w:val="0"/>
        <w:adjustRightInd w:val="0"/>
        <w:rPr>
          <w:rFonts w:cs="Arial"/>
          <w:sz w:val="24"/>
          <w:szCs w:val="24"/>
          <w:lang w:val="nb-NO"/>
        </w:rPr>
      </w:pPr>
      <w:r w:rsidRPr="00CD1CBB">
        <w:rPr>
          <w:rFonts w:cs="Arial"/>
          <w:iCs/>
          <w:sz w:val="24"/>
          <w:szCs w:val="24"/>
          <w:lang w:val="nb-NO"/>
        </w:rPr>
        <w:t>Normann T. M, Rønning E. and Nørgaard E.</w:t>
      </w:r>
      <w:r w:rsidRPr="00CD1CBB">
        <w:rPr>
          <w:rFonts w:cs="Arial"/>
          <w:sz w:val="24"/>
          <w:szCs w:val="24"/>
          <w:lang w:val="nb-NO"/>
        </w:rPr>
        <w:t xml:space="preserve"> (2009) </w:t>
      </w:r>
      <w:proofErr w:type="spellStart"/>
      <w:r w:rsidRPr="00B3651E">
        <w:rPr>
          <w:rFonts w:cs="Arial"/>
          <w:sz w:val="24"/>
          <w:szCs w:val="24"/>
        </w:rPr>
        <w:t>Utfordringer</w:t>
      </w:r>
      <w:proofErr w:type="spellEnd"/>
      <w:r w:rsidRPr="00B3651E">
        <w:rPr>
          <w:rFonts w:cs="Arial"/>
          <w:sz w:val="24"/>
          <w:szCs w:val="24"/>
        </w:rPr>
        <w:t xml:space="preserve"> for den nordiske </w:t>
      </w:r>
      <w:proofErr w:type="spellStart"/>
      <w:r w:rsidRPr="00B3651E">
        <w:rPr>
          <w:rFonts w:cs="Arial"/>
          <w:sz w:val="24"/>
          <w:szCs w:val="24"/>
        </w:rPr>
        <w:t>velferdsstaten</w:t>
      </w:r>
      <w:proofErr w:type="spellEnd"/>
      <w:r w:rsidRPr="00B3651E">
        <w:rPr>
          <w:rFonts w:cs="Arial"/>
          <w:sz w:val="24"/>
          <w:szCs w:val="24"/>
        </w:rPr>
        <w:t xml:space="preserve"> - </w:t>
      </w:r>
      <w:proofErr w:type="spellStart"/>
      <w:r w:rsidRPr="00B3651E">
        <w:rPr>
          <w:rFonts w:cs="Arial"/>
          <w:sz w:val="24"/>
          <w:szCs w:val="24"/>
        </w:rPr>
        <w:t>sammenlignbare</w:t>
      </w:r>
      <w:proofErr w:type="spellEnd"/>
      <w:r w:rsidRPr="00B3651E">
        <w:rPr>
          <w:rFonts w:cs="Arial"/>
          <w:sz w:val="24"/>
          <w:szCs w:val="24"/>
        </w:rPr>
        <w:t xml:space="preserve"> indikatorer. </w:t>
      </w:r>
      <w:r w:rsidRPr="00EA1C82">
        <w:rPr>
          <w:rFonts w:cs="Arial"/>
          <w:sz w:val="24"/>
          <w:szCs w:val="24"/>
          <w:lang w:val="nb-NO"/>
        </w:rPr>
        <w:t xml:space="preserve">Copenhagen: </w:t>
      </w:r>
      <w:r w:rsidRPr="00EA1C82">
        <w:rPr>
          <w:rFonts w:cs="Arial"/>
          <w:b/>
          <w:bCs/>
          <w:color w:val="666666"/>
          <w:sz w:val="24"/>
          <w:szCs w:val="24"/>
          <w:lang w:val="nb-NO"/>
        </w:rPr>
        <w:t xml:space="preserve">Nordic Social-Statistical Committee </w:t>
      </w:r>
      <w:r w:rsidRPr="00EA1C82">
        <w:rPr>
          <w:rFonts w:cs="Arial"/>
          <w:sz w:val="24"/>
          <w:szCs w:val="24"/>
          <w:lang w:val="nb-NO"/>
        </w:rPr>
        <w:t>(NOSOSKO)</w:t>
      </w:r>
      <w:r>
        <w:rPr>
          <w:rFonts w:cs="Arial"/>
          <w:sz w:val="24"/>
          <w:szCs w:val="24"/>
          <w:lang w:val="nb-NO"/>
        </w:rPr>
        <w:t>.</w:t>
      </w:r>
    </w:p>
    <w:p w:rsidR="00E67A3F" w:rsidRPr="00EA1C82" w:rsidRDefault="00E67A3F" w:rsidP="00E67A3F">
      <w:pPr>
        <w:autoSpaceDE w:val="0"/>
        <w:autoSpaceDN w:val="0"/>
        <w:adjustRightInd w:val="0"/>
        <w:rPr>
          <w:rFonts w:cs="Arial"/>
          <w:sz w:val="24"/>
          <w:szCs w:val="24"/>
          <w:lang w:val="nb-NO"/>
        </w:rPr>
      </w:pPr>
    </w:p>
    <w:p w:rsidR="00E67A3F" w:rsidRPr="00CD1CBB" w:rsidRDefault="00E67A3F" w:rsidP="00E67A3F">
      <w:pPr>
        <w:autoSpaceDE w:val="0"/>
        <w:autoSpaceDN w:val="0"/>
        <w:adjustRightInd w:val="0"/>
        <w:rPr>
          <w:rFonts w:cs="Arial"/>
          <w:sz w:val="24"/>
          <w:szCs w:val="24"/>
          <w:lang w:val="nb-NO"/>
        </w:rPr>
      </w:pPr>
      <w:r w:rsidRPr="00CD1CBB">
        <w:rPr>
          <w:rFonts w:cs="Arial"/>
          <w:sz w:val="24"/>
          <w:szCs w:val="24"/>
          <w:lang w:val="nb-NO"/>
        </w:rPr>
        <w:t>Nordvik, V. (1996) Mot et mer ustabilt leiemarked.</w:t>
      </w:r>
      <w:r>
        <w:rPr>
          <w:rFonts w:cs="Arial"/>
          <w:i/>
          <w:sz w:val="24"/>
          <w:szCs w:val="24"/>
          <w:lang w:val="nb-NO"/>
        </w:rPr>
        <w:t xml:space="preserve">Samfunnsspeilet, </w:t>
      </w:r>
      <w:r>
        <w:rPr>
          <w:rFonts w:cs="Arial"/>
          <w:sz w:val="24"/>
          <w:szCs w:val="24"/>
          <w:lang w:val="nb-NO"/>
        </w:rPr>
        <w:t xml:space="preserve">No. 4, pp. 15-18. </w:t>
      </w:r>
    </w:p>
    <w:p w:rsidR="00E67A3F" w:rsidRPr="00CD1CBB" w:rsidRDefault="00E67A3F" w:rsidP="00E67A3F">
      <w:pPr>
        <w:rPr>
          <w:rFonts w:cs="Arial"/>
          <w:sz w:val="24"/>
          <w:szCs w:val="24"/>
          <w:lang w:val="nb-NO"/>
        </w:rPr>
      </w:pPr>
    </w:p>
    <w:p w:rsidR="00E67A3F" w:rsidRDefault="00E67A3F" w:rsidP="00E67A3F">
      <w:pPr>
        <w:rPr>
          <w:rFonts w:cs="Arial"/>
          <w:sz w:val="24"/>
          <w:szCs w:val="24"/>
          <w:lang w:val="en-GB"/>
        </w:rPr>
      </w:pPr>
      <w:proofErr w:type="gramStart"/>
      <w:r w:rsidRPr="00B3651E">
        <w:rPr>
          <w:rFonts w:cs="Arial"/>
          <w:sz w:val="24"/>
          <w:szCs w:val="24"/>
          <w:lang w:val="en-GB"/>
        </w:rPr>
        <w:t xml:space="preserve">Peach, C. (1998) South Asian and Caribbean ethnic minority housing choice in Britain, </w:t>
      </w:r>
      <w:r w:rsidRPr="00B3651E">
        <w:rPr>
          <w:rFonts w:cs="Arial"/>
          <w:i/>
          <w:sz w:val="24"/>
          <w:szCs w:val="24"/>
          <w:lang w:val="en-GB"/>
        </w:rPr>
        <w:t>Urban Studies</w:t>
      </w:r>
      <w:r w:rsidRPr="00B3651E">
        <w:rPr>
          <w:rFonts w:cs="Arial"/>
          <w:sz w:val="24"/>
          <w:szCs w:val="24"/>
          <w:lang w:val="en-GB"/>
        </w:rPr>
        <w:t>, 35(10), pp. 1657–1680.</w:t>
      </w:r>
      <w:proofErr w:type="gramEnd"/>
    </w:p>
    <w:p w:rsidR="00E67A3F" w:rsidRDefault="00E67A3F" w:rsidP="00E67A3F">
      <w:pPr>
        <w:rPr>
          <w:rFonts w:cs="Arial"/>
          <w:sz w:val="24"/>
          <w:szCs w:val="24"/>
          <w:lang w:val="en-GB"/>
        </w:rPr>
      </w:pPr>
    </w:p>
    <w:p w:rsidR="00E67A3F" w:rsidRPr="00A303EF" w:rsidRDefault="00E67A3F" w:rsidP="00E67A3F">
      <w:pPr>
        <w:rPr>
          <w:rFonts w:cs="Arial"/>
          <w:sz w:val="24"/>
          <w:szCs w:val="24"/>
          <w:lang w:val="en-GB"/>
        </w:rPr>
      </w:pPr>
      <w:r>
        <w:rPr>
          <w:rFonts w:cs="Arial"/>
          <w:sz w:val="24"/>
          <w:szCs w:val="24"/>
          <w:lang w:val="en-GB"/>
        </w:rPr>
        <w:t xml:space="preserve">Peach, C. (2005) “The Ghetto and the Ethnic Enclave” in </w:t>
      </w:r>
      <w:proofErr w:type="spellStart"/>
      <w:r>
        <w:rPr>
          <w:rFonts w:cs="Arial"/>
          <w:sz w:val="24"/>
          <w:szCs w:val="24"/>
          <w:lang w:val="en-GB"/>
        </w:rPr>
        <w:t>Varady</w:t>
      </w:r>
      <w:proofErr w:type="spellEnd"/>
      <w:r>
        <w:rPr>
          <w:rFonts w:cs="Arial"/>
          <w:sz w:val="24"/>
          <w:szCs w:val="24"/>
          <w:lang w:val="en-GB"/>
        </w:rPr>
        <w:t xml:space="preserve">, D.P. (ed.): </w:t>
      </w:r>
      <w:r>
        <w:rPr>
          <w:rFonts w:cs="Arial"/>
          <w:i/>
          <w:sz w:val="24"/>
          <w:szCs w:val="24"/>
          <w:lang w:val="en-GB"/>
        </w:rPr>
        <w:t xml:space="preserve">Desegregating the City: Ghettos, Enclaves &amp; Inequality. </w:t>
      </w:r>
      <w:proofErr w:type="gramStart"/>
      <w:r>
        <w:rPr>
          <w:rFonts w:cs="Arial"/>
          <w:sz w:val="24"/>
          <w:szCs w:val="24"/>
          <w:lang w:val="en-GB"/>
        </w:rPr>
        <w:t>Albany, State University of New York Press.</w:t>
      </w:r>
      <w:proofErr w:type="gramEnd"/>
    </w:p>
    <w:p w:rsidR="00E67A3F" w:rsidRPr="007D643F"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spellStart"/>
      <w:r w:rsidRPr="00B3651E">
        <w:rPr>
          <w:rFonts w:cs="Arial"/>
          <w:sz w:val="24"/>
          <w:szCs w:val="24"/>
          <w:lang w:val="en-GB"/>
        </w:rPr>
        <w:t>Portes</w:t>
      </w:r>
      <w:proofErr w:type="spellEnd"/>
      <w:r w:rsidRPr="00B3651E">
        <w:rPr>
          <w:rFonts w:cs="Arial"/>
          <w:sz w:val="24"/>
          <w:szCs w:val="24"/>
          <w:lang w:val="en-GB"/>
        </w:rPr>
        <w:t xml:space="preserve">, A. (1998) Social capital: its origins and applications in modern sociology, </w:t>
      </w:r>
      <w:r w:rsidRPr="00B3651E">
        <w:rPr>
          <w:rFonts w:cs="Arial"/>
          <w:i/>
          <w:sz w:val="24"/>
          <w:szCs w:val="24"/>
          <w:lang w:val="en-GB"/>
        </w:rPr>
        <w:t>Annual Review of Sociology</w:t>
      </w:r>
      <w:r w:rsidRPr="00B3651E">
        <w:rPr>
          <w:rFonts w:cs="Arial"/>
          <w:sz w:val="24"/>
          <w:szCs w:val="24"/>
          <w:lang w:val="en-GB"/>
        </w:rPr>
        <w:t>, 24, pp. 1–24.</w:t>
      </w:r>
    </w:p>
    <w:p w:rsidR="00E67A3F" w:rsidRPr="00B3651E"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spellStart"/>
      <w:r w:rsidRPr="00B3651E">
        <w:rPr>
          <w:rFonts w:cs="Arial"/>
          <w:sz w:val="24"/>
          <w:szCs w:val="24"/>
          <w:lang w:val="en-GB"/>
        </w:rPr>
        <w:lastRenderedPageBreak/>
        <w:t>Quillian</w:t>
      </w:r>
      <w:proofErr w:type="spellEnd"/>
      <w:r w:rsidRPr="00B3651E">
        <w:rPr>
          <w:rFonts w:cs="Arial"/>
          <w:sz w:val="24"/>
          <w:szCs w:val="24"/>
          <w:lang w:val="en-GB"/>
        </w:rPr>
        <w:t xml:space="preserve"> L. (2002) Why is Black–White residential segregation so persistent? </w:t>
      </w:r>
      <w:proofErr w:type="gramStart"/>
      <w:r w:rsidRPr="00B3651E">
        <w:rPr>
          <w:rFonts w:cs="Arial"/>
          <w:sz w:val="24"/>
          <w:szCs w:val="24"/>
          <w:lang w:val="en-GB"/>
        </w:rPr>
        <w:t xml:space="preserve">Evidence on three theories from migration data, </w:t>
      </w:r>
      <w:r w:rsidRPr="00B3651E">
        <w:rPr>
          <w:rFonts w:cs="Arial"/>
          <w:i/>
          <w:sz w:val="24"/>
          <w:szCs w:val="24"/>
          <w:lang w:val="en-GB"/>
        </w:rPr>
        <w:t>Social Science Research</w:t>
      </w:r>
      <w:r w:rsidRPr="00B3651E">
        <w:rPr>
          <w:rFonts w:cs="Arial"/>
          <w:sz w:val="24"/>
          <w:szCs w:val="24"/>
          <w:lang w:val="en-GB"/>
        </w:rPr>
        <w:t>, 31, pp. 197–202.</w:t>
      </w:r>
      <w:proofErr w:type="gramEnd"/>
    </w:p>
    <w:p w:rsidR="00E67A3F" w:rsidRPr="00B3651E" w:rsidRDefault="00E67A3F" w:rsidP="00E67A3F">
      <w:pPr>
        <w:rPr>
          <w:rFonts w:cs="Arial"/>
          <w:sz w:val="24"/>
          <w:szCs w:val="24"/>
          <w:lang w:val="en-GB"/>
        </w:rPr>
      </w:pPr>
    </w:p>
    <w:p w:rsidR="00E67A3F" w:rsidRDefault="00E67A3F" w:rsidP="00E67A3F">
      <w:pPr>
        <w:rPr>
          <w:rFonts w:cs="Arial"/>
          <w:snapToGrid w:val="0"/>
          <w:sz w:val="24"/>
          <w:szCs w:val="24"/>
          <w:lang w:val="en-GB"/>
        </w:rPr>
      </w:pPr>
      <w:r w:rsidRPr="00B3651E">
        <w:rPr>
          <w:rFonts w:cs="Arial"/>
          <w:snapToGrid w:val="0"/>
          <w:sz w:val="24"/>
          <w:szCs w:val="24"/>
          <w:lang w:val="en-GB"/>
        </w:rPr>
        <w:t xml:space="preserve">Rothenberg, J. et al. (1991) </w:t>
      </w:r>
      <w:proofErr w:type="gramStart"/>
      <w:r w:rsidRPr="00B3651E">
        <w:rPr>
          <w:rFonts w:cs="Arial"/>
          <w:i/>
          <w:snapToGrid w:val="0"/>
          <w:sz w:val="24"/>
          <w:szCs w:val="24"/>
          <w:lang w:val="en-GB"/>
        </w:rPr>
        <w:t>The</w:t>
      </w:r>
      <w:proofErr w:type="gramEnd"/>
      <w:r w:rsidRPr="00B3651E">
        <w:rPr>
          <w:rFonts w:cs="Arial"/>
          <w:i/>
          <w:snapToGrid w:val="0"/>
          <w:sz w:val="24"/>
          <w:szCs w:val="24"/>
          <w:lang w:val="en-GB"/>
        </w:rPr>
        <w:t xml:space="preserve"> Maze of Urban Housing Markets: Theory, Evidence and Policy</w:t>
      </w:r>
      <w:r w:rsidRPr="00B3651E">
        <w:rPr>
          <w:rFonts w:cs="Arial"/>
          <w:snapToGrid w:val="0"/>
          <w:sz w:val="24"/>
          <w:szCs w:val="24"/>
          <w:lang w:val="en-GB"/>
        </w:rPr>
        <w:t xml:space="preserve">, University Press of </w:t>
      </w:r>
      <w:smartTag w:uri="urn:schemas-microsoft-com:office:smarttags" w:element="place">
        <w:r w:rsidRPr="00B3651E">
          <w:rPr>
            <w:rFonts w:cs="Arial"/>
            <w:snapToGrid w:val="0"/>
            <w:sz w:val="24"/>
            <w:szCs w:val="24"/>
            <w:lang w:val="en-GB"/>
          </w:rPr>
          <w:t>Chicago</w:t>
        </w:r>
      </w:smartTag>
      <w:r>
        <w:rPr>
          <w:rFonts w:cs="Arial"/>
          <w:snapToGrid w:val="0"/>
          <w:sz w:val="24"/>
          <w:szCs w:val="24"/>
          <w:lang w:val="en-GB"/>
        </w:rPr>
        <w:t>.</w:t>
      </w:r>
    </w:p>
    <w:p w:rsidR="00E67A3F" w:rsidRDefault="00E67A3F" w:rsidP="00E67A3F">
      <w:pPr>
        <w:rPr>
          <w:rFonts w:cs="Arial"/>
          <w:snapToGrid w:val="0"/>
          <w:sz w:val="24"/>
          <w:szCs w:val="24"/>
          <w:lang w:val="en-GB"/>
        </w:rPr>
      </w:pPr>
    </w:p>
    <w:p w:rsidR="00E67A3F" w:rsidRPr="00CD1CBB" w:rsidRDefault="00E67A3F" w:rsidP="00E67A3F">
      <w:pPr>
        <w:rPr>
          <w:rFonts w:cs="Arial"/>
          <w:snapToGrid w:val="0"/>
          <w:sz w:val="24"/>
          <w:szCs w:val="24"/>
          <w:lang w:val="en-US"/>
        </w:rPr>
      </w:pPr>
      <w:r w:rsidRPr="00CD1CBB">
        <w:rPr>
          <w:rFonts w:cs="Arial"/>
          <w:snapToGrid w:val="0"/>
          <w:sz w:val="24"/>
          <w:szCs w:val="24"/>
          <w:lang w:val="nb-NO"/>
        </w:rPr>
        <w:t xml:space="preserve">Røed Larsen, E. and Sommervoll D. </w:t>
      </w:r>
      <w:r>
        <w:rPr>
          <w:rFonts w:cs="Arial"/>
          <w:snapToGrid w:val="0"/>
          <w:sz w:val="24"/>
          <w:szCs w:val="24"/>
          <w:lang w:val="nb-NO"/>
        </w:rPr>
        <w:t xml:space="preserve">E. (2011) ”Prisdannelsen i det norske leiemarkedet: en teoretisk og empirisk analyse av hovedmekanismer generelt og utsatte grupper spesielt” in NOU 2011:15 </w:t>
      </w:r>
      <w:r w:rsidRPr="00CD1CBB">
        <w:rPr>
          <w:rFonts w:cs="Arial"/>
          <w:i/>
          <w:snapToGrid w:val="0"/>
          <w:sz w:val="24"/>
          <w:szCs w:val="24"/>
          <w:lang w:val="nb-NO"/>
        </w:rPr>
        <w:t xml:space="preserve">Rom for alle. </w:t>
      </w:r>
      <w:proofErr w:type="gramStart"/>
      <w:r w:rsidRPr="00CD1CBB">
        <w:rPr>
          <w:rFonts w:cs="Arial"/>
          <w:i/>
          <w:snapToGrid w:val="0"/>
          <w:sz w:val="24"/>
          <w:szCs w:val="24"/>
          <w:lang w:val="en-US"/>
        </w:rPr>
        <w:t xml:space="preserve">En </w:t>
      </w:r>
      <w:proofErr w:type="spellStart"/>
      <w:r w:rsidRPr="00CD1CBB">
        <w:rPr>
          <w:rFonts w:cs="Arial"/>
          <w:i/>
          <w:snapToGrid w:val="0"/>
          <w:sz w:val="24"/>
          <w:szCs w:val="24"/>
          <w:lang w:val="en-US"/>
        </w:rPr>
        <w:t>sosial</w:t>
      </w:r>
      <w:proofErr w:type="spellEnd"/>
      <w:r w:rsidRPr="00CD1CBB">
        <w:rPr>
          <w:rFonts w:cs="Arial"/>
          <w:i/>
          <w:snapToGrid w:val="0"/>
          <w:sz w:val="24"/>
          <w:szCs w:val="24"/>
          <w:lang w:val="en-US"/>
        </w:rPr>
        <w:t xml:space="preserve"> </w:t>
      </w:r>
      <w:proofErr w:type="spellStart"/>
      <w:r w:rsidRPr="00CD1CBB">
        <w:rPr>
          <w:rFonts w:cs="Arial"/>
          <w:i/>
          <w:snapToGrid w:val="0"/>
          <w:sz w:val="24"/>
          <w:szCs w:val="24"/>
          <w:lang w:val="en-US"/>
        </w:rPr>
        <w:t>boligpolitikk</w:t>
      </w:r>
      <w:proofErr w:type="spellEnd"/>
      <w:r w:rsidRPr="00CD1CBB">
        <w:rPr>
          <w:rFonts w:cs="Arial"/>
          <w:i/>
          <w:snapToGrid w:val="0"/>
          <w:sz w:val="24"/>
          <w:szCs w:val="24"/>
          <w:lang w:val="en-US"/>
        </w:rPr>
        <w:t xml:space="preserve"> for </w:t>
      </w:r>
      <w:proofErr w:type="spellStart"/>
      <w:r w:rsidRPr="00CD1CBB">
        <w:rPr>
          <w:rFonts w:cs="Arial"/>
          <w:i/>
          <w:snapToGrid w:val="0"/>
          <w:sz w:val="24"/>
          <w:szCs w:val="24"/>
          <w:lang w:val="en-US"/>
        </w:rPr>
        <w:t>framtiden</w:t>
      </w:r>
      <w:proofErr w:type="spellEnd"/>
      <w:r w:rsidRPr="00CD1CBB">
        <w:rPr>
          <w:rFonts w:cs="Arial"/>
          <w:snapToGrid w:val="0"/>
          <w:sz w:val="24"/>
          <w:szCs w:val="24"/>
          <w:lang w:val="en-US"/>
        </w:rPr>
        <w:t>.</w:t>
      </w:r>
      <w:proofErr w:type="gramEnd"/>
      <w:r w:rsidRPr="00CD1CBB">
        <w:rPr>
          <w:rFonts w:cs="Arial"/>
          <w:snapToGrid w:val="0"/>
          <w:sz w:val="24"/>
          <w:szCs w:val="24"/>
          <w:lang w:val="en-US"/>
        </w:rPr>
        <w:t xml:space="preserve"> </w:t>
      </w:r>
      <w:proofErr w:type="gramStart"/>
      <w:r w:rsidRPr="00CD1CBB">
        <w:rPr>
          <w:rFonts w:cs="Arial"/>
          <w:snapToGrid w:val="0"/>
          <w:sz w:val="24"/>
          <w:szCs w:val="24"/>
          <w:lang w:val="en-US"/>
        </w:rPr>
        <w:t>Ministry of Local Government and Regional Development, Oslo.</w:t>
      </w:r>
      <w:proofErr w:type="gramEnd"/>
      <w:r w:rsidRPr="00CD1CBB">
        <w:rPr>
          <w:rFonts w:cs="Arial"/>
          <w:snapToGrid w:val="0"/>
          <w:sz w:val="24"/>
          <w:szCs w:val="24"/>
          <w:lang w:val="en-US"/>
        </w:rPr>
        <w:t xml:space="preserve"> </w:t>
      </w:r>
    </w:p>
    <w:p w:rsidR="00E67A3F" w:rsidRPr="00CD1CBB" w:rsidRDefault="00E67A3F" w:rsidP="00E67A3F">
      <w:pPr>
        <w:rPr>
          <w:rFonts w:cs="Arial"/>
          <w:sz w:val="24"/>
          <w:szCs w:val="24"/>
          <w:lang w:val="en-US"/>
        </w:rPr>
      </w:pPr>
    </w:p>
    <w:p w:rsidR="00E67A3F" w:rsidRPr="00365676" w:rsidRDefault="00E67A3F" w:rsidP="00E67A3F">
      <w:pPr>
        <w:rPr>
          <w:rFonts w:cs="Arial"/>
          <w:sz w:val="24"/>
          <w:szCs w:val="24"/>
        </w:rPr>
      </w:pPr>
      <w:proofErr w:type="gramStart"/>
      <w:r w:rsidRPr="00B3651E">
        <w:rPr>
          <w:rFonts w:cs="Arial"/>
          <w:sz w:val="24"/>
          <w:szCs w:val="24"/>
          <w:lang w:val="en-GB"/>
        </w:rPr>
        <w:t xml:space="preserve">Schaffer B </w:t>
      </w:r>
      <w:r>
        <w:rPr>
          <w:rFonts w:cs="Arial"/>
          <w:sz w:val="24"/>
          <w:szCs w:val="24"/>
          <w:lang w:val="en-GB"/>
        </w:rPr>
        <w:t>and</w:t>
      </w:r>
      <w:r w:rsidRPr="00B3651E">
        <w:rPr>
          <w:rFonts w:cs="Arial"/>
          <w:sz w:val="24"/>
          <w:szCs w:val="24"/>
          <w:lang w:val="en-GB"/>
        </w:rPr>
        <w:t xml:space="preserve"> Huang W (1975) “Distribution and the theory of access” in </w:t>
      </w:r>
      <w:r w:rsidRPr="00B3651E">
        <w:rPr>
          <w:rFonts w:cs="Arial"/>
          <w:i/>
          <w:sz w:val="24"/>
          <w:szCs w:val="24"/>
          <w:lang w:val="en-GB"/>
        </w:rPr>
        <w:t xml:space="preserve">Development and Change </w:t>
      </w:r>
      <w:r w:rsidRPr="00B3651E">
        <w:rPr>
          <w:rFonts w:cs="Arial"/>
          <w:sz w:val="24"/>
          <w:szCs w:val="24"/>
          <w:lang w:val="en-GB"/>
        </w:rPr>
        <w:t>Vol. 6, No. 2, pp. 13-36.</w:t>
      </w:r>
      <w:proofErr w:type="gramEnd"/>
      <w:r w:rsidRPr="00B3651E">
        <w:rPr>
          <w:rFonts w:cs="Arial"/>
          <w:sz w:val="24"/>
          <w:szCs w:val="24"/>
          <w:lang w:val="en-GB"/>
        </w:rPr>
        <w:t xml:space="preserve"> </w:t>
      </w:r>
      <w:r w:rsidRPr="00365676">
        <w:rPr>
          <w:rFonts w:cs="Arial"/>
          <w:sz w:val="24"/>
          <w:szCs w:val="24"/>
        </w:rPr>
        <w:t xml:space="preserve">London: </w:t>
      </w:r>
      <w:proofErr w:type="spellStart"/>
      <w:r w:rsidRPr="00365676">
        <w:rPr>
          <w:rFonts w:cs="Arial"/>
          <w:sz w:val="24"/>
          <w:szCs w:val="24"/>
        </w:rPr>
        <w:t>Sage</w:t>
      </w:r>
      <w:proofErr w:type="spellEnd"/>
      <w:r w:rsidRPr="00365676">
        <w:rPr>
          <w:rFonts w:cs="Arial"/>
          <w:sz w:val="24"/>
          <w:szCs w:val="24"/>
        </w:rPr>
        <w:t xml:space="preserve"> Publications.</w:t>
      </w:r>
    </w:p>
    <w:p w:rsidR="00E67A3F" w:rsidRPr="00365676" w:rsidRDefault="00E67A3F" w:rsidP="00E67A3F">
      <w:pPr>
        <w:rPr>
          <w:rFonts w:cs="Arial"/>
          <w:sz w:val="24"/>
          <w:szCs w:val="24"/>
        </w:rPr>
      </w:pPr>
    </w:p>
    <w:p w:rsidR="00E67A3F" w:rsidRPr="00CD1CBB" w:rsidRDefault="00E67A3F" w:rsidP="00E67A3F">
      <w:pPr>
        <w:rPr>
          <w:rFonts w:cs="Arial"/>
          <w:sz w:val="24"/>
          <w:szCs w:val="24"/>
          <w:lang w:val="en-US"/>
        </w:rPr>
      </w:pPr>
      <w:r w:rsidRPr="00E67A3F">
        <w:rPr>
          <w:rFonts w:cs="Arial"/>
          <w:sz w:val="24"/>
          <w:szCs w:val="24"/>
        </w:rPr>
        <w:t xml:space="preserve">Schmidt, L. (2009) </w:t>
      </w:r>
      <w:r w:rsidRPr="00E67A3F">
        <w:rPr>
          <w:rFonts w:cs="Arial"/>
          <w:i/>
          <w:sz w:val="24"/>
          <w:szCs w:val="24"/>
        </w:rPr>
        <w:t xml:space="preserve">Små boliger – en </w:t>
      </w:r>
      <w:proofErr w:type="spellStart"/>
      <w:r w:rsidRPr="00E67A3F">
        <w:rPr>
          <w:rFonts w:cs="Arial"/>
          <w:i/>
          <w:sz w:val="24"/>
          <w:szCs w:val="24"/>
        </w:rPr>
        <w:t>kunnskapsoversikt</w:t>
      </w:r>
      <w:proofErr w:type="spellEnd"/>
      <w:r w:rsidRPr="00E67A3F">
        <w:rPr>
          <w:rFonts w:cs="Arial"/>
          <w:i/>
          <w:sz w:val="24"/>
          <w:szCs w:val="24"/>
        </w:rPr>
        <w:t xml:space="preserve">. </w:t>
      </w:r>
      <w:proofErr w:type="gramStart"/>
      <w:r w:rsidRPr="00632976">
        <w:rPr>
          <w:rFonts w:cs="Arial"/>
          <w:sz w:val="24"/>
          <w:szCs w:val="24"/>
          <w:lang w:val="en-GB"/>
        </w:rPr>
        <w:t>NIBR-report 1.</w:t>
      </w:r>
      <w:proofErr w:type="gramEnd"/>
      <w:r w:rsidRPr="00632976">
        <w:rPr>
          <w:rFonts w:cs="Arial"/>
          <w:sz w:val="24"/>
          <w:szCs w:val="24"/>
          <w:lang w:val="en-GB"/>
        </w:rPr>
        <w:t xml:space="preserve"> </w:t>
      </w:r>
      <w:proofErr w:type="gramStart"/>
      <w:r w:rsidRPr="00CD1CBB">
        <w:rPr>
          <w:rFonts w:cs="Arial"/>
          <w:sz w:val="24"/>
          <w:szCs w:val="24"/>
          <w:lang w:val="en-US"/>
        </w:rPr>
        <w:t>Norwegian Institute for Urban and Regional Research, Oslo</w:t>
      </w:r>
      <w:r>
        <w:rPr>
          <w:rFonts w:cs="Arial"/>
          <w:sz w:val="24"/>
          <w:szCs w:val="24"/>
          <w:lang w:val="en-US"/>
        </w:rPr>
        <w:t>.</w:t>
      </w:r>
      <w:proofErr w:type="gramEnd"/>
    </w:p>
    <w:p w:rsidR="00E67A3F" w:rsidRPr="00B3651E" w:rsidRDefault="00E67A3F" w:rsidP="00E67A3F">
      <w:pPr>
        <w:pStyle w:val="Overskrift2"/>
        <w:rPr>
          <w:b w:val="0"/>
          <w:i w:val="0"/>
          <w:sz w:val="24"/>
          <w:szCs w:val="24"/>
          <w:lang w:val="en-GB" w:eastAsia="x-none"/>
        </w:rPr>
      </w:pPr>
      <w:r w:rsidRPr="00B3651E">
        <w:rPr>
          <w:b w:val="0"/>
          <w:i w:val="0"/>
          <w:sz w:val="24"/>
          <w:szCs w:val="24"/>
          <w:lang w:val="en-GB" w:eastAsia="x-none"/>
        </w:rPr>
        <w:t xml:space="preserve">Simpson L. and Finney N. (2008) Spatial patterns of internal migration: evidence for ethnic groups in </w:t>
      </w:r>
      <w:smartTag w:uri="urn:schemas-microsoft-com:office:smarttags" w:element="place">
        <w:r w:rsidRPr="00B3651E">
          <w:rPr>
            <w:b w:val="0"/>
            <w:i w:val="0"/>
            <w:sz w:val="24"/>
            <w:szCs w:val="24"/>
            <w:lang w:val="en-GB" w:eastAsia="x-none"/>
          </w:rPr>
          <w:t>Britain</w:t>
        </w:r>
      </w:smartTag>
      <w:r w:rsidRPr="00B3651E">
        <w:rPr>
          <w:b w:val="0"/>
          <w:i w:val="0"/>
          <w:sz w:val="24"/>
          <w:szCs w:val="24"/>
          <w:lang w:val="en-GB" w:eastAsia="x-none"/>
        </w:rPr>
        <w:t xml:space="preserve">. </w:t>
      </w:r>
      <w:r w:rsidRPr="00B3651E">
        <w:rPr>
          <w:b w:val="0"/>
          <w:sz w:val="24"/>
          <w:szCs w:val="24"/>
          <w:lang w:val="en-GB" w:eastAsia="x-none"/>
        </w:rPr>
        <w:t>Population, Space and Place,</w:t>
      </w:r>
      <w:r w:rsidRPr="00B3651E">
        <w:rPr>
          <w:b w:val="0"/>
          <w:i w:val="0"/>
          <w:sz w:val="24"/>
          <w:szCs w:val="24"/>
          <w:lang w:val="en-GB" w:eastAsia="x-none"/>
        </w:rPr>
        <w:t xml:space="preserve"> </w:t>
      </w:r>
      <w:hyperlink r:id="rId13" w:history="1">
        <w:r w:rsidRPr="00B3651E">
          <w:rPr>
            <w:rStyle w:val="Hyperlink"/>
            <w:rFonts w:cs="Arial"/>
            <w:b w:val="0"/>
            <w:i w:val="0"/>
            <w:sz w:val="24"/>
            <w:szCs w:val="24"/>
            <w:lang w:val="en-GB" w:eastAsia="x-none"/>
          </w:rPr>
          <w:t xml:space="preserve">Volume 15, Issue 1, </w:t>
        </w:r>
      </w:hyperlink>
      <w:r w:rsidRPr="00B3651E">
        <w:rPr>
          <w:b w:val="0"/>
          <w:i w:val="0"/>
          <w:sz w:val="24"/>
          <w:szCs w:val="24"/>
          <w:lang w:val="en-GB" w:eastAsia="x-none"/>
        </w:rPr>
        <w:t>pages 37–56</w:t>
      </w:r>
      <w:r>
        <w:rPr>
          <w:b w:val="0"/>
          <w:i w:val="0"/>
          <w:sz w:val="24"/>
          <w:szCs w:val="24"/>
          <w:lang w:val="en-GB" w:eastAsia="x-none"/>
        </w:rPr>
        <w:t>.</w:t>
      </w:r>
    </w:p>
    <w:p w:rsidR="00E67A3F" w:rsidRPr="00B3651E" w:rsidRDefault="00E67A3F" w:rsidP="00E67A3F">
      <w:pPr>
        <w:rPr>
          <w:rFonts w:cs="Arial"/>
          <w:sz w:val="24"/>
          <w:szCs w:val="24"/>
          <w:lang w:val="en-GB"/>
        </w:rPr>
      </w:pPr>
    </w:p>
    <w:p w:rsidR="00E67A3F" w:rsidRPr="007D643F" w:rsidRDefault="00E67A3F" w:rsidP="00E67A3F">
      <w:pPr>
        <w:rPr>
          <w:rFonts w:cs="Arial"/>
          <w:sz w:val="24"/>
          <w:szCs w:val="24"/>
        </w:rPr>
      </w:pPr>
      <w:r w:rsidRPr="00632976">
        <w:rPr>
          <w:rFonts w:cs="Arial"/>
          <w:sz w:val="24"/>
          <w:szCs w:val="24"/>
        </w:rPr>
        <w:t xml:space="preserve">Skifter Andersen H., Andersen H. T. and Ærø </w:t>
      </w:r>
      <w:proofErr w:type="gramStart"/>
      <w:r w:rsidRPr="00632976">
        <w:rPr>
          <w:rFonts w:cs="Arial"/>
          <w:sz w:val="24"/>
          <w:szCs w:val="24"/>
        </w:rPr>
        <w:t xml:space="preserve">T.  </w:t>
      </w:r>
      <w:r w:rsidRPr="00B3651E">
        <w:rPr>
          <w:rFonts w:cs="Arial"/>
          <w:sz w:val="24"/>
          <w:szCs w:val="24"/>
          <w:lang w:val="en-GB"/>
        </w:rPr>
        <w:t>(2000</w:t>
      </w:r>
      <w:proofErr w:type="gramEnd"/>
      <w:r w:rsidRPr="00B3651E">
        <w:rPr>
          <w:rFonts w:cs="Arial"/>
          <w:sz w:val="24"/>
          <w:szCs w:val="24"/>
          <w:lang w:val="en-GB"/>
        </w:rPr>
        <w:t xml:space="preserve">) Social polarisation in a segmented housing market. </w:t>
      </w:r>
      <w:r w:rsidRPr="007D643F">
        <w:rPr>
          <w:rFonts w:cs="Arial"/>
          <w:sz w:val="24"/>
          <w:szCs w:val="24"/>
        </w:rPr>
        <w:t xml:space="preserve">Segregation in </w:t>
      </w:r>
      <w:proofErr w:type="spellStart"/>
      <w:r w:rsidRPr="007D643F">
        <w:rPr>
          <w:rFonts w:cs="Arial"/>
          <w:sz w:val="24"/>
          <w:szCs w:val="24"/>
        </w:rPr>
        <w:t>greater</w:t>
      </w:r>
      <w:proofErr w:type="spellEnd"/>
      <w:r w:rsidRPr="007D643F">
        <w:rPr>
          <w:rFonts w:cs="Arial"/>
          <w:sz w:val="24"/>
          <w:szCs w:val="24"/>
        </w:rPr>
        <w:t xml:space="preserve"> Copenhagen. </w:t>
      </w:r>
      <w:r w:rsidRPr="007D643F">
        <w:rPr>
          <w:rFonts w:cs="Arial"/>
          <w:i/>
          <w:sz w:val="24"/>
          <w:szCs w:val="24"/>
        </w:rPr>
        <w:t>Geografisk Tidsskrift</w:t>
      </w:r>
      <w:r w:rsidRPr="007D643F">
        <w:rPr>
          <w:rFonts w:cs="Arial"/>
          <w:sz w:val="24"/>
          <w:szCs w:val="24"/>
        </w:rPr>
        <w:t xml:space="preserve"> nr. 100.</w:t>
      </w:r>
    </w:p>
    <w:p w:rsidR="00E67A3F" w:rsidRPr="00B3651E" w:rsidRDefault="00E67A3F" w:rsidP="00E67A3F">
      <w:pPr>
        <w:rPr>
          <w:rFonts w:cs="Arial"/>
          <w:sz w:val="24"/>
          <w:szCs w:val="24"/>
        </w:rPr>
      </w:pPr>
    </w:p>
    <w:p w:rsidR="00E67A3F" w:rsidRPr="00CD1CBB" w:rsidRDefault="00E67A3F" w:rsidP="00E67A3F">
      <w:pPr>
        <w:rPr>
          <w:rFonts w:cs="Arial"/>
          <w:sz w:val="24"/>
          <w:szCs w:val="24"/>
          <w:lang w:val="nb-NO"/>
        </w:rPr>
      </w:pPr>
      <w:r w:rsidRPr="00B3651E">
        <w:rPr>
          <w:rFonts w:cs="Arial"/>
          <w:sz w:val="24"/>
          <w:szCs w:val="24"/>
        </w:rPr>
        <w:t xml:space="preserve">Skifter Andersen, H. (2006) </w:t>
      </w:r>
      <w:r w:rsidRPr="00B3651E">
        <w:rPr>
          <w:rFonts w:cs="Arial"/>
          <w:i/>
          <w:iCs/>
          <w:sz w:val="24"/>
          <w:szCs w:val="24"/>
        </w:rPr>
        <w:t xml:space="preserve">Bo sammen eller spredt? Etniske </w:t>
      </w:r>
      <w:proofErr w:type="spellStart"/>
      <w:r w:rsidRPr="00B3651E">
        <w:rPr>
          <w:rFonts w:cs="Arial"/>
          <w:i/>
          <w:iCs/>
          <w:sz w:val="24"/>
          <w:szCs w:val="24"/>
        </w:rPr>
        <w:t>minoriters</w:t>
      </w:r>
      <w:proofErr w:type="spellEnd"/>
      <w:r w:rsidRPr="00B3651E">
        <w:rPr>
          <w:rFonts w:cs="Arial"/>
          <w:i/>
          <w:iCs/>
          <w:sz w:val="24"/>
          <w:szCs w:val="24"/>
        </w:rPr>
        <w:t xml:space="preserve"> boligønsker og motiver for bosætning</w:t>
      </w:r>
      <w:proofErr w:type="gramStart"/>
      <w:r w:rsidRPr="00B3651E">
        <w:rPr>
          <w:rFonts w:cs="Arial"/>
          <w:sz w:val="24"/>
          <w:szCs w:val="24"/>
        </w:rPr>
        <w:t xml:space="preserve"> (</w:t>
      </w:r>
      <w:proofErr w:type="spellStart"/>
      <w:r w:rsidRPr="00B3651E">
        <w:rPr>
          <w:rFonts w:cs="Arial"/>
          <w:sz w:val="24"/>
          <w:szCs w:val="24"/>
        </w:rPr>
        <w:t>Living</w:t>
      </w:r>
      <w:proofErr w:type="spellEnd"/>
      <w:r w:rsidRPr="00B3651E">
        <w:rPr>
          <w:rFonts w:cs="Arial"/>
          <w:sz w:val="24"/>
          <w:szCs w:val="24"/>
        </w:rPr>
        <w:t xml:space="preserve"> </w:t>
      </w:r>
      <w:proofErr w:type="spellStart"/>
      <w:r w:rsidRPr="00B3651E">
        <w:rPr>
          <w:rFonts w:cs="Arial"/>
          <w:sz w:val="24"/>
          <w:szCs w:val="24"/>
        </w:rPr>
        <w:t>together</w:t>
      </w:r>
      <w:proofErr w:type="spellEnd"/>
      <w:r w:rsidRPr="00B3651E">
        <w:rPr>
          <w:rFonts w:cs="Arial"/>
          <w:sz w:val="24"/>
          <w:szCs w:val="24"/>
        </w:rPr>
        <w:t xml:space="preserve"> or </w:t>
      </w:r>
      <w:proofErr w:type="spellStart"/>
      <w:r w:rsidRPr="00B3651E">
        <w:rPr>
          <w:rFonts w:cs="Arial"/>
          <w:sz w:val="24"/>
          <w:szCs w:val="24"/>
        </w:rPr>
        <w:t>apart</w:t>
      </w:r>
      <w:proofErr w:type="spellEnd"/>
      <w:r w:rsidRPr="00B3651E">
        <w:rPr>
          <w:rFonts w:cs="Arial"/>
          <w:sz w:val="24"/>
          <w:szCs w:val="24"/>
        </w:rPr>
        <w:t>.</w:t>
      </w:r>
      <w:proofErr w:type="gramEnd"/>
      <w:r w:rsidRPr="00B3651E">
        <w:rPr>
          <w:rFonts w:cs="Arial"/>
          <w:sz w:val="24"/>
          <w:szCs w:val="24"/>
        </w:rPr>
        <w:t xml:space="preserve"> </w:t>
      </w:r>
      <w:proofErr w:type="gramStart"/>
      <w:r w:rsidRPr="00B3651E">
        <w:rPr>
          <w:rFonts w:cs="Arial"/>
          <w:sz w:val="24"/>
          <w:szCs w:val="24"/>
          <w:lang w:val="en-GB"/>
        </w:rPr>
        <w:t>Housing preferences and motives for settlem</w:t>
      </w:r>
      <w:r>
        <w:rPr>
          <w:rFonts w:cs="Arial"/>
          <w:sz w:val="24"/>
          <w:szCs w:val="24"/>
          <w:lang w:val="en-GB"/>
        </w:rPr>
        <w:t>ent among ethnic minorities).</w:t>
      </w:r>
      <w:proofErr w:type="gramEnd"/>
      <w:r>
        <w:rPr>
          <w:rFonts w:cs="Arial"/>
          <w:sz w:val="24"/>
          <w:szCs w:val="24"/>
          <w:lang w:val="en-GB"/>
        </w:rPr>
        <w:t xml:space="preserve"> SB</w:t>
      </w:r>
      <w:r w:rsidRPr="00B3651E">
        <w:rPr>
          <w:rFonts w:cs="Arial"/>
          <w:sz w:val="24"/>
          <w:szCs w:val="24"/>
          <w:lang w:val="en-GB"/>
        </w:rPr>
        <w:t xml:space="preserve">i 2006:17. </w:t>
      </w:r>
      <w:r w:rsidRPr="00CD1CBB">
        <w:rPr>
          <w:rFonts w:cs="Arial"/>
          <w:sz w:val="24"/>
          <w:szCs w:val="24"/>
          <w:lang w:val="nb-NO"/>
        </w:rPr>
        <w:t>Hørsholm: Danish Building Research Institute</w:t>
      </w:r>
      <w:r>
        <w:rPr>
          <w:rFonts w:cs="Arial"/>
          <w:sz w:val="24"/>
          <w:szCs w:val="24"/>
          <w:lang w:val="nb-NO"/>
        </w:rPr>
        <w:t>.</w:t>
      </w:r>
    </w:p>
    <w:p w:rsidR="00E67A3F" w:rsidRPr="00CD1CBB" w:rsidRDefault="00E67A3F" w:rsidP="00E67A3F">
      <w:pPr>
        <w:rPr>
          <w:rFonts w:cs="Arial"/>
          <w:sz w:val="24"/>
          <w:szCs w:val="24"/>
          <w:lang w:val="nb-NO"/>
        </w:rPr>
      </w:pPr>
    </w:p>
    <w:p w:rsidR="00E67A3F" w:rsidRPr="00B3651E" w:rsidRDefault="00E67A3F" w:rsidP="00E67A3F">
      <w:pPr>
        <w:rPr>
          <w:rFonts w:cs="Arial"/>
          <w:sz w:val="24"/>
          <w:szCs w:val="24"/>
        </w:rPr>
      </w:pPr>
      <w:r w:rsidRPr="00B3651E">
        <w:rPr>
          <w:rFonts w:cs="Arial"/>
          <w:sz w:val="24"/>
          <w:szCs w:val="24"/>
        </w:rPr>
        <w:t>Skifter Andersen H. (2008) Privat boligudlejning. Motiver, strategier og økonomi. Hørsholm: Statens Byggeforskningsinstitut</w:t>
      </w:r>
      <w:r>
        <w:rPr>
          <w:rFonts w:cs="Arial"/>
          <w:sz w:val="24"/>
          <w:szCs w:val="24"/>
        </w:rPr>
        <w:t>.</w:t>
      </w:r>
    </w:p>
    <w:p w:rsidR="00E67A3F" w:rsidRPr="00B3651E" w:rsidRDefault="00E67A3F" w:rsidP="00E67A3F">
      <w:pPr>
        <w:rPr>
          <w:rFonts w:cs="Arial"/>
          <w:sz w:val="24"/>
          <w:szCs w:val="24"/>
        </w:rPr>
      </w:pPr>
    </w:p>
    <w:p w:rsidR="00E67A3F" w:rsidRPr="00B3651E" w:rsidRDefault="00E67A3F" w:rsidP="00E67A3F">
      <w:pPr>
        <w:autoSpaceDE w:val="0"/>
        <w:autoSpaceDN w:val="0"/>
        <w:adjustRightInd w:val="0"/>
        <w:rPr>
          <w:rFonts w:cs="Arial"/>
          <w:sz w:val="24"/>
          <w:szCs w:val="24"/>
          <w:lang w:val="en-GB"/>
        </w:rPr>
      </w:pPr>
      <w:proofErr w:type="gramStart"/>
      <w:r w:rsidRPr="00632976">
        <w:rPr>
          <w:rFonts w:cs="Arial"/>
          <w:sz w:val="24"/>
          <w:szCs w:val="24"/>
          <w:lang w:val="en-GB"/>
        </w:rPr>
        <w:t>Skifter Andersen H. (2010) Spatial Assimilation in Denmark.</w:t>
      </w:r>
      <w:proofErr w:type="gramEnd"/>
      <w:r w:rsidRPr="00632976">
        <w:rPr>
          <w:rFonts w:cs="Arial"/>
          <w:sz w:val="24"/>
          <w:szCs w:val="24"/>
          <w:lang w:val="en-GB"/>
        </w:rPr>
        <w:t xml:space="preserve"> </w:t>
      </w:r>
      <w:r w:rsidRPr="00B3651E">
        <w:rPr>
          <w:rFonts w:cs="Arial"/>
          <w:sz w:val="24"/>
          <w:szCs w:val="24"/>
          <w:lang w:val="en-GB"/>
        </w:rPr>
        <w:t xml:space="preserve">Why do Immigrants move to and from Multi-ethnic Neighbourhoods? </w:t>
      </w:r>
      <w:r w:rsidRPr="00B3651E">
        <w:rPr>
          <w:rFonts w:cs="Arial"/>
          <w:i/>
          <w:sz w:val="24"/>
          <w:szCs w:val="24"/>
          <w:lang w:val="en-GB"/>
        </w:rPr>
        <w:t>Housing Studies</w:t>
      </w:r>
      <w:r w:rsidRPr="00B3651E">
        <w:rPr>
          <w:rFonts w:cs="Arial"/>
          <w:sz w:val="24"/>
          <w:szCs w:val="24"/>
          <w:lang w:val="en-GB"/>
        </w:rPr>
        <w:t>, Vol. 25, No. 3</w:t>
      </w:r>
      <w:proofErr w:type="gramStart"/>
      <w:r w:rsidRPr="00B3651E">
        <w:rPr>
          <w:rFonts w:cs="Arial"/>
          <w:sz w:val="24"/>
          <w:szCs w:val="24"/>
          <w:lang w:val="en-GB"/>
        </w:rPr>
        <w:t>,</w:t>
      </w:r>
      <w:r>
        <w:rPr>
          <w:rFonts w:cs="Arial"/>
          <w:sz w:val="24"/>
          <w:szCs w:val="24"/>
          <w:lang w:val="en-GB"/>
        </w:rPr>
        <w:t>pp</w:t>
      </w:r>
      <w:proofErr w:type="gramEnd"/>
      <w:r w:rsidRPr="00B3651E">
        <w:rPr>
          <w:rFonts w:cs="Arial"/>
          <w:sz w:val="24"/>
          <w:szCs w:val="24"/>
          <w:lang w:val="en-GB"/>
        </w:rPr>
        <w:t xml:space="preserve"> 281–300.</w:t>
      </w:r>
    </w:p>
    <w:p w:rsidR="00E67A3F" w:rsidRDefault="00E67A3F" w:rsidP="00E67A3F">
      <w:pPr>
        <w:rPr>
          <w:rFonts w:cs="Arial"/>
          <w:sz w:val="24"/>
          <w:szCs w:val="24"/>
          <w:lang w:val="en-GB"/>
        </w:rPr>
      </w:pPr>
    </w:p>
    <w:p w:rsidR="00401241" w:rsidRDefault="00401241" w:rsidP="00E67A3F">
      <w:pPr>
        <w:rPr>
          <w:rFonts w:cs="Arial"/>
          <w:i/>
          <w:sz w:val="24"/>
          <w:szCs w:val="24"/>
          <w:lang w:val="en-GB"/>
        </w:rPr>
      </w:pPr>
      <w:proofErr w:type="gramStart"/>
      <w:r>
        <w:rPr>
          <w:rFonts w:cs="Arial"/>
          <w:sz w:val="24"/>
          <w:szCs w:val="24"/>
          <w:lang w:val="en-GB"/>
        </w:rPr>
        <w:t>Skifter Andersen H. (2011) Motives for Tenure Choice during the Life Cycle.</w:t>
      </w:r>
      <w:proofErr w:type="gramEnd"/>
      <w:r>
        <w:rPr>
          <w:rFonts w:cs="Arial"/>
          <w:sz w:val="24"/>
          <w:szCs w:val="24"/>
          <w:lang w:val="en-GB"/>
        </w:rPr>
        <w:t xml:space="preserve"> </w:t>
      </w:r>
      <w:r w:rsidR="00FD6B01">
        <w:rPr>
          <w:rFonts w:cs="Arial"/>
          <w:i/>
          <w:sz w:val="24"/>
          <w:szCs w:val="24"/>
          <w:lang w:val="en-GB"/>
        </w:rPr>
        <w:t xml:space="preserve">Housing, Theory and society </w:t>
      </w:r>
      <w:proofErr w:type="spellStart"/>
      <w:r w:rsidR="00FD6B01">
        <w:rPr>
          <w:rFonts w:cs="Arial"/>
          <w:i/>
          <w:sz w:val="24"/>
          <w:szCs w:val="24"/>
          <w:lang w:val="en-GB"/>
        </w:rPr>
        <w:t>vol</w:t>
      </w:r>
      <w:proofErr w:type="spellEnd"/>
      <w:r w:rsidR="00FD6B01">
        <w:rPr>
          <w:rFonts w:cs="Arial"/>
          <w:i/>
          <w:sz w:val="24"/>
          <w:szCs w:val="24"/>
          <w:lang w:val="en-GB"/>
        </w:rPr>
        <w:t xml:space="preserve"> 28, no 2: 183-207</w:t>
      </w:r>
    </w:p>
    <w:p w:rsidR="00FD6B01" w:rsidRPr="00627D9F" w:rsidRDefault="00FD6B01" w:rsidP="00E67A3F">
      <w:pPr>
        <w:rPr>
          <w:rFonts w:cs="Arial"/>
          <w:i/>
          <w:sz w:val="24"/>
          <w:szCs w:val="24"/>
          <w:lang w:val="en-GB"/>
        </w:rPr>
      </w:pPr>
    </w:p>
    <w:p w:rsidR="00E67A3F" w:rsidRPr="00B3651E" w:rsidRDefault="00C13B73" w:rsidP="00E67A3F">
      <w:pPr>
        <w:rPr>
          <w:rFonts w:cs="Arial"/>
          <w:sz w:val="24"/>
          <w:szCs w:val="24"/>
          <w:lang w:val="en-GB"/>
        </w:rPr>
      </w:pPr>
      <w:r>
        <w:rPr>
          <w:rFonts w:cs="Arial"/>
          <w:sz w:val="24"/>
          <w:szCs w:val="24"/>
          <w:lang w:val="en-GB"/>
        </w:rPr>
        <w:t>Skifter Andersen H. (2012</w:t>
      </w:r>
      <w:r w:rsidR="00E67A3F" w:rsidRPr="00B3651E">
        <w:rPr>
          <w:rFonts w:cs="Arial"/>
          <w:sz w:val="24"/>
          <w:szCs w:val="24"/>
          <w:lang w:val="en-GB"/>
        </w:rPr>
        <w:t xml:space="preserve">) </w:t>
      </w:r>
      <w:proofErr w:type="gramStart"/>
      <w:r w:rsidR="00E67A3F" w:rsidRPr="00B3651E">
        <w:rPr>
          <w:rFonts w:cs="Arial"/>
          <w:sz w:val="24"/>
          <w:szCs w:val="24"/>
          <w:lang w:val="en-GB"/>
        </w:rPr>
        <w:t>The</w:t>
      </w:r>
      <w:proofErr w:type="gramEnd"/>
      <w:r w:rsidR="00E67A3F" w:rsidRPr="00B3651E">
        <w:rPr>
          <w:rFonts w:cs="Arial"/>
          <w:sz w:val="24"/>
          <w:szCs w:val="24"/>
          <w:lang w:val="en-GB"/>
        </w:rPr>
        <w:t xml:space="preserve"> importance of housing policies and housing markets for the housing of immigrants in the Nordic countries. </w:t>
      </w:r>
      <w:proofErr w:type="gramStart"/>
      <w:r w:rsidR="00E67A3F" w:rsidRPr="00B3651E">
        <w:rPr>
          <w:rFonts w:cs="Arial"/>
          <w:sz w:val="24"/>
          <w:szCs w:val="24"/>
          <w:lang w:val="en-GB"/>
        </w:rPr>
        <w:t>Report for the NODES project.</w:t>
      </w:r>
      <w:proofErr w:type="gramEnd"/>
      <w:r w:rsidR="00E67A3F" w:rsidRPr="00B3651E">
        <w:rPr>
          <w:rFonts w:cs="Arial"/>
          <w:sz w:val="24"/>
          <w:szCs w:val="24"/>
          <w:lang w:val="en-GB"/>
        </w:rPr>
        <w:t xml:space="preserve"> </w:t>
      </w:r>
      <w:proofErr w:type="spellStart"/>
      <w:r>
        <w:rPr>
          <w:rFonts w:cs="Arial"/>
          <w:sz w:val="24"/>
          <w:szCs w:val="24"/>
          <w:lang w:val="en-GB"/>
        </w:rPr>
        <w:t>Horsholm</w:t>
      </w:r>
      <w:proofErr w:type="spellEnd"/>
      <w:r>
        <w:rPr>
          <w:rFonts w:cs="Arial"/>
          <w:sz w:val="24"/>
          <w:szCs w:val="24"/>
          <w:lang w:val="en-GB"/>
        </w:rPr>
        <w:t>: Danish Building Research Institute at Aalborg University.</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gramStart"/>
      <w:r>
        <w:rPr>
          <w:rFonts w:cs="Arial"/>
          <w:sz w:val="24"/>
          <w:szCs w:val="24"/>
          <w:lang w:val="en-GB"/>
        </w:rPr>
        <w:t>Skifter Andersen H. (2012</w:t>
      </w:r>
      <w:r w:rsidRPr="00B3651E">
        <w:rPr>
          <w:rFonts w:cs="Arial"/>
          <w:sz w:val="24"/>
          <w:szCs w:val="24"/>
          <w:lang w:val="en-GB"/>
        </w:rPr>
        <w:t>) Explanations for inter-ethnic differences regarding immigrants' preferences for living in ‘ethnic enclaves’ or in multi-ethnic neighbourhoods.</w:t>
      </w:r>
      <w:proofErr w:type="gramEnd"/>
      <w:r w:rsidRPr="00B3651E">
        <w:rPr>
          <w:rFonts w:cs="Arial"/>
          <w:sz w:val="24"/>
          <w:szCs w:val="24"/>
          <w:lang w:val="en-GB"/>
        </w:rPr>
        <w:t xml:space="preserve"> </w:t>
      </w:r>
      <w:proofErr w:type="gramStart"/>
      <w:r w:rsidRPr="00B3651E">
        <w:rPr>
          <w:rFonts w:cs="Arial"/>
          <w:sz w:val="24"/>
          <w:szCs w:val="24"/>
          <w:lang w:val="en-GB"/>
        </w:rPr>
        <w:t>Forthcoming in</w:t>
      </w:r>
      <w:r>
        <w:rPr>
          <w:rFonts w:cs="Arial"/>
          <w:sz w:val="24"/>
          <w:szCs w:val="24"/>
          <w:lang w:val="en-GB"/>
        </w:rPr>
        <w:t xml:space="preserve"> Housing Studies</w:t>
      </w:r>
      <w:r w:rsidRPr="00B3651E">
        <w:rPr>
          <w:rFonts w:cs="Arial"/>
          <w:sz w:val="24"/>
          <w:szCs w:val="24"/>
          <w:lang w:val="en-GB"/>
        </w:rPr>
        <w:t>.</w:t>
      </w:r>
      <w:proofErr w:type="gramEnd"/>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US"/>
        </w:rPr>
      </w:pPr>
      <w:proofErr w:type="spellStart"/>
      <w:r w:rsidRPr="00CD1CBB">
        <w:rPr>
          <w:rFonts w:cs="Arial"/>
          <w:sz w:val="24"/>
          <w:szCs w:val="24"/>
          <w:lang w:val="en-GB"/>
        </w:rPr>
        <w:t>Søholt</w:t>
      </w:r>
      <w:proofErr w:type="spellEnd"/>
      <w:r w:rsidRPr="00CD1CBB">
        <w:rPr>
          <w:rFonts w:cs="Arial"/>
          <w:sz w:val="24"/>
          <w:szCs w:val="24"/>
          <w:lang w:val="en-GB"/>
        </w:rPr>
        <w:t xml:space="preserve"> S (2007) </w:t>
      </w:r>
      <w:proofErr w:type="spellStart"/>
      <w:r w:rsidRPr="00CD1CBB">
        <w:rPr>
          <w:rFonts w:cs="Arial"/>
          <w:i/>
          <w:sz w:val="24"/>
          <w:szCs w:val="24"/>
          <w:lang w:val="en-GB"/>
        </w:rPr>
        <w:t>Gjennom</w:t>
      </w:r>
      <w:proofErr w:type="spellEnd"/>
      <w:r w:rsidRPr="00CD1CBB">
        <w:rPr>
          <w:rFonts w:cs="Arial"/>
          <w:i/>
          <w:sz w:val="24"/>
          <w:szCs w:val="24"/>
          <w:lang w:val="en-GB"/>
        </w:rPr>
        <w:t xml:space="preserve"> </w:t>
      </w:r>
      <w:proofErr w:type="spellStart"/>
      <w:r w:rsidRPr="00CD1CBB">
        <w:rPr>
          <w:rFonts w:cs="Arial"/>
          <w:i/>
          <w:sz w:val="24"/>
          <w:szCs w:val="24"/>
          <w:lang w:val="en-GB"/>
        </w:rPr>
        <w:t>nåløyet</w:t>
      </w:r>
      <w:proofErr w:type="spellEnd"/>
      <w:r w:rsidRPr="00CD1CBB">
        <w:rPr>
          <w:rFonts w:cs="Arial"/>
          <w:i/>
          <w:sz w:val="24"/>
          <w:szCs w:val="24"/>
          <w:lang w:val="en-GB"/>
        </w:rPr>
        <w:t xml:space="preserve"> </w:t>
      </w:r>
      <w:r w:rsidRPr="00934FE2">
        <w:rPr>
          <w:rFonts w:cs="Arial"/>
          <w:i/>
          <w:sz w:val="24"/>
          <w:szCs w:val="24"/>
          <w:lang w:val="en-GB"/>
        </w:rPr>
        <w:t>–</w:t>
      </w:r>
      <w:r w:rsidRPr="00CD1CBB">
        <w:rPr>
          <w:rFonts w:cs="Arial"/>
          <w:i/>
          <w:sz w:val="24"/>
          <w:szCs w:val="24"/>
          <w:lang w:val="en-GB"/>
        </w:rPr>
        <w:t xml:space="preserve"> en </w:t>
      </w:r>
      <w:proofErr w:type="spellStart"/>
      <w:r w:rsidRPr="00CD1CBB">
        <w:rPr>
          <w:rFonts w:cs="Arial"/>
          <w:i/>
          <w:sz w:val="24"/>
          <w:szCs w:val="24"/>
          <w:lang w:val="en-GB"/>
        </w:rPr>
        <w:t>sammenligning</w:t>
      </w:r>
      <w:proofErr w:type="spellEnd"/>
      <w:r w:rsidRPr="00CD1CBB">
        <w:rPr>
          <w:rFonts w:cs="Arial"/>
          <w:i/>
          <w:sz w:val="24"/>
          <w:szCs w:val="24"/>
          <w:lang w:val="en-GB"/>
        </w:rPr>
        <w:t xml:space="preserve"> </w:t>
      </w:r>
      <w:proofErr w:type="spellStart"/>
      <w:r w:rsidRPr="00CD1CBB">
        <w:rPr>
          <w:rFonts w:cs="Arial"/>
          <w:i/>
          <w:sz w:val="24"/>
          <w:szCs w:val="24"/>
          <w:lang w:val="en-GB"/>
        </w:rPr>
        <w:t>av</w:t>
      </w:r>
      <w:proofErr w:type="spellEnd"/>
      <w:r w:rsidRPr="00CD1CBB">
        <w:rPr>
          <w:rFonts w:cs="Arial"/>
          <w:i/>
          <w:sz w:val="24"/>
          <w:szCs w:val="24"/>
          <w:lang w:val="en-GB"/>
        </w:rPr>
        <w:t xml:space="preserve"> </w:t>
      </w:r>
      <w:proofErr w:type="spellStart"/>
      <w:r w:rsidRPr="00CD1CBB">
        <w:rPr>
          <w:rFonts w:cs="Arial"/>
          <w:i/>
          <w:sz w:val="24"/>
          <w:szCs w:val="24"/>
          <w:lang w:val="en-GB"/>
        </w:rPr>
        <w:t>tilpasninger</w:t>
      </w:r>
      <w:proofErr w:type="spellEnd"/>
      <w:r w:rsidRPr="00CD1CBB">
        <w:rPr>
          <w:rFonts w:cs="Arial"/>
          <w:i/>
          <w:sz w:val="24"/>
          <w:szCs w:val="24"/>
          <w:lang w:val="en-GB"/>
        </w:rPr>
        <w:t xml:space="preserve"> </w:t>
      </w:r>
      <w:proofErr w:type="spellStart"/>
      <w:r w:rsidRPr="00CD1CBB">
        <w:rPr>
          <w:rFonts w:cs="Arial"/>
          <w:i/>
          <w:sz w:val="24"/>
          <w:szCs w:val="24"/>
          <w:lang w:val="en-GB"/>
        </w:rPr>
        <w:t>til</w:t>
      </w:r>
      <w:proofErr w:type="spellEnd"/>
      <w:r w:rsidRPr="00CD1CBB">
        <w:rPr>
          <w:rFonts w:cs="Arial"/>
          <w:i/>
          <w:sz w:val="24"/>
          <w:szCs w:val="24"/>
          <w:lang w:val="en-GB"/>
        </w:rPr>
        <w:t xml:space="preserve"> </w:t>
      </w:r>
      <w:proofErr w:type="spellStart"/>
      <w:r w:rsidRPr="00CD1CBB">
        <w:rPr>
          <w:rFonts w:cs="Arial"/>
          <w:i/>
          <w:sz w:val="24"/>
          <w:szCs w:val="24"/>
          <w:lang w:val="en-GB"/>
        </w:rPr>
        <w:t>boligmarkedet</w:t>
      </w:r>
      <w:proofErr w:type="spellEnd"/>
      <w:r w:rsidRPr="00CD1CBB">
        <w:rPr>
          <w:rFonts w:cs="Arial"/>
          <w:i/>
          <w:sz w:val="24"/>
          <w:szCs w:val="24"/>
          <w:lang w:val="en-GB"/>
        </w:rPr>
        <w:t xml:space="preserve"> </w:t>
      </w:r>
      <w:proofErr w:type="spellStart"/>
      <w:r w:rsidRPr="00CD1CBB">
        <w:rPr>
          <w:rFonts w:cs="Arial"/>
          <w:i/>
          <w:sz w:val="24"/>
          <w:szCs w:val="24"/>
          <w:lang w:val="en-GB"/>
        </w:rPr>
        <w:t>blant</w:t>
      </w:r>
      <w:proofErr w:type="spellEnd"/>
      <w:r w:rsidRPr="00CD1CBB">
        <w:rPr>
          <w:rFonts w:cs="Arial"/>
          <w:i/>
          <w:sz w:val="24"/>
          <w:szCs w:val="24"/>
          <w:lang w:val="en-GB"/>
        </w:rPr>
        <w:t xml:space="preserve"> </w:t>
      </w:r>
      <w:proofErr w:type="spellStart"/>
      <w:r w:rsidRPr="00CD1CBB">
        <w:rPr>
          <w:rFonts w:cs="Arial"/>
          <w:i/>
          <w:sz w:val="24"/>
          <w:szCs w:val="24"/>
          <w:lang w:val="en-GB"/>
        </w:rPr>
        <w:t>hushold</w:t>
      </w:r>
      <w:proofErr w:type="spellEnd"/>
      <w:r w:rsidRPr="00CD1CBB">
        <w:rPr>
          <w:rFonts w:cs="Arial"/>
          <w:i/>
          <w:sz w:val="24"/>
          <w:szCs w:val="24"/>
          <w:lang w:val="en-GB"/>
        </w:rPr>
        <w:t xml:space="preserve"> </w:t>
      </w:r>
      <w:proofErr w:type="spellStart"/>
      <w:r w:rsidRPr="00CD1CBB">
        <w:rPr>
          <w:rFonts w:cs="Arial"/>
          <w:i/>
          <w:sz w:val="24"/>
          <w:szCs w:val="24"/>
          <w:lang w:val="en-GB"/>
        </w:rPr>
        <w:t>av</w:t>
      </w:r>
      <w:proofErr w:type="spellEnd"/>
      <w:r w:rsidRPr="00CD1CBB">
        <w:rPr>
          <w:rFonts w:cs="Arial"/>
          <w:i/>
          <w:sz w:val="24"/>
          <w:szCs w:val="24"/>
          <w:lang w:val="en-GB"/>
        </w:rPr>
        <w:t xml:space="preserve"> </w:t>
      </w:r>
      <w:proofErr w:type="spellStart"/>
      <w:r w:rsidRPr="00CD1CBB">
        <w:rPr>
          <w:rFonts w:cs="Arial"/>
          <w:i/>
          <w:sz w:val="24"/>
          <w:szCs w:val="24"/>
          <w:lang w:val="en-GB"/>
        </w:rPr>
        <w:t>pakistansk</w:t>
      </w:r>
      <w:proofErr w:type="spellEnd"/>
      <w:r w:rsidRPr="00CD1CBB">
        <w:rPr>
          <w:rFonts w:cs="Arial"/>
          <w:i/>
          <w:sz w:val="24"/>
          <w:szCs w:val="24"/>
          <w:lang w:val="en-GB"/>
        </w:rPr>
        <w:t xml:space="preserve">, </w:t>
      </w:r>
      <w:proofErr w:type="spellStart"/>
      <w:r w:rsidRPr="00CD1CBB">
        <w:rPr>
          <w:rFonts w:cs="Arial"/>
          <w:i/>
          <w:sz w:val="24"/>
          <w:szCs w:val="24"/>
          <w:lang w:val="en-GB"/>
        </w:rPr>
        <w:t>tamilsk</w:t>
      </w:r>
      <w:proofErr w:type="spellEnd"/>
      <w:r w:rsidRPr="00CD1CBB">
        <w:rPr>
          <w:rFonts w:cs="Arial"/>
          <w:i/>
          <w:sz w:val="24"/>
          <w:szCs w:val="24"/>
          <w:lang w:val="en-GB"/>
        </w:rPr>
        <w:t xml:space="preserve"> </w:t>
      </w:r>
      <w:proofErr w:type="spellStart"/>
      <w:r w:rsidRPr="00CD1CBB">
        <w:rPr>
          <w:rFonts w:cs="Arial"/>
          <w:i/>
          <w:sz w:val="24"/>
          <w:szCs w:val="24"/>
          <w:lang w:val="en-GB"/>
        </w:rPr>
        <w:t>og</w:t>
      </w:r>
      <w:proofErr w:type="spellEnd"/>
      <w:r w:rsidRPr="00CD1CBB">
        <w:rPr>
          <w:rFonts w:cs="Arial"/>
          <w:i/>
          <w:sz w:val="24"/>
          <w:szCs w:val="24"/>
          <w:lang w:val="en-GB"/>
        </w:rPr>
        <w:t xml:space="preserve"> </w:t>
      </w:r>
      <w:proofErr w:type="spellStart"/>
      <w:r w:rsidRPr="00CD1CBB">
        <w:rPr>
          <w:rFonts w:cs="Arial"/>
          <w:i/>
          <w:sz w:val="24"/>
          <w:szCs w:val="24"/>
          <w:lang w:val="en-GB"/>
        </w:rPr>
        <w:t>somalisk</w:t>
      </w:r>
      <w:proofErr w:type="spellEnd"/>
      <w:r w:rsidRPr="00CD1CBB">
        <w:rPr>
          <w:rFonts w:cs="Arial"/>
          <w:i/>
          <w:sz w:val="24"/>
          <w:szCs w:val="24"/>
          <w:lang w:val="en-GB"/>
        </w:rPr>
        <w:t xml:space="preserve"> </w:t>
      </w:r>
      <w:proofErr w:type="spellStart"/>
      <w:r w:rsidRPr="00CD1CBB">
        <w:rPr>
          <w:rFonts w:cs="Arial"/>
          <w:i/>
          <w:sz w:val="24"/>
          <w:szCs w:val="24"/>
          <w:lang w:val="en-GB"/>
        </w:rPr>
        <w:t>bakgrunn</w:t>
      </w:r>
      <w:proofErr w:type="spellEnd"/>
      <w:r w:rsidRPr="00CD1CBB">
        <w:rPr>
          <w:rFonts w:cs="Arial"/>
          <w:i/>
          <w:sz w:val="24"/>
          <w:szCs w:val="24"/>
          <w:lang w:val="en-GB"/>
        </w:rPr>
        <w:t xml:space="preserve">, Oslo 1970 </w:t>
      </w:r>
      <w:r w:rsidRPr="00934FE2">
        <w:rPr>
          <w:rFonts w:cs="Arial"/>
          <w:i/>
          <w:sz w:val="24"/>
          <w:szCs w:val="24"/>
          <w:lang w:val="en-GB"/>
        </w:rPr>
        <w:t>–</w:t>
      </w:r>
      <w:r w:rsidRPr="00CD1CBB">
        <w:rPr>
          <w:rFonts w:cs="Arial"/>
          <w:i/>
          <w:sz w:val="24"/>
          <w:szCs w:val="24"/>
          <w:lang w:val="en-GB"/>
        </w:rPr>
        <w:t xml:space="preserve"> 2003 (Through </w:t>
      </w:r>
      <w:r w:rsidRPr="00CD1CBB">
        <w:rPr>
          <w:rFonts w:cs="Arial"/>
          <w:i/>
          <w:sz w:val="24"/>
          <w:szCs w:val="24"/>
          <w:lang w:val="en-GB"/>
        </w:rPr>
        <w:lastRenderedPageBreak/>
        <w:t xml:space="preserve">the eye of a needle </w:t>
      </w:r>
      <w:r w:rsidRPr="00934FE2">
        <w:rPr>
          <w:rFonts w:cs="Arial"/>
          <w:i/>
          <w:sz w:val="24"/>
          <w:szCs w:val="24"/>
          <w:lang w:val="en-GB"/>
        </w:rPr>
        <w:t>–</w:t>
      </w:r>
      <w:r w:rsidRPr="00CD1CBB">
        <w:rPr>
          <w:rFonts w:cs="Arial"/>
          <w:i/>
          <w:sz w:val="24"/>
          <w:szCs w:val="24"/>
          <w:lang w:val="en-GB"/>
        </w:rPr>
        <w:t xml:space="preserve"> a comparison of adaptions to the housing market among households with Pakistani, Tamil and Somali background, Oslo 1970 </w:t>
      </w:r>
      <w:r w:rsidRPr="00934FE2">
        <w:rPr>
          <w:rFonts w:cs="Arial"/>
          <w:i/>
          <w:sz w:val="24"/>
          <w:szCs w:val="24"/>
          <w:lang w:val="en-GB"/>
        </w:rPr>
        <w:t>–</w:t>
      </w:r>
      <w:r w:rsidRPr="00CD1CBB">
        <w:rPr>
          <w:rFonts w:cs="Arial"/>
          <w:i/>
          <w:sz w:val="24"/>
          <w:szCs w:val="24"/>
          <w:lang w:val="en-GB"/>
        </w:rPr>
        <w:t xml:space="preserve"> 2003). </w:t>
      </w:r>
      <w:proofErr w:type="gramStart"/>
      <w:r w:rsidRPr="00B3651E">
        <w:rPr>
          <w:rFonts w:cs="Arial"/>
          <w:sz w:val="24"/>
          <w:szCs w:val="24"/>
          <w:lang w:val="en-US"/>
        </w:rPr>
        <w:t>Thesis.</w:t>
      </w:r>
      <w:proofErr w:type="gramEnd"/>
      <w:r w:rsidRPr="00B3651E">
        <w:rPr>
          <w:rFonts w:cs="Arial"/>
          <w:sz w:val="24"/>
          <w:szCs w:val="24"/>
          <w:lang w:val="en-US"/>
        </w:rPr>
        <w:t xml:space="preserve"> </w:t>
      </w:r>
      <w:smartTag w:uri="urn:schemas-microsoft-com:office:smarttags" w:element="place">
        <w:r w:rsidRPr="00B3651E">
          <w:rPr>
            <w:rFonts w:cs="Arial"/>
            <w:sz w:val="24"/>
            <w:szCs w:val="24"/>
            <w:lang w:val="en-US"/>
          </w:rPr>
          <w:t>Oslo</w:t>
        </w:r>
      </w:smartTag>
      <w:r w:rsidRPr="00B3651E">
        <w:rPr>
          <w:rFonts w:cs="Arial"/>
          <w:sz w:val="24"/>
          <w:szCs w:val="24"/>
          <w:lang w:val="en-US"/>
        </w:rPr>
        <w:t xml:space="preserve">: Institute for Political Science, Faculty of Social Sciences, University of </w:t>
      </w:r>
      <w:smartTag w:uri="urn:schemas-microsoft-com:office:smarttags" w:element="place">
        <w:r w:rsidRPr="00B3651E">
          <w:rPr>
            <w:rFonts w:cs="Arial"/>
            <w:sz w:val="24"/>
            <w:szCs w:val="24"/>
            <w:lang w:val="en-US"/>
          </w:rPr>
          <w:t>Oslo</w:t>
        </w:r>
      </w:smartTag>
      <w:r w:rsidRPr="00B3651E">
        <w:rPr>
          <w:rFonts w:cs="Arial"/>
          <w:sz w:val="24"/>
          <w:szCs w:val="24"/>
          <w:lang w:val="en-US"/>
        </w:rPr>
        <w:t>.</w:t>
      </w:r>
    </w:p>
    <w:p w:rsidR="00E67A3F" w:rsidRPr="00B3651E" w:rsidRDefault="00E67A3F" w:rsidP="00E67A3F">
      <w:pPr>
        <w:rPr>
          <w:rFonts w:cs="Arial"/>
          <w:sz w:val="24"/>
          <w:szCs w:val="24"/>
          <w:lang w:val="en-US"/>
        </w:rPr>
      </w:pPr>
    </w:p>
    <w:p w:rsidR="00E67A3F" w:rsidRPr="00B3651E" w:rsidRDefault="00E67A3F" w:rsidP="00E67A3F">
      <w:pPr>
        <w:rPr>
          <w:rFonts w:cs="Arial"/>
          <w:sz w:val="24"/>
          <w:szCs w:val="24"/>
          <w:lang w:val="en-GB"/>
        </w:rPr>
      </w:pPr>
      <w:proofErr w:type="spellStart"/>
      <w:r w:rsidRPr="00B3651E">
        <w:rPr>
          <w:rFonts w:cs="Arial"/>
          <w:sz w:val="24"/>
          <w:szCs w:val="24"/>
          <w:lang w:val="en-GB"/>
        </w:rPr>
        <w:t>Søholt</w:t>
      </w:r>
      <w:proofErr w:type="spellEnd"/>
      <w:r w:rsidRPr="00B3651E">
        <w:rPr>
          <w:rFonts w:cs="Arial"/>
          <w:sz w:val="24"/>
          <w:szCs w:val="24"/>
          <w:lang w:val="en-GB"/>
        </w:rPr>
        <w:t xml:space="preserve"> S </w:t>
      </w:r>
      <w:r>
        <w:rPr>
          <w:rFonts w:cs="Arial"/>
          <w:sz w:val="24"/>
          <w:szCs w:val="24"/>
          <w:lang w:val="en-GB"/>
        </w:rPr>
        <w:t>and</w:t>
      </w:r>
      <w:r w:rsidRPr="00B3651E">
        <w:rPr>
          <w:rFonts w:cs="Arial"/>
          <w:sz w:val="24"/>
          <w:szCs w:val="24"/>
          <w:lang w:val="en-GB"/>
        </w:rPr>
        <w:t xml:space="preserve"> </w:t>
      </w:r>
      <w:proofErr w:type="spellStart"/>
      <w:r w:rsidRPr="00B3651E">
        <w:rPr>
          <w:rFonts w:cs="Arial"/>
          <w:sz w:val="24"/>
          <w:szCs w:val="24"/>
          <w:lang w:val="en-GB"/>
        </w:rPr>
        <w:t>Astrup</w:t>
      </w:r>
      <w:proofErr w:type="spellEnd"/>
      <w:r w:rsidRPr="00B3651E">
        <w:rPr>
          <w:rFonts w:cs="Arial"/>
          <w:sz w:val="24"/>
          <w:szCs w:val="24"/>
          <w:lang w:val="en-GB"/>
        </w:rPr>
        <w:t xml:space="preserve"> K (2009a) </w:t>
      </w:r>
      <w:proofErr w:type="spellStart"/>
      <w:r w:rsidRPr="00B3651E">
        <w:rPr>
          <w:rFonts w:cs="Arial"/>
          <w:i/>
          <w:sz w:val="24"/>
          <w:szCs w:val="24"/>
          <w:lang w:val="en-GB"/>
        </w:rPr>
        <w:t>Etniske</w:t>
      </w:r>
      <w:proofErr w:type="spellEnd"/>
      <w:r w:rsidRPr="00B3651E">
        <w:rPr>
          <w:rFonts w:cs="Arial"/>
          <w:i/>
          <w:sz w:val="24"/>
          <w:szCs w:val="24"/>
          <w:lang w:val="en-GB"/>
        </w:rPr>
        <w:t xml:space="preserve"> </w:t>
      </w:r>
      <w:proofErr w:type="spellStart"/>
      <w:r w:rsidRPr="00B3651E">
        <w:rPr>
          <w:rFonts w:cs="Arial"/>
          <w:i/>
          <w:sz w:val="24"/>
          <w:szCs w:val="24"/>
          <w:lang w:val="en-GB"/>
        </w:rPr>
        <w:t>minoriteter</w:t>
      </w:r>
      <w:proofErr w:type="spellEnd"/>
      <w:r w:rsidRPr="00B3651E">
        <w:rPr>
          <w:rFonts w:cs="Arial"/>
          <w:i/>
          <w:sz w:val="24"/>
          <w:szCs w:val="24"/>
          <w:lang w:val="en-GB"/>
        </w:rPr>
        <w:t xml:space="preserve"> </w:t>
      </w:r>
      <w:proofErr w:type="spellStart"/>
      <w:proofErr w:type="gramStart"/>
      <w:r w:rsidRPr="00B3651E">
        <w:rPr>
          <w:rFonts w:cs="Arial"/>
          <w:i/>
          <w:sz w:val="24"/>
          <w:szCs w:val="24"/>
          <w:lang w:val="en-GB"/>
        </w:rPr>
        <w:t>og</w:t>
      </w:r>
      <w:proofErr w:type="spellEnd"/>
      <w:proofErr w:type="gramEnd"/>
      <w:r w:rsidRPr="00B3651E">
        <w:rPr>
          <w:rFonts w:cs="Arial"/>
          <w:i/>
          <w:sz w:val="24"/>
          <w:szCs w:val="24"/>
          <w:lang w:val="en-GB"/>
        </w:rPr>
        <w:t xml:space="preserve"> </w:t>
      </w:r>
      <w:proofErr w:type="spellStart"/>
      <w:r w:rsidRPr="00B3651E">
        <w:rPr>
          <w:rFonts w:cs="Arial"/>
          <w:i/>
          <w:sz w:val="24"/>
          <w:szCs w:val="24"/>
          <w:lang w:val="en-GB"/>
        </w:rPr>
        <w:t>forskjellsbehandling</w:t>
      </w:r>
      <w:proofErr w:type="spellEnd"/>
      <w:r w:rsidRPr="00B3651E">
        <w:rPr>
          <w:rFonts w:cs="Arial"/>
          <w:i/>
          <w:sz w:val="24"/>
          <w:szCs w:val="24"/>
          <w:lang w:val="en-GB"/>
        </w:rPr>
        <w:t xml:space="preserve"> </w:t>
      </w:r>
      <w:proofErr w:type="spellStart"/>
      <w:r w:rsidRPr="00B3651E">
        <w:rPr>
          <w:rFonts w:cs="Arial"/>
          <w:i/>
          <w:sz w:val="24"/>
          <w:szCs w:val="24"/>
          <w:lang w:val="en-GB"/>
        </w:rPr>
        <w:t>i</w:t>
      </w:r>
      <w:proofErr w:type="spellEnd"/>
      <w:r w:rsidRPr="00B3651E">
        <w:rPr>
          <w:rFonts w:cs="Arial"/>
          <w:i/>
          <w:sz w:val="24"/>
          <w:szCs w:val="24"/>
          <w:lang w:val="en-GB"/>
        </w:rPr>
        <w:t xml:space="preserve"> </w:t>
      </w:r>
      <w:proofErr w:type="spellStart"/>
      <w:r w:rsidRPr="00B3651E">
        <w:rPr>
          <w:rFonts w:cs="Arial"/>
          <w:i/>
          <w:sz w:val="24"/>
          <w:szCs w:val="24"/>
          <w:lang w:val="en-GB"/>
        </w:rPr>
        <w:t>leiemarkedet</w:t>
      </w:r>
      <w:proofErr w:type="spellEnd"/>
      <w:r w:rsidRPr="00B3651E">
        <w:rPr>
          <w:rFonts w:cs="Arial"/>
          <w:i/>
          <w:sz w:val="24"/>
          <w:szCs w:val="24"/>
          <w:lang w:val="en-GB"/>
        </w:rPr>
        <w:t xml:space="preserve"> (Ethnic minorities and unequal treatment in the rental market). </w:t>
      </w:r>
      <w:r w:rsidRPr="00B3651E">
        <w:rPr>
          <w:rFonts w:cs="Arial"/>
          <w:sz w:val="24"/>
          <w:szCs w:val="24"/>
          <w:lang w:val="en-GB"/>
        </w:rPr>
        <w:t xml:space="preserve">NIBR-report: 2. </w:t>
      </w:r>
      <w:smartTag w:uri="urn:schemas-microsoft-com:office:smarttags" w:element="place">
        <w:r w:rsidRPr="00B3651E">
          <w:rPr>
            <w:rFonts w:cs="Arial"/>
            <w:sz w:val="24"/>
            <w:szCs w:val="24"/>
            <w:lang w:val="en-GB"/>
          </w:rPr>
          <w:t>Oslo</w:t>
        </w:r>
      </w:smartTag>
      <w:r w:rsidRPr="00B3651E">
        <w:rPr>
          <w:rFonts w:cs="Arial"/>
          <w:sz w:val="24"/>
          <w:szCs w:val="24"/>
          <w:lang w:val="en-GB"/>
        </w:rPr>
        <w:t xml:space="preserve">: Norwegian Institute </w:t>
      </w:r>
      <w:r>
        <w:rPr>
          <w:rFonts w:cs="Arial"/>
          <w:sz w:val="24"/>
          <w:szCs w:val="24"/>
          <w:lang w:val="en-GB"/>
        </w:rPr>
        <w:t>for</w:t>
      </w:r>
      <w:r w:rsidRPr="00B3651E">
        <w:rPr>
          <w:rFonts w:cs="Arial"/>
          <w:sz w:val="24"/>
          <w:szCs w:val="24"/>
          <w:lang w:val="en-GB"/>
        </w:rPr>
        <w:t xml:space="preserve"> Urban and Regional Research.</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r w:rsidRPr="00B3651E">
        <w:rPr>
          <w:rFonts w:cs="Arial"/>
          <w:sz w:val="24"/>
          <w:szCs w:val="24"/>
          <w:lang w:val="en-US"/>
        </w:rPr>
        <w:t>Søholt</w:t>
      </w:r>
      <w:proofErr w:type="spellEnd"/>
      <w:r w:rsidRPr="00B3651E">
        <w:rPr>
          <w:rFonts w:cs="Arial"/>
          <w:sz w:val="24"/>
          <w:szCs w:val="24"/>
          <w:lang w:val="en-US"/>
        </w:rPr>
        <w:t xml:space="preserve"> S </w:t>
      </w:r>
      <w:r>
        <w:rPr>
          <w:rFonts w:cs="Arial"/>
          <w:sz w:val="24"/>
          <w:szCs w:val="24"/>
          <w:lang w:val="en-US"/>
        </w:rPr>
        <w:t>and</w:t>
      </w:r>
      <w:r w:rsidRPr="00B3651E">
        <w:rPr>
          <w:rFonts w:cs="Arial"/>
          <w:sz w:val="24"/>
          <w:szCs w:val="24"/>
          <w:lang w:val="en-US"/>
        </w:rPr>
        <w:t xml:space="preserve"> </w:t>
      </w:r>
      <w:proofErr w:type="spellStart"/>
      <w:r w:rsidRPr="00B3651E">
        <w:rPr>
          <w:rFonts w:cs="Arial"/>
          <w:sz w:val="24"/>
          <w:szCs w:val="24"/>
          <w:lang w:val="en-US"/>
        </w:rPr>
        <w:t>Astrup</w:t>
      </w:r>
      <w:proofErr w:type="spellEnd"/>
      <w:r w:rsidRPr="00B3651E">
        <w:rPr>
          <w:rFonts w:cs="Arial"/>
          <w:sz w:val="24"/>
          <w:szCs w:val="24"/>
          <w:lang w:val="en-US"/>
        </w:rPr>
        <w:t xml:space="preserve"> K (2009b) </w:t>
      </w:r>
      <w:proofErr w:type="spellStart"/>
      <w:r w:rsidRPr="00B3651E">
        <w:rPr>
          <w:rFonts w:cs="Arial"/>
          <w:i/>
          <w:sz w:val="24"/>
          <w:szCs w:val="24"/>
          <w:lang w:val="en-US"/>
        </w:rPr>
        <w:t>Etterkommere</w:t>
      </w:r>
      <w:proofErr w:type="spellEnd"/>
      <w:r w:rsidRPr="00B3651E">
        <w:rPr>
          <w:rFonts w:cs="Arial"/>
          <w:i/>
          <w:sz w:val="24"/>
          <w:szCs w:val="24"/>
          <w:lang w:val="en-US"/>
        </w:rPr>
        <w:t xml:space="preserve"> </w:t>
      </w:r>
      <w:proofErr w:type="spellStart"/>
      <w:r w:rsidRPr="00B3651E">
        <w:rPr>
          <w:rFonts w:cs="Arial"/>
          <w:i/>
          <w:sz w:val="24"/>
          <w:szCs w:val="24"/>
          <w:lang w:val="en-US"/>
        </w:rPr>
        <w:t>av</w:t>
      </w:r>
      <w:proofErr w:type="spellEnd"/>
      <w:r w:rsidRPr="00B3651E">
        <w:rPr>
          <w:rFonts w:cs="Arial"/>
          <w:i/>
          <w:sz w:val="24"/>
          <w:szCs w:val="24"/>
          <w:lang w:val="en-US"/>
        </w:rPr>
        <w:t xml:space="preserve"> </w:t>
      </w:r>
      <w:proofErr w:type="spellStart"/>
      <w:proofErr w:type="gramStart"/>
      <w:r w:rsidRPr="00B3651E">
        <w:rPr>
          <w:rFonts w:cs="Arial"/>
          <w:i/>
          <w:sz w:val="24"/>
          <w:szCs w:val="24"/>
          <w:lang w:val="en-US"/>
        </w:rPr>
        <w:t>innvandrere</w:t>
      </w:r>
      <w:proofErr w:type="spellEnd"/>
      <w:r w:rsidRPr="00B3651E">
        <w:rPr>
          <w:rFonts w:cs="Arial"/>
          <w:i/>
          <w:sz w:val="24"/>
          <w:szCs w:val="24"/>
          <w:lang w:val="en-US"/>
        </w:rPr>
        <w:t xml:space="preserve">  -</w:t>
      </w:r>
      <w:proofErr w:type="gramEnd"/>
      <w:r w:rsidRPr="00B3651E">
        <w:rPr>
          <w:rFonts w:cs="Arial"/>
          <w:i/>
          <w:sz w:val="24"/>
          <w:szCs w:val="24"/>
          <w:lang w:val="en-US"/>
        </w:rPr>
        <w:t xml:space="preserve"> </w:t>
      </w:r>
      <w:proofErr w:type="spellStart"/>
      <w:r w:rsidRPr="00B3651E">
        <w:rPr>
          <w:rFonts w:cs="Arial"/>
          <w:i/>
          <w:sz w:val="24"/>
          <w:szCs w:val="24"/>
          <w:lang w:val="en-US"/>
        </w:rPr>
        <w:t>bolig</w:t>
      </w:r>
      <w:proofErr w:type="spellEnd"/>
      <w:r w:rsidRPr="00B3651E">
        <w:rPr>
          <w:rFonts w:cs="Arial"/>
          <w:i/>
          <w:sz w:val="24"/>
          <w:szCs w:val="24"/>
          <w:lang w:val="en-US"/>
        </w:rPr>
        <w:t xml:space="preserve"> </w:t>
      </w:r>
      <w:proofErr w:type="spellStart"/>
      <w:r w:rsidRPr="00B3651E">
        <w:rPr>
          <w:rFonts w:cs="Arial"/>
          <w:i/>
          <w:sz w:val="24"/>
          <w:szCs w:val="24"/>
          <w:lang w:val="en-US"/>
        </w:rPr>
        <w:t>og</w:t>
      </w:r>
      <w:proofErr w:type="spellEnd"/>
      <w:r w:rsidRPr="00B3651E">
        <w:rPr>
          <w:rFonts w:cs="Arial"/>
          <w:i/>
          <w:sz w:val="24"/>
          <w:szCs w:val="24"/>
          <w:lang w:val="en-US"/>
        </w:rPr>
        <w:t xml:space="preserve"> </w:t>
      </w:r>
      <w:proofErr w:type="spellStart"/>
      <w:r w:rsidRPr="00B3651E">
        <w:rPr>
          <w:rFonts w:cs="Arial"/>
          <w:i/>
          <w:sz w:val="24"/>
          <w:szCs w:val="24"/>
          <w:lang w:val="en-US"/>
        </w:rPr>
        <w:t>bostedsmønster</w:t>
      </w:r>
      <w:proofErr w:type="spellEnd"/>
      <w:r w:rsidRPr="00B3651E">
        <w:rPr>
          <w:rFonts w:cs="Arial"/>
          <w:i/>
          <w:sz w:val="24"/>
          <w:szCs w:val="24"/>
          <w:lang w:val="en-US"/>
        </w:rPr>
        <w:t xml:space="preserve"> (The second generation of immigrants – housing and housing patterns). </w:t>
      </w:r>
      <w:r w:rsidRPr="00B3651E">
        <w:rPr>
          <w:rFonts w:cs="Arial"/>
          <w:sz w:val="24"/>
          <w:szCs w:val="24"/>
          <w:lang w:val="en-GB"/>
        </w:rPr>
        <w:t xml:space="preserve">NIBR-report: 3. </w:t>
      </w:r>
      <w:smartTag w:uri="urn:schemas-microsoft-com:office:smarttags" w:element="place">
        <w:r w:rsidRPr="00B3651E">
          <w:rPr>
            <w:rFonts w:cs="Arial"/>
            <w:sz w:val="24"/>
            <w:szCs w:val="24"/>
            <w:lang w:val="en-GB"/>
          </w:rPr>
          <w:t>Oslo</w:t>
        </w:r>
      </w:smartTag>
      <w:r w:rsidRPr="00B3651E">
        <w:rPr>
          <w:rFonts w:cs="Arial"/>
          <w:sz w:val="24"/>
          <w:szCs w:val="24"/>
          <w:lang w:val="en-GB"/>
        </w:rPr>
        <w:t xml:space="preserve">: Norwegian Institute </w:t>
      </w:r>
      <w:r>
        <w:rPr>
          <w:rFonts w:cs="Arial"/>
          <w:sz w:val="24"/>
          <w:szCs w:val="24"/>
          <w:lang w:val="en-GB"/>
        </w:rPr>
        <w:t>for</w:t>
      </w:r>
      <w:r w:rsidRPr="00B3651E">
        <w:rPr>
          <w:rFonts w:cs="Arial"/>
          <w:sz w:val="24"/>
          <w:szCs w:val="24"/>
          <w:lang w:val="en-GB"/>
        </w:rPr>
        <w:t xml:space="preserve"> Urban and Regional Research.</w:t>
      </w:r>
    </w:p>
    <w:p w:rsidR="00E67A3F" w:rsidRPr="00B3651E" w:rsidRDefault="00E67A3F" w:rsidP="00E67A3F">
      <w:pPr>
        <w:rPr>
          <w:rFonts w:cs="Arial"/>
          <w:sz w:val="24"/>
          <w:szCs w:val="24"/>
          <w:lang w:val="en-GB"/>
        </w:rPr>
      </w:pPr>
    </w:p>
    <w:p w:rsidR="00E67A3F" w:rsidRDefault="00E67A3F" w:rsidP="00E67A3F">
      <w:pPr>
        <w:rPr>
          <w:rFonts w:cs="Arial"/>
          <w:sz w:val="24"/>
          <w:szCs w:val="24"/>
          <w:lang w:val="en-GB"/>
        </w:rPr>
      </w:pPr>
      <w:r w:rsidRPr="00063AAB">
        <w:rPr>
          <w:rFonts w:cs="Arial"/>
          <w:sz w:val="24"/>
          <w:szCs w:val="24"/>
          <w:lang w:val="en-GB"/>
        </w:rPr>
        <w:t xml:space="preserve">Turner, B., and Whitehead C. (2002) "Reducing Housing Subsidy: Swedish Housing Policy in an International Context ", </w:t>
      </w:r>
      <w:r>
        <w:rPr>
          <w:rFonts w:cs="Arial"/>
          <w:i/>
          <w:sz w:val="24"/>
          <w:szCs w:val="24"/>
          <w:lang w:val="en-GB"/>
        </w:rPr>
        <w:t>Urban Studies</w:t>
      </w:r>
      <w:r w:rsidRPr="00063AAB">
        <w:rPr>
          <w:rFonts w:cs="Arial"/>
          <w:sz w:val="24"/>
          <w:szCs w:val="24"/>
          <w:lang w:val="en-GB"/>
        </w:rPr>
        <w:t xml:space="preserve">, Vol. 39 </w:t>
      </w:r>
      <w:r>
        <w:rPr>
          <w:rFonts w:cs="Arial"/>
          <w:sz w:val="24"/>
          <w:szCs w:val="24"/>
          <w:lang w:val="en-GB"/>
        </w:rPr>
        <w:t xml:space="preserve">No. </w:t>
      </w:r>
      <w:r w:rsidRPr="00063AAB">
        <w:rPr>
          <w:rFonts w:cs="Arial"/>
          <w:sz w:val="24"/>
          <w:szCs w:val="24"/>
          <w:lang w:val="en-GB"/>
        </w:rPr>
        <w:t>2</w:t>
      </w:r>
      <w:r>
        <w:rPr>
          <w:rFonts w:cs="Arial"/>
          <w:sz w:val="24"/>
          <w:szCs w:val="24"/>
          <w:lang w:val="en-GB"/>
        </w:rPr>
        <w:t>,</w:t>
      </w:r>
      <w:r w:rsidRPr="00063AAB">
        <w:rPr>
          <w:rFonts w:cs="Arial"/>
          <w:sz w:val="24"/>
          <w:szCs w:val="24"/>
          <w:lang w:val="en-GB"/>
        </w:rPr>
        <w:t xml:space="preserve"> pp. 201 </w:t>
      </w:r>
      <w:r>
        <w:rPr>
          <w:rFonts w:cs="Arial"/>
          <w:sz w:val="24"/>
          <w:szCs w:val="24"/>
          <w:lang w:val="en-GB"/>
        </w:rPr>
        <w:t>–</w:t>
      </w:r>
      <w:r w:rsidRPr="00063AAB">
        <w:rPr>
          <w:rFonts w:cs="Arial"/>
          <w:sz w:val="24"/>
          <w:szCs w:val="24"/>
          <w:lang w:val="en-GB"/>
        </w:rPr>
        <w:t xml:space="preserve"> 217</w:t>
      </w:r>
      <w:r>
        <w:rPr>
          <w:rFonts w:cs="Arial"/>
          <w:sz w:val="24"/>
          <w:szCs w:val="24"/>
          <w:lang w:val="en-GB"/>
        </w:rPr>
        <w:t>.</w:t>
      </w:r>
    </w:p>
    <w:p w:rsidR="00E67A3F" w:rsidRPr="00B3651E" w:rsidRDefault="00E67A3F" w:rsidP="00E67A3F">
      <w:pPr>
        <w:rPr>
          <w:rFonts w:cs="Arial"/>
          <w:sz w:val="24"/>
          <w:szCs w:val="24"/>
          <w:lang w:val="en-GB"/>
        </w:rPr>
      </w:pPr>
    </w:p>
    <w:p w:rsidR="00E67A3F" w:rsidRPr="00B3651E" w:rsidRDefault="00E67A3F" w:rsidP="00E67A3F">
      <w:pPr>
        <w:autoSpaceDE w:val="0"/>
        <w:autoSpaceDN w:val="0"/>
        <w:adjustRightInd w:val="0"/>
        <w:rPr>
          <w:rFonts w:cs="Arial"/>
          <w:sz w:val="24"/>
          <w:szCs w:val="24"/>
          <w:lang w:val="en-GB"/>
        </w:rPr>
      </w:pPr>
      <w:proofErr w:type="gramStart"/>
      <w:r w:rsidRPr="00B3651E">
        <w:rPr>
          <w:rFonts w:cs="Arial"/>
          <w:sz w:val="24"/>
          <w:szCs w:val="24"/>
          <w:lang w:val="en-GB"/>
        </w:rPr>
        <w:t>Wright R., Ellis M. and Parks V. (2005) Re-placing Whiteness in Spatial Assimilation Research.</w:t>
      </w:r>
      <w:proofErr w:type="gramEnd"/>
      <w:r w:rsidRPr="00B3651E">
        <w:rPr>
          <w:rFonts w:cs="Arial"/>
          <w:sz w:val="24"/>
          <w:szCs w:val="24"/>
          <w:lang w:val="en-GB"/>
        </w:rPr>
        <w:t xml:space="preserve"> </w:t>
      </w:r>
      <w:r w:rsidRPr="00B3651E">
        <w:rPr>
          <w:rFonts w:cs="Arial"/>
          <w:i/>
          <w:sz w:val="24"/>
          <w:szCs w:val="24"/>
          <w:lang w:val="en-GB"/>
        </w:rPr>
        <w:t>City and Community</w:t>
      </w:r>
      <w:r w:rsidRPr="00B3651E">
        <w:rPr>
          <w:rFonts w:cs="Arial"/>
          <w:sz w:val="24"/>
          <w:szCs w:val="24"/>
          <w:lang w:val="en-GB"/>
        </w:rPr>
        <w:t>, Volume 5, Issue 2, pp. 111-135.</w:t>
      </w:r>
    </w:p>
    <w:p w:rsidR="00E67A3F" w:rsidRPr="00B3651E" w:rsidRDefault="00E67A3F" w:rsidP="00E67A3F">
      <w:pPr>
        <w:rPr>
          <w:rFonts w:cs="Arial"/>
          <w:sz w:val="24"/>
          <w:szCs w:val="24"/>
          <w:lang w:val="en-GB"/>
        </w:rPr>
      </w:pPr>
    </w:p>
    <w:p w:rsidR="00E67A3F" w:rsidRPr="00B3651E" w:rsidRDefault="00E67A3F" w:rsidP="00E67A3F">
      <w:pPr>
        <w:rPr>
          <w:rFonts w:cs="Arial"/>
          <w:sz w:val="24"/>
          <w:szCs w:val="24"/>
          <w:lang w:val="en-GB"/>
        </w:rPr>
      </w:pPr>
      <w:proofErr w:type="spellStart"/>
      <w:proofErr w:type="gramStart"/>
      <w:r w:rsidRPr="00B3651E">
        <w:rPr>
          <w:rFonts w:cs="Arial"/>
          <w:sz w:val="24"/>
          <w:szCs w:val="24"/>
          <w:lang w:val="en-GB"/>
        </w:rPr>
        <w:t>Zavodney</w:t>
      </w:r>
      <w:proofErr w:type="spellEnd"/>
      <w:r w:rsidRPr="00B3651E">
        <w:rPr>
          <w:rFonts w:cs="Arial"/>
          <w:sz w:val="24"/>
          <w:szCs w:val="24"/>
          <w:lang w:val="en-GB"/>
        </w:rPr>
        <w:t>, M. (1998) Welfare and the locational choices of new immigrants.</w:t>
      </w:r>
      <w:proofErr w:type="gramEnd"/>
      <w:r w:rsidRPr="00B3651E">
        <w:rPr>
          <w:rFonts w:cs="Arial"/>
          <w:sz w:val="24"/>
          <w:szCs w:val="24"/>
          <w:lang w:val="en-GB"/>
        </w:rPr>
        <w:t xml:space="preserve"> </w:t>
      </w:r>
      <w:proofErr w:type="gramStart"/>
      <w:r w:rsidRPr="00B3651E">
        <w:rPr>
          <w:rFonts w:cs="Arial"/>
          <w:sz w:val="24"/>
          <w:szCs w:val="24"/>
          <w:lang w:val="en-GB"/>
        </w:rPr>
        <w:t>in</w:t>
      </w:r>
      <w:proofErr w:type="gramEnd"/>
      <w:r w:rsidRPr="00B3651E">
        <w:rPr>
          <w:rFonts w:cs="Arial"/>
          <w:sz w:val="24"/>
          <w:szCs w:val="24"/>
          <w:lang w:val="en-GB"/>
        </w:rPr>
        <w:t xml:space="preserve">: </w:t>
      </w:r>
      <w:r w:rsidRPr="00B3651E">
        <w:rPr>
          <w:rFonts w:cs="Arial"/>
          <w:i/>
          <w:sz w:val="24"/>
          <w:szCs w:val="24"/>
          <w:lang w:val="en-GB"/>
        </w:rPr>
        <w:t xml:space="preserve">Federal Reserve Bank of </w:t>
      </w:r>
      <w:smartTag w:uri="urn:schemas-microsoft-com:office:smarttags" w:element="place">
        <w:r w:rsidRPr="00B3651E">
          <w:rPr>
            <w:rFonts w:cs="Arial"/>
            <w:i/>
            <w:sz w:val="24"/>
            <w:szCs w:val="24"/>
            <w:lang w:val="en-GB"/>
          </w:rPr>
          <w:t>Dallas</w:t>
        </w:r>
      </w:smartTag>
      <w:r w:rsidRPr="00B3651E">
        <w:rPr>
          <w:rFonts w:cs="Arial"/>
          <w:i/>
          <w:sz w:val="24"/>
          <w:szCs w:val="24"/>
          <w:lang w:val="en-GB"/>
        </w:rPr>
        <w:t xml:space="preserve"> Economic Review</w:t>
      </w:r>
      <w:r w:rsidRPr="00B3651E">
        <w:rPr>
          <w:rFonts w:cs="Arial"/>
          <w:sz w:val="24"/>
          <w:szCs w:val="24"/>
          <w:lang w:val="en-GB"/>
        </w:rPr>
        <w:t>, Second Quarter 1997.</w:t>
      </w:r>
    </w:p>
    <w:p w:rsidR="002C5D9C" w:rsidRDefault="00E67A3F" w:rsidP="00E67A3F">
      <w:pPr>
        <w:rPr>
          <w:rFonts w:cs="Arial"/>
          <w:sz w:val="24"/>
          <w:szCs w:val="24"/>
          <w:lang w:val="en-GB"/>
        </w:rPr>
      </w:pPr>
      <w:r w:rsidRPr="007D643F">
        <w:rPr>
          <w:rFonts w:cs="Arial"/>
          <w:sz w:val="24"/>
          <w:szCs w:val="24"/>
          <w:lang w:val="en-GB"/>
        </w:rPr>
        <w:t xml:space="preserve"> </w:t>
      </w:r>
    </w:p>
    <w:p w:rsidR="002C5D9C" w:rsidRDefault="002C5D9C" w:rsidP="002C5D9C">
      <w:pPr>
        <w:rPr>
          <w:lang w:val="en-GB"/>
        </w:rPr>
      </w:pPr>
      <w:r>
        <w:rPr>
          <w:lang w:val="en-GB"/>
        </w:rPr>
        <w:br w:type="page"/>
      </w:r>
    </w:p>
    <w:p w:rsidR="002C5D9C" w:rsidRDefault="002C5D9C" w:rsidP="002C5D9C">
      <w:pPr>
        <w:pStyle w:val="Billedtekst"/>
        <w:rPr>
          <w:lang w:val="en-GB"/>
        </w:rPr>
      </w:pPr>
      <w:bookmarkStart w:id="3" w:name="_Ref294080287"/>
      <w:proofErr w:type="gramStart"/>
      <w:r w:rsidRPr="00E66FE1">
        <w:rPr>
          <w:lang w:val="en-GB"/>
        </w:rPr>
        <w:lastRenderedPageBreak/>
        <w:t xml:space="preserve">Table </w:t>
      </w:r>
      <w:r w:rsidRPr="00E66FE1">
        <w:rPr>
          <w:lang w:val="en-GB"/>
        </w:rPr>
        <w:fldChar w:fldCharType="begin"/>
      </w:r>
      <w:r w:rsidRPr="00E66FE1">
        <w:rPr>
          <w:lang w:val="en-GB"/>
        </w:rPr>
        <w:instrText xml:space="preserve"> SEQ Table \* ARABIC </w:instrText>
      </w:r>
      <w:r w:rsidRPr="00E66FE1">
        <w:rPr>
          <w:lang w:val="en-GB"/>
        </w:rPr>
        <w:fldChar w:fldCharType="separate"/>
      </w:r>
      <w:r>
        <w:rPr>
          <w:noProof/>
          <w:lang w:val="en-GB"/>
        </w:rPr>
        <w:t>1</w:t>
      </w:r>
      <w:r w:rsidRPr="00E66FE1">
        <w:rPr>
          <w:lang w:val="en-GB"/>
        </w:rPr>
        <w:fldChar w:fldCharType="end"/>
      </w:r>
      <w:bookmarkEnd w:id="3"/>
      <w:r w:rsidRPr="00E66FE1">
        <w:rPr>
          <w:lang w:val="en-GB"/>
        </w:rPr>
        <w:t>.</w:t>
      </w:r>
      <w:proofErr w:type="gramEnd"/>
      <w:r w:rsidRPr="00E66FE1">
        <w:rPr>
          <w:lang w:val="en-GB"/>
        </w:rPr>
        <w:t xml:space="preserve"> </w:t>
      </w:r>
      <w:r>
        <w:rPr>
          <w:lang w:val="en-GB"/>
        </w:rPr>
        <w:t xml:space="preserve">Immigrants living in four Nordic countries and the proportion of them coming from </w:t>
      </w:r>
      <w:smartTag w:uri="urn:schemas-microsoft-com:office:smarttags" w:element="place">
        <w:r>
          <w:rPr>
            <w:lang w:val="en-GB"/>
          </w:rPr>
          <w:t>Eastern Europe</w:t>
        </w:r>
      </w:smartTag>
      <w:r>
        <w:rPr>
          <w:lang w:val="en-GB"/>
        </w:rPr>
        <w:t xml:space="preserve"> and Non-European countries</w:t>
      </w:r>
    </w:p>
    <w:tbl>
      <w:tblPr>
        <w:tblW w:w="7207" w:type="dxa"/>
        <w:tblInd w:w="70" w:type="dxa"/>
        <w:tblCellMar>
          <w:left w:w="70" w:type="dxa"/>
          <w:right w:w="70" w:type="dxa"/>
        </w:tblCellMar>
        <w:tblLook w:val="0000" w:firstRow="0" w:lastRow="0" w:firstColumn="0" w:lastColumn="0" w:noHBand="0" w:noVBand="0"/>
      </w:tblPr>
      <w:tblGrid>
        <w:gridCol w:w="3960"/>
        <w:gridCol w:w="900"/>
        <w:gridCol w:w="675"/>
        <w:gridCol w:w="836"/>
        <w:gridCol w:w="836"/>
      </w:tblGrid>
      <w:tr w:rsidR="002C5D9C" w:rsidRPr="00F26000" w:rsidTr="000A52C9">
        <w:trPr>
          <w:trHeight w:val="270"/>
        </w:trPr>
        <w:tc>
          <w:tcPr>
            <w:tcW w:w="3960" w:type="dxa"/>
            <w:tcBorders>
              <w:top w:val="single" w:sz="4" w:space="0" w:color="auto"/>
              <w:left w:val="nil"/>
              <w:bottom w:val="single" w:sz="4" w:space="0" w:color="auto"/>
              <w:right w:val="nil"/>
            </w:tcBorders>
            <w:shd w:val="clear" w:color="auto" w:fill="auto"/>
            <w:noWrap/>
            <w:vAlign w:val="bottom"/>
          </w:tcPr>
          <w:p w:rsidR="002C5D9C" w:rsidRPr="00F26000" w:rsidRDefault="002C5D9C" w:rsidP="000A52C9">
            <w:pPr>
              <w:rPr>
                <w:rFonts w:ascii="Arial Narrow" w:hAnsi="Arial Narrow" w:cs="Arial"/>
                <w:sz w:val="18"/>
                <w:szCs w:val="18"/>
                <w:lang w:val="en-GB"/>
              </w:rPr>
            </w:pPr>
            <w:r w:rsidRPr="00F26000">
              <w:rPr>
                <w:rFonts w:ascii="Arial Narrow" w:hAnsi="Arial Narrow" w:cs="Arial"/>
                <w:sz w:val="18"/>
                <w:szCs w:val="18"/>
                <w:lang w:val="en-GB"/>
              </w:rPr>
              <w:t> </w:t>
            </w:r>
          </w:p>
        </w:tc>
        <w:tc>
          <w:tcPr>
            <w:tcW w:w="900" w:type="dxa"/>
            <w:tcBorders>
              <w:top w:val="single" w:sz="4" w:space="0" w:color="auto"/>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Denmark</w:t>
            </w:r>
          </w:p>
        </w:tc>
        <w:tc>
          <w:tcPr>
            <w:tcW w:w="675" w:type="dxa"/>
            <w:tcBorders>
              <w:top w:val="single" w:sz="4" w:space="0" w:color="auto"/>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Finland</w:t>
            </w:r>
          </w:p>
        </w:tc>
        <w:tc>
          <w:tcPr>
            <w:tcW w:w="836" w:type="dxa"/>
            <w:tcBorders>
              <w:top w:val="single" w:sz="4" w:space="0" w:color="auto"/>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F26000">
                  <w:rPr>
                    <w:rFonts w:ascii="Arial Narrow" w:hAnsi="Arial Narrow" w:cs="Arial"/>
                    <w:sz w:val="18"/>
                    <w:szCs w:val="18"/>
                    <w:lang w:val="en-GB"/>
                  </w:rPr>
                  <w:t>Norway</w:t>
                </w:r>
              </w:smartTag>
            </w:smartTag>
          </w:p>
        </w:tc>
        <w:tc>
          <w:tcPr>
            <w:tcW w:w="836" w:type="dxa"/>
            <w:tcBorders>
              <w:top w:val="single" w:sz="4" w:space="0" w:color="auto"/>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F26000">
                  <w:rPr>
                    <w:rFonts w:ascii="Arial Narrow" w:hAnsi="Arial Narrow" w:cs="Arial"/>
                    <w:sz w:val="18"/>
                    <w:szCs w:val="18"/>
                    <w:lang w:val="en-GB"/>
                  </w:rPr>
                  <w:t>Sweden</w:t>
                </w:r>
              </w:smartTag>
            </w:smartTag>
          </w:p>
        </w:tc>
      </w:tr>
      <w:tr w:rsidR="002C5D9C" w:rsidRPr="00F26000" w:rsidTr="000A52C9">
        <w:trPr>
          <w:trHeight w:val="270"/>
        </w:trPr>
        <w:tc>
          <w:tcPr>
            <w:tcW w:w="3960" w:type="dxa"/>
            <w:tcBorders>
              <w:top w:val="nil"/>
              <w:left w:val="nil"/>
              <w:bottom w:val="nil"/>
              <w:right w:val="nil"/>
            </w:tcBorders>
            <w:shd w:val="clear" w:color="auto" w:fill="auto"/>
            <w:noWrap/>
            <w:vAlign w:val="bottom"/>
          </w:tcPr>
          <w:p w:rsidR="002C5D9C" w:rsidRPr="00F26000" w:rsidRDefault="002C5D9C" w:rsidP="000A52C9">
            <w:pPr>
              <w:rPr>
                <w:rFonts w:ascii="Arial Narrow" w:hAnsi="Arial Narrow" w:cs="Arial"/>
                <w:sz w:val="18"/>
                <w:szCs w:val="18"/>
                <w:lang w:val="en-GB"/>
              </w:rPr>
            </w:pPr>
            <w:r w:rsidRPr="00F26000">
              <w:rPr>
                <w:rFonts w:ascii="Arial Narrow" w:hAnsi="Arial Narrow" w:cs="Arial"/>
                <w:sz w:val="18"/>
                <w:szCs w:val="18"/>
                <w:lang w:val="en-GB"/>
              </w:rPr>
              <w:t xml:space="preserve">Proportion of population born outside the country, </w:t>
            </w:r>
            <w:r>
              <w:rPr>
                <w:rFonts w:ascii="Arial Narrow" w:hAnsi="Arial Narrow" w:cs="Arial"/>
                <w:sz w:val="18"/>
                <w:szCs w:val="18"/>
                <w:lang w:val="en-GB"/>
              </w:rPr>
              <w:t>%</w:t>
            </w:r>
          </w:p>
        </w:tc>
        <w:tc>
          <w:tcPr>
            <w:tcW w:w="900"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9</w:t>
            </w:r>
            <w:r>
              <w:rPr>
                <w:rFonts w:ascii="Arial Narrow" w:hAnsi="Arial Narrow" w:cs="Arial"/>
                <w:sz w:val="18"/>
                <w:szCs w:val="18"/>
              </w:rPr>
              <w:t>.</w:t>
            </w:r>
            <w:r w:rsidRPr="00F26000">
              <w:rPr>
                <w:rFonts w:ascii="Arial Narrow" w:hAnsi="Arial Narrow" w:cs="Arial"/>
                <w:sz w:val="18"/>
                <w:szCs w:val="18"/>
              </w:rPr>
              <w:t>8</w:t>
            </w:r>
          </w:p>
        </w:tc>
        <w:tc>
          <w:tcPr>
            <w:tcW w:w="675"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4</w:t>
            </w:r>
            <w:r>
              <w:rPr>
                <w:rFonts w:ascii="Arial Narrow" w:hAnsi="Arial Narrow" w:cs="Arial"/>
                <w:sz w:val="18"/>
                <w:szCs w:val="18"/>
              </w:rPr>
              <w:t>.</w:t>
            </w:r>
            <w:r w:rsidRPr="00F26000">
              <w:rPr>
                <w:rFonts w:ascii="Arial Narrow" w:hAnsi="Arial Narrow" w:cs="Arial"/>
                <w:sz w:val="18"/>
                <w:szCs w:val="18"/>
              </w:rPr>
              <w:t>4</w:t>
            </w:r>
          </w:p>
        </w:tc>
        <w:tc>
          <w:tcPr>
            <w:tcW w:w="836"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lang w:val="en-GB"/>
              </w:rPr>
            </w:pPr>
            <w:r w:rsidRPr="00F26000">
              <w:rPr>
                <w:rFonts w:ascii="Arial Narrow" w:hAnsi="Arial Narrow" w:cs="Arial"/>
                <w:sz w:val="18"/>
                <w:szCs w:val="18"/>
                <w:lang w:val="en-GB"/>
              </w:rPr>
              <w:t>10</w:t>
            </w:r>
            <w:r>
              <w:rPr>
                <w:rFonts w:ascii="Arial Narrow" w:hAnsi="Arial Narrow" w:cs="Arial"/>
                <w:sz w:val="18"/>
                <w:szCs w:val="18"/>
                <w:lang w:val="en-GB"/>
              </w:rPr>
              <w:t>.</w:t>
            </w:r>
            <w:r w:rsidRPr="00F26000">
              <w:rPr>
                <w:rFonts w:ascii="Arial Narrow" w:hAnsi="Arial Narrow" w:cs="Arial"/>
                <w:sz w:val="18"/>
                <w:szCs w:val="18"/>
                <w:lang w:val="en-GB"/>
              </w:rPr>
              <w:t>8</w:t>
            </w:r>
          </w:p>
        </w:tc>
        <w:tc>
          <w:tcPr>
            <w:tcW w:w="836"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lang w:val="en-GB"/>
              </w:rPr>
            </w:pPr>
            <w:r w:rsidRPr="00F26000">
              <w:rPr>
                <w:rFonts w:ascii="Arial Narrow" w:hAnsi="Arial Narrow" w:cs="Arial"/>
                <w:sz w:val="18"/>
                <w:szCs w:val="18"/>
                <w:lang w:val="en-GB"/>
              </w:rPr>
              <w:t>14</w:t>
            </w:r>
            <w:r>
              <w:rPr>
                <w:rFonts w:ascii="Arial Narrow" w:hAnsi="Arial Narrow" w:cs="Arial"/>
                <w:sz w:val="18"/>
                <w:szCs w:val="18"/>
                <w:lang w:val="en-GB"/>
              </w:rPr>
              <w:t>.</w:t>
            </w:r>
            <w:r w:rsidRPr="00F26000">
              <w:rPr>
                <w:rFonts w:ascii="Arial Narrow" w:hAnsi="Arial Narrow" w:cs="Arial"/>
                <w:sz w:val="18"/>
                <w:szCs w:val="18"/>
                <w:lang w:val="en-GB"/>
              </w:rPr>
              <w:t>3</w:t>
            </w:r>
          </w:p>
        </w:tc>
      </w:tr>
      <w:tr w:rsidR="002C5D9C" w:rsidRPr="00F26000" w:rsidTr="000A52C9">
        <w:trPr>
          <w:trHeight w:val="270"/>
        </w:trPr>
        <w:tc>
          <w:tcPr>
            <w:tcW w:w="3960" w:type="dxa"/>
            <w:tcBorders>
              <w:top w:val="nil"/>
              <w:left w:val="nil"/>
              <w:bottom w:val="nil"/>
              <w:right w:val="nil"/>
            </w:tcBorders>
            <w:shd w:val="clear" w:color="auto" w:fill="auto"/>
            <w:noWrap/>
            <w:vAlign w:val="bottom"/>
          </w:tcPr>
          <w:p w:rsidR="002C5D9C" w:rsidRPr="00F26000" w:rsidRDefault="002C5D9C" w:rsidP="000A52C9">
            <w:pPr>
              <w:rPr>
                <w:rFonts w:ascii="Arial Narrow" w:hAnsi="Arial Narrow" w:cs="Arial"/>
                <w:sz w:val="18"/>
                <w:szCs w:val="18"/>
                <w:lang w:val="en-GB"/>
              </w:rPr>
            </w:pPr>
            <w:r>
              <w:rPr>
                <w:rFonts w:ascii="Arial Narrow" w:hAnsi="Arial Narrow" w:cs="Arial"/>
                <w:sz w:val="18"/>
                <w:szCs w:val="18"/>
                <w:lang w:val="en-GB"/>
              </w:rPr>
              <w:t>I</w:t>
            </w:r>
            <w:r w:rsidRPr="00F26000">
              <w:rPr>
                <w:rFonts w:ascii="Arial Narrow" w:hAnsi="Arial Narrow" w:cs="Arial"/>
                <w:sz w:val="18"/>
                <w:szCs w:val="18"/>
                <w:lang w:val="en-GB"/>
              </w:rPr>
              <w:t>mmigrants from Eastern Europe</w:t>
            </w:r>
            <w:r>
              <w:rPr>
                <w:rFonts w:ascii="Arial Narrow" w:hAnsi="Arial Narrow" w:cs="Arial"/>
                <w:sz w:val="18"/>
                <w:szCs w:val="18"/>
                <w:lang w:val="en-GB"/>
              </w:rPr>
              <w:t>, %</w:t>
            </w:r>
          </w:p>
        </w:tc>
        <w:tc>
          <w:tcPr>
            <w:tcW w:w="900"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proofErr w:type="gramStart"/>
            <w:r w:rsidRPr="00F26000">
              <w:rPr>
                <w:rFonts w:ascii="Arial Narrow" w:hAnsi="Arial Narrow" w:cs="Arial"/>
                <w:sz w:val="18"/>
                <w:szCs w:val="18"/>
              </w:rPr>
              <w:t>0</w:t>
            </w:r>
            <w:r>
              <w:rPr>
                <w:rFonts w:ascii="Arial Narrow" w:hAnsi="Arial Narrow" w:cs="Arial"/>
                <w:sz w:val="18"/>
                <w:szCs w:val="18"/>
              </w:rPr>
              <w:t>.</w:t>
            </w:r>
            <w:r w:rsidRPr="00F26000">
              <w:rPr>
                <w:rFonts w:ascii="Arial Narrow" w:hAnsi="Arial Narrow" w:cs="Arial"/>
                <w:sz w:val="18"/>
                <w:szCs w:val="18"/>
              </w:rPr>
              <w:t>8</w:t>
            </w:r>
            <w:proofErr w:type="gramEnd"/>
          </w:p>
        </w:tc>
        <w:tc>
          <w:tcPr>
            <w:tcW w:w="675"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1</w:t>
            </w:r>
            <w:r>
              <w:rPr>
                <w:rFonts w:ascii="Arial Narrow" w:hAnsi="Arial Narrow" w:cs="Arial"/>
                <w:sz w:val="18"/>
                <w:szCs w:val="18"/>
              </w:rPr>
              <w:t>.</w:t>
            </w:r>
            <w:r w:rsidRPr="00F26000">
              <w:rPr>
                <w:rFonts w:ascii="Arial Narrow" w:hAnsi="Arial Narrow" w:cs="Arial"/>
                <w:sz w:val="18"/>
                <w:szCs w:val="18"/>
              </w:rPr>
              <w:t>7</w:t>
            </w:r>
          </w:p>
        </w:tc>
        <w:tc>
          <w:tcPr>
            <w:tcW w:w="836"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1</w:t>
            </w:r>
            <w:r>
              <w:rPr>
                <w:rFonts w:ascii="Arial Narrow" w:hAnsi="Arial Narrow" w:cs="Arial"/>
                <w:sz w:val="18"/>
                <w:szCs w:val="18"/>
              </w:rPr>
              <w:t>.</w:t>
            </w:r>
            <w:r w:rsidRPr="00F26000">
              <w:rPr>
                <w:rFonts w:ascii="Arial Narrow" w:hAnsi="Arial Narrow" w:cs="Arial"/>
                <w:sz w:val="18"/>
                <w:szCs w:val="18"/>
              </w:rPr>
              <w:t>8</w:t>
            </w:r>
          </w:p>
        </w:tc>
        <w:tc>
          <w:tcPr>
            <w:tcW w:w="836" w:type="dxa"/>
            <w:tcBorders>
              <w:top w:val="nil"/>
              <w:left w:val="nil"/>
              <w:bottom w:val="nil"/>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3</w:t>
            </w:r>
            <w:r>
              <w:rPr>
                <w:rFonts w:ascii="Arial Narrow" w:hAnsi="Arial Narrow" w:cs="Arial"/>
                <w:sz w:val="18"/>
                <w:szCs w:val="18"/>
              </w:rPr>
              <w:t>.</w:t>
            </w:r>
            <w:r w:rsidRPr="00F26000">
              <w:rPr>
                <w:rFonts w:ascii="Arial Narrow" w:hAnsi="Arial Narrow" w:cs="Arial"/>
                <w:sz w:val="18"/>
                <w:szCs w:val="18"/>
              </w:rPr>
              <w:t>2</w:t>
            </w:r>
          </w:p>
        </w:tc>
      </w:tr>
      <w:tr w:rsidR="002C5D9C" w:rsidRPr="00F26000" w:rsidTr="000A52C9">
        <w:trPr>
          <w:trHeight w:val="270"/>
        </w:trPr>
        <w:tc>
          <w:tcPr>
            <w:tcW w:w="3960" w:type="dxa"/>
            <w:tcBorders>
              <w:top w:val="nil"/>
              <w:left w:val="nil"/>
              <w:bottom w:val="single" w:sz="4" w:space="0" w:color="auto"/>
              <w:right w:val="nil"/>
            </w:tcBorders>
            <w:shd w:val="clear" w:color="auto" w:fill="auto"/>
            <w:noWrap/>
            <w:vAlign w:val="bottom"/>
          </w:tcPr>
          <w:p w:rsidR="002C5D9C" w:rsidRPr="00F26000" w:rsidRDefault="002C5D9C" w:rsidP="000A52C9">
            <w:pPr>
              <w:rPr>
                <w:rFonts w:ascii="Arial Narrow" w:hAnsi="Arial Narrow" w:cs="Arial"/>
                <w:sz w:val="18"/>
                <w:szCs w:val="18"/>
                <w:lang w:val="en-GB"/>
              </w:rPr>
            </w:pPr>
            <w:r>
              <w:rPr>
                <w:rFonts w:ascii="Arial Narrow" w:hAnsi="Arial Narrow" w:cs="Arial"/>
                <w:sz w:val="18"/>
                <w:szCs w:val="18"/>
                <w:lang w:val="en-GB"/>
              </w:rPr>
              <w:t>Immigrants</w:t>
            </w:r>
            <w:r w:rsidRPr="00F26000">
              <w:rPr>
                <w:rFonts w:ascii="Arial Narrow" w:hAnsi="Arial Narrow" w:cs="Arial"/>
                <w:sz w:val="18"/>
                <w:szCs w:val="18"/>
                <w:lang w:val="en-GB"/>
              </w:rPr>
              <w:t xml:space="preserve"> from </w:t>
            </w:r>
            <w:r>
              <w:rPr>
                <w:rFonts w:ascii="Arial Narrow" w:hAnsi="Arial Narrow" w:cs="Arial"/>
                <w:sz w:val="18"/>
                <w:szCs w:val="18"/>
                <w:lang w:val="en-GB"/>
              </w:rPr>
              <w:t>n</w:t>
            </w:r>
            <w:r w:rsidRPr="00F26000">
              <w:rPr>
                <w:rFonts w:ascii="Arial Narrow" w:hAnsi="Arial Narrow" w:cs="Arial"/>
                <w:sz w:val="18"/>
                <w:szCs w:val="18"/>
                <w:lang w:val="en-GB"/>
              </w:rPr>
              <w:t>on-European countries</w:t>
            </w:r>
            <w:r>
              <w:rPr>
                <w:rFonts w:ascii="Arial Narrow" w:hAnsi="Arial Narrow" w:cs="Arial"/>
                <w:sz w:val="18"/>
                <w:szCs w:val="18"/>
                <w:lang w:val="en-GB"/>
              </w:rPr>
              <w:t>, %</w:t>
            </w:r>
          </w:p>
        </w:tc>
        <w:tc>
          <w:tcPr>
            <w:tcW w:w="900" w:type="dxa"/>
            <w:tcBorders>
              <w:top w:val="nil"/>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4</w:t>
            </w:r>
            <w:r>
              <w:rPr>
                <w:rFonts w:ascii="Arial Narrow" w:hAnsi="Arial Narrow" w:cs="Arial"/>
                <w:sz w:val="18"/>
                <w:szCs w:val="18"/>
              </w:rPr>
              <w:t>.</w:t>
            </w:r>
            <w:r w:rsidRPr="00F26000">
              <w:rPr>
                <w:rFonts w:ascii="Arial Narrow" w:hAnsi="Arial Narrow" w:cs="Arial"/>
                <w:sz w:val="18"/>
                <w:szCs w:val="18"/>
              </w:rPr>
              <w:t>5</w:t>
            </w:r>
          </w:p>
        </w:tc>
        <w:tc>
          <w:tcPr>
            <w:tcW w:w="675" w:type="dxa"/>
            <w:tcBorders>
              <w:top w:val="nil"/>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1</w:t>
            </w:r>
            <w:r>
              <w:rPr>
                <w:rFonts w:ascii="Arial Narrow" w:hAnsi="Arial Narrow" w:cs="Arial"/>
                <w:sz w:val="18"/>
                <w:szCs w:val="18"/>
              </w:rPr>
              <w:t>.</w:t>
            </w:r>
            <w:r w:rsidRPr="00F26000">
              <w:rPr>
                <w:rFonts w:ascii="Arial Narrow" w:hAnsi="Arial Narrow" w:cs="Arial"/>
                <w:sz w:val="18"/>
                <w:szCs w:val="18"/>
              </w:rPr>
              <w:t>5</w:t>
            </w:r>
          </w:p>
        </w:tc>
        <w:tc>
          <w:tcPr>
            <w:tcW w:w="836" w:type="dxa"/>
            <w:tcBorders>
              <w:top w:val="nil"/>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5</w:t>
            </w:r>
            <w:r>
              <w:rPr>
                <w:rFonts w:ascii="Arial Narrow" w:hAnsi="Arial Narrow" w:cs="Arial"/>
                <w:sz w:val="18"/>
                <w:szCs w:val="18"/>
              </w:rPr>
              <w:t>.</w:t>
            </w:r>
            <w:r w:rsidRPr="00F26000">
              <w:rPr>
                <w:rFonts w:ascii="Arial Narrow" w:hAnsi="Arial Narrow" w:cs="Arial"/>
                <w:sz w:val="18"/>
                <w:szCs w:val="18"/>
              </w:rPr>
              <w:t>0</w:t>
            </w:r>
          </w:p>
        </w:tc>
        <w:tc>
          <w:tcPr>
            <w:tcW w:w="836" w:type="dxa"/>
            <w:tcBorders>
              <w:top w:val="nil"/>
              <w:left w:val="nil"/>
              <w:bottom w:val="single" w:sz="4" w:space="0" w:color="auto"/>
              <w:right w:val="nil"/>
            </w:tcBorders>
            <w:shd w:val="clear" w:color="auto" w:fill="auto"/>
            <w:noWrap/>
            <w:vAlign w:val="bottom"/>
          </w:tcPr>
          <w:p w:rsidR="002C5D9C" w:rsidRPr="00F26000" w:rsidRDefault="002C5D9C" w:rsidP="000A52C9">
            <w:pPr>
              <w:jc w:val="right"/>
              <w:rPr>
                <w:rFonts w:ascii="Arial Narrow" w:hAnsi="Arial Narrow" w:cs="Arial"/>
                <w:sz w:val="18"/>
                <w:szCs w:val="18"/>
              </w:rPr>
            </w:pPr>
            <w:r w:rsidRPr="00F26000">
              <w:rPr>
                <w:rFonts w:ascii="Arial Narrow" w:hAnsi="Arial Narrow" w:cs="Arial"/>
                <w:sz w:val="18"/>
                <w:szCs w:val="18"/>
              </w:rPr>
              <w:t>6</w:t>
            </w:r>
            <w:r>
              <w:rPr>
                <w:rFonts w:ascii="Arial Narrow" w:hAnsi="Arial Narrow" w:cs="Arial"/>
                <w:sz w:val="18"/>
                <w:szCs w:val="18"/>
              </w:rPr>
              <w:t>.</w:t>
            </w:r>
            <w:r w:rsidRPr="00F26000">
              <w:rPr>
                <w:rFonts w:ascii="Arial Narrow" w:hAnsi="Arial Narrow" w:cs="Arial"/>
                <w:sz w:val="18"/>
                <w:szCs w:val="18"/>
              </w:rPr>
              <w:t>2</w:t>
            </w:r>
          </w:p>
        </w:tc>
      </w:tr>
    </w:tbl>
    <w:p w:rsidR="002C5D9C" w:rsidRPr="00597DBC" w:rsidRDefault="002C5D9C" w:rsidP="002C5D9C">
      <w:pPr>
        <w:pStyle w:val="Billedtekst"/>
        <w:rPr>
          <w:rFonts w:ascii="Arial Narrow" w:hAnsi="Arial Narrow"/>
          <w:b w:val="0"/>
          <w:sz w:val="18"/>
          <w:szCs w:val="18"/>
        </w:rPr>
      </w:pPr>
      <w:r w:rsidRPr="00597DBC">
        <w:rPr>
          <w:rFonts w:ascii="Arial Narrow" w:hAnsi="Arial Narrow"/>
          <w:b w:val="0"/>
          <w:sz w:val="18"/>
          <w:szCs w:val="18"/>
        </w:rPr>
        <w:t>Source: Anderson et. al. 2011</w:t>
      </w:r>
    </w:p>
    <w:p w:rsidR="002C5D9C" w:rsidRPr="00597DBC" w:rsidRDefault="002C5D9C" w:rsidP="002C5D9C">
      <w:pPr>
        <w:rPr>
          <w:rFonts w:ascii="Arial Narrow" w:hAnsi="Arial Narrow" w:cs="Arial"/>
          <w:sz w:val="24"/>
          <w:szCs w:val="24"/>
        </w:rPr>
      </w:pPr>
    </w:p>
    <w:p w:rsidR="002C5D9C" w:rsidRPr="00085040" w:rsidRDefault="002C5D9C" w:rsidP="002C5D9C">
      <w:pPr>
        <w:pStyle w:val="Billedtekst"/>
        <w:rPr>
          <w:lang w:val="en-GB"/>
        </w:rPr>
      </w:pPr>
      <w:bookmarkStart w:id="4" w:name="_Ref293993512"/>
      <w:proofErr w:type="spellStart"/>
      <w:r w:rsidRPr="00597DBC">
        <w:t>Table</w:t>
      </w:r>
      <w:bookmarkEnd w:id="4"/>
      <w:proofErr w:type="spellEnd"/>
      <w:r w:rsidRPr="00597DBC">
        <w:t xml:space="preserve"> 2. </w:t>
      </w:r>
      <w:r>
        <w:rPr>
          <w:lang w:val="en-GB"/>
        </w:rPr>
        <w:t xml:space="preserve">Tenure composition of the housing markets </w:t>
      </w:r>
    </w:p>
    <w:tbl>
      <w:tblPr>
        <w:tblW w:w="5960" w:type="dxa"/>
        <w:tblInd w:w="70" w:type="dxa"/>
        <w:tblCellMar>
          <w:left w:w="70" w:type="dxa"/>
          <w:right w:w="70" w:type="dxa"/>
        </w:tblCellMar>
        <w:tblLook w:val="0000" w:firstRow="0" w:lastRow="0" w:firstColumn="0" w:lastColumn="0" w:noHBand="0" w:noVBand="0"/>
      </w:tblPr>
      <w:tblGrid>
        <w:gridCol w:w="2056"/>
        <w:gridCol w:w="976"/>
        <w:gridCol w:w="976"/>
        <w:gridCol w:w="976"/>
        <w:gridCol w:w="976"/>
      </w:tblGrid>
      <w:tr w:rsidR="002C5D9C" w:rsidRPr="00085040" w:rsidTr="000A52C9">
        <w:trPr>
          <w:trHeight w:val="270"/>
        </w:trPr>
        <w:tc>
          <w:tcPr>
            <w:tcW w:w="205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 </w:t>
            </w:r>
          </w:p>
        </w:tc>
        <w:tc>
          <w:tcPr>
            <w:tcW w:w="97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Denmark</w:t>
                </w:r>
              </w:smartTag>
            </w:smartTag>
            <w:r w:rsidRPr="00085040">
              <w:rPr>
                <w:rFonts w:ascii="Arial Narrow" w:hAnsi="Arial Narrow" w:cs="Arial"/>
                <w:sz w:val="18"/>
                <w:szCs w:val="18"/>
                <w:lang w:val="en-GB"/>
              </w:rPr>
              <w:t xml:space="preserve"> </w:t>
            </w:r>
          </w:p>
        </w:tc>
        <w:tc>
          <w:tcPr>
            <w:tcW w:w="97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Finland</w:t>
                </w:r>
              </w:smartTag>
            </w:smartTag>
            <w:r w:rsidRPr="00085040">
              <w:rPr>
                <w:rFonts w:ascii="Arial Narrow" w:hAnsi="Arial Narrow" w:cs="Arial"/>
                <w:sz w:val="18"/>
                <w:szCs w:val="18"/>
                <w:lang w:val="en-GB"/>
              </w:rPr>
              <w:t xml:space="preserve"> </w:t>
            </w:r>
          </w:p>
        </w:tc>
        <w:tc>
          <w:tcPr>
            <w:tcW w:w="97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Norway</w:t>
                </w:r>
              </w:smartTag>
            </w:smartTag>
            <w:r w:rsidRPr="00085040">
              <w:rPr>
                <w:rFonts w:ascii="Arial Narrow" w:hAnsi="Arial Narrow" w:cs="Arial"/>
                <w:sz w:val="18"/>
                <w:szCs w:val="18"/>
                <w:lang w:val="en-GB"/>
              </w:rPr>
              <w:t xml:space="preserve"> </w:t>
            </w:r>
          </w:p>
        </w:tc>
        <w:tc>
          <w:tcPr>
            <w:tcW w:w="97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Sweden</w:t>
                </w:r>
              </w:smartTag>
            </w:smartTag>
            <w:r w:rsidRPr="00085040">
              <w:rPr>
                <w:rFonts w:ascii="Arial Narrow" w:hAnsi="Arial Narrow" w:cs="Arial"/>
                <w:sz w:val="18"/>
                <w:szCs w:val="18"/>
                <w:lang w:val="en-GB"/>
              </w:rPr>
              <w:t xml:space="preserve"> </w:t>
            </w:r>
          </w:p>
        </w:tc>
      </w:tr>
      <w:tr w:rsidR="002C5D9C" w:rsidRPr="00597DBC" w:rsidTr="000A52C9">
        <w:trPr>
          <w:trHeight w:val="270"/>
        </w:trPr>
        <w:tc>
          <w:tcPr>
            <w:tcW w:w="4008" w:type="dxa"/>
            <w:gridSpan w:val="3"/>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b/>
                <w:bCs/>
                <w:sz w:val="18"/>
                <w:szCs w:val="18"/>
                <w:lang w:val="en-GB"/>
              </w:rPr>
              <w:t>Distr</w:t>
            </w:r>
            <w:r>
              <w:rPr>
                <w:rFonts w:ascii="Arial Narrow" w:hAnsi="Arial Narrow" w:cs="Arial"/>
                <w:b/>
                <w:bCs/>
                <w:sz w:val="18"/>
                <w:szCs w:val="18"/>
                <w:lang w:val="en-GB"/>
              </w:rPr>
              <w:t xml:space="preserve">ibution of dwellings on tenure, % </w:t>
            </w:r>
          </w:p>
        </w:tc>
        <w:tc>
          <w:tcPr>
            <w:tcW w:w="97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p>
        </w:tc>
        <w:tc>
          <w:tcPr>
            <w:tcW w:w="97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p>
        </w:tc>
      </w:tr>
      <w:tr w:rsidR="002C5D9C" w:rsidRPr="00085040" w:rsidTr="000A52C9">
        <w:trPr>
          <w:trHeight w:val="76"/>
        </w:trPr>
        <w:tc>
          <w:tcPr>
            <w:tcW w:w="20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Owner-occupied</w:t>
            </w:r>
          </w:p>
        </w:tc>
        <w:tc>
          <w:tcPr>
            <w:tcW w:w="97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53</w:t>
            </w:r>
          </w:p>
        </w:tc>
        <w:tc>
          <w:tcPr>
            <w:tcW w:w="976" w:type="dxa"/>
            <w:tcBorders>
              <w:top w:val="nil"/>
              <w:left w:val="nil"/>
              <w:bottom w:val="nil"/>
              <w:right w:val="nil"/>
            </w:tcBorders>
            <w:shd w:val="clear" w:color="auto" w:fill="auto"/>
            <w:noWrap/>
            <w:vAlign w:val="bottom"/>
          </w:tcPr>
          <w:p w:rsidR="002C5D9C" w:rsidRPr="00A26BA7" w:rsidRDefault="002C5D9C" w:rsidP="000A52C9">
            <w:pPr>
              <w:jc w:val="right"/>
              <w:rPr>
                <w:rFonts w:ascii="Arial Narrow" w:hAnsi="Arial Narrow" w:cs="Arial"/>
                <w:sz w:val="18"/>
                <w:szCs w:val="18"/>
                <w:lang w:val="en-GB"/>
              </w:rPr>
            </w:pPr>
            <w:r w:rsidRPr="00A26BA7">
              <w:rPr>
                <w:rFonts w:ascii="Arial Narrow" w:hAnsi="Arial Narrow" w:cs="Arial"/>
                <w:sz w:val="18"/>
                <w:szCs w:val="18"/>
                <w:lang w:val="en-GB"/>
              </w:rPr>
              <w:t>59</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62</w:t>
            </w:r>
          </w:p>
        </w:tc>
        <w:tc>
          <w:tcPr>
            <w:tcW w:w="976"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52</w:t>
            </w:r>
          </w:p>
        </w:tc>
      </w:tr>
      <w:tr w:rsidR="002C5D9C" w:rsidRPr="00085040" w:rsidTr="000A52C9">
        <w:trPr>
          <w:trHeight w:val="226"/>
        </w:trPr>
        <w:tc>
          <w:tcPr>
            <w:tcW w:w="2056" w:type="dxa"/>
            <w:tcBorders>
              <w:top w:val="nil"/>
              <w:left w:val="nil"/>
              <w:bottom w:val="nil"/>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Cooperatives</w:t>
            </w:r>
          </w:p>
        </w:tc>
        <w:tc>
          <w:tcPr>
            <w:tcW w:w="976" w:type="dxa"/>
            <w:tcBorders>
              <w:top w:val="nil"/>
              <w:left w:val="nil"/>
              <w:bottom w:val="nil"/>
              <w:right w:val="nil"/>
            </w:tcBorders>
            <w:shd w:val="clear" w:color="auto" w:fill="auto"/>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7</w:t>
            </w:r>
          </w:p>
        </w:tc>
        <w:tc>
          <w:tcPr>
            <w:tcW w:w="976" w:type="dxa"/>
            <w:tcBorders>
              <w:top w:val="nil"/>
              <w:left w:val="nil"/>
              <w:bottom w:val="nil"/>
              <w:right w:val="nil"/>
            </w:tcBorders>
            <w:shd w:val="clear" w:color="auto" w:fill="auto"/>
            <w:noWrap/>
            <w:vAlign w:val="bottom"/>
          </w:tcPr>
          <w:p w:rsidR="002C5D9C" w:rsidRPr="00A26BA7" w:rsidRDefault="002C5D9C" w:rsidP="000A52C9">
            <w:pPr>
              <w:jc w:val="right"/>
              <w:rPr>
                <w:rFonts w:ascii="Arial Narrow" w:hAnsi="Arial Narrow" w:cs="Arial"/>
                <w:sz w:val="18"/>
                <w:szCs w:val="18"/>
                <w:lang w:val="en-GB"/>
              </w:rPr>
            </w:pPr>
            <w:r w:rsidRPr="00A26BA7">
              <w:rPr>
                <w:rFonts w:ascii="Arial Narrow" w:hAnsi="Arial Narrow" w:cs="Arial"/>
                <w:sz w:val="18"/>
                <w:szCs w:val="18"/>
                <w:lang w:val="en-GB"/>
              </w:rPr>
              <w:t>1</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14</w:t>
            </w:r>
          </w:p>
        </w:tc>
        <w:tc>
          <w:tcPr>
            <w:tcW w:w="976"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18</w:t>
            </w:r>
          </w:p>
        </w:tc>
      </w:tr>
      <w:tr w:rsidR="002C5D9C" w:rsidRPr="00085040" w:rsidTr="000A52C9">
        <w:trPr>
          <w:trHeight w:val="182"/>
        </w:trPr>
        <w:tc>
          <w:tcPr>
            <w:tcW w:w="2056" w:type="dxa"/>
            <w:tcBorders>
              <w:top w:val="nil"/>
              <w:left w:val="nil"/>
              <w:bottom w:val="nil"/>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Private renting</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19</w:t>
            </w:r>
          </w:p>
        </w:tc>
        <w:tc>
          <w:tcPr>
            <w:tcW w:w="976" w:type="dxa"/>
            <w:tcBorders>
              <w:top w:val="nil"/>
              <w:left w:val="nil"/>
              <w:bottom w:val="nil"/>
              <w:right w:val="nil"/>
            </w:tcBorders>
            <w:shd w:val="clear" w:color="auto" w:fill="auto"/>
            <w:noWrap/>
          </w:tcPr>
          <w:p w:rsidR="002C5D9C" w:rsidRPr="00A26BA7" w:rsidRDefault="002C5D9C" w:rsidP="000A52C9">
            <w:pPr>
              <w:jc w:val="right"/>
              <w:rPr>
                <w:rFonts w:ascii="Arial Narrow" w:hAnsi="Arial Narrow" w:cs="Arial"/>
                <w:sz w:val="18"/>
                <w:szCs w:val="18"/>
                <w:lang w:val="en-GB"/>
              </w:rPr>
            </w:pPr>
            <w:r w:rsidRPr="00A26BA7">
              <w:rPr>
                <w:rFonts w:ascii="Arial Narrow" w:hAnsi="Arial Narrow" w:cs="Arial"/>
                <w:sz w:val="18"/>
                <w:szCs w:val="18"/>
                <w:lang w:val="en-GB"/>
              </w:rPr>
              <w:t>14</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19</w:t>
            </w:r>
          </w:p>
        </w:tc>
        <w:tc>
          <w:tcPr>
            <w:tcW w:w="976"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15</w:t>
            </w:r>
          </w:p>
        </w:tc>
      </w:tr>
      <w:tr w:rsidR="002C5D9C" w:rsidRPr="00085040" w:rsidTr="000A52C9">
        <w:trPr>
          <w:trHeight w:val="165"/>
        </w:trPr>
        <w:tc>
          <w:tcPr>
            <w:tcW w:w="2056" w:type="dxa"/>
            <w:tcBorders>
              <w:top w:val="nil"/>
              <w:left w:val="nil"/>
              <w:bottom w:val="nil"/>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Social/public housing</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21</w:t>
            </w:r>
          </w:p>
        </w:tc>
        <w:tc>
          <w:tcPr>
            <w:tcW w:w="976" w:type="dxa"/>
            <w:tcBorders>
              <w:top w:val="nil"/>
              <w:left w:val="nil"/>
              <w:bottom w:val="nil"/>
              <w:right w:val="nil"/>
            </w:tcBorders>
            <w:shd w:val="clear" w:color="auto" w:fill="auto"/>
            <w:noWrap/>
          </w:tcPr>
          <w:p w:rsidR="002C5D9C" w:rsidRPr="00A26BA7" w:rsidRDefault="002C5D9C" w:rsidP="000A52C9">
            <w:pPr>
              <w:jc w:val="right"/>
              <w:rPr>
                <w:rFonts w:ascii="Arial Narrow" w:hAnsi="Arial Narrow" w:cs="Arial"/>
                <w:sz w:val="18"/>
                <w:szCs w:val="18"/>
                <w:lang w:val="en-GB"/>
              </w:rPr>
            </w:pPr>
            <w:r w:rsidRPr="00A26BA7">
              <w:rPr>
                <w:rFonts w:ascii="Arial Narrow" w:hAnsi="Arial Narrow" w:cs="Arial"/>
                <w:sz w:val="18"/>
                <w:szCs w:val="18"/>
                <w:lang w:val="en-GB"/>
              </w:rPr>
              <w:t>16</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w:t>
            </w:r>
          </w:p>
        </w:tc>
        <w:tc>
          <w:tcPr>
            <w:tcW w:w="976"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14</w:t>
            </w:r>
          </w:p>
        </w:tc>
      </w:tr>
      <w:tr w:rsidR="002C5D9C" w:rsidRPr="00085040" w:rsidTr="000A52C9">
        <w:trPr>
          <w:trHeight w:val="122"/>
        </w:trPr>
        <w:tc>
          <w:tcPr>
            <w:tcW w:w="2056" w:type="dxa"/>
            <w:tcBorders>
              <w:top w:val="nil"/>
              <w:left w:val="nil"/>
              <w:bottom w:val="nil"/>
              <w:right w:val="nil"/>
            </w:tcBorders>
            <w:shd w:val="clear" w:color="auto" w:fill="auto"/>
          </w:tcPr>
          <w:p w:rsidR="002C5D9C" w:rsidRPr="00085040" w:rsidRDefault="002C5D9C" w:rsidP="000A52C9">
            <w:pPr>
              <w:rPr>
                <w:rFonts w:ascii="Arial Narrow" w:hAnsi="Arial Narrow" w:cs="Arial"/>
                <w:sz w:val="18"/>
                <w:szCs w:val="18"/>
                <w:lang w:val="en-GB"/>
              </w:rPr>
            </w:pPr>
            <w:r>
              <w:rPr>
                <w:rFonts w:ascii="Arial Narrow" w:hAnsi="Arial Narrow" w:cs="Arial"/>
                <w:sz w:val="18"/>
                <w:szCs w:val="18"/>
                <w:lang w:val="en-GB"/>
              </w:rPr>
              <w:t>Other</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p>
        </w:tc>
        <w:tc>
          <w:tcPr>
            <w:tcW w:w="976" w:type="dxa"/>
            <w:tcBorders>
              <w:top w:val="nil"/>
              <w:left w:val="nil"/>
              <w:bottom w:val="nil"/>
              <w:right w:val="nil"/>
            </w:tcBorders>
            <w:shd w:val="clear" w:color="auto" w:fill="auto"/>
            <w:noWrap/>
            <w:vAlign w:val="bottom"/>
          </w:tcPr>
          <w:p w:rsidR="002C5D9C" w:rsidRPr="00A26BA7" w:rsidRDefault="002C5D9C" w:rsidP="000A52C9">
            <w:pPr>
              <w:jc w:val="right"/>
              <w:rPr>
                <w:rFonts w:ascii="Arial Narrow" w:hAnsi="Arial Narrow" w:cs="Arial"/>
                <w:sz w:val="18"/>
                <w:szCs w:val="18"/>
                <w:lang w:val="en-GB"/>
              </w:rPr>
            </w:pPr>
            <w:r w:rsidRPr="00A26BA7">
              <w:rPr>
                <w:rFonts w:ascii="Arial Narrow" w:hAnsi="Arial Narrow" w:cs="Arial"/>
                <w:sz w:val="18"/>
                <w:szCs w:val="18"/>
                <w:lang w:val="en-GB"/>
              </w:rPr>
              <w:t>10</w:t>
            </w:r>
          </w:p>
        </w:tc>
        <w:tc>
          <w:tcPr>
            <w:tcW w:w="976" w:type="dxa"/>
            <w:tcBorders>
              <w:top w:val="nil"/>
              <w:left w:val="nil"/>
              <w:bottom w:val="nil"/>
              <w:right w:val="nil"/>
            </w:tcBorders>
            <w:shd w:val="clear" w:color="auto" w:fill="auto"/>
          </w:tcPr>
          <w:p w:rsidR="002C5D9C" w:rsidRPr="00085040" w:rsidRDefault="002C5D9C" w:rsidP="000A52C9">
            <w:pPr>
              <w:jc w:val="right"/>
              <w:rPr>
                <w:rFonts w:ascii="Arial Narrow" w:hAnsi="Arial Narrow" w:cs="Arial"/>
                <w:sz w:val="18"/>
                <w:szCs w:val="18"/>
                <w:lang w:val="en-GB"/>
              </w:rPr>
            </w:pPr>
          </w:p>
        </w:tc>
        <w:tc>
          <w:tcPr>
            <w:tcW w:w="976"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Calibri"/>
                <w:sz w:val="18"/>
                <w:szCs w:val="18"/>
                <w:lang w:val="en-GB"/>
              </w:rPr>
            </w:pPr>
          </w:p>
        </w:tc>
      </w:tr>
      <w:tr w:rsidR="002C5D9C" w:rsidRPr="00085040" w:rsidTr="000A52C9">
        <w:trPr>
          <w:trHeight w:val="92"/>
        </w:trPr>
        <w:tc>
          <w:tcPr>
            <w:tcW w:w="2056" w:type="dxa"/>
            <w:tcBorders>
              <w:top w:val="nil"/>
              <w:left w:val="nil"/>
              <w:bottom w:val="single" w:sz="4" w:space="0" w:color="auto"/>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Total</w:t>
            </w:r>
          </w:p>
        </w:tc>
        <w:tc>
          <w:tcPr>
            <w:tcW w:w="976" w:type="dxa"/>
            <w:tcBorders>
              <w:top w:val="nil"/>
              <w:left w:val="nil"/>
              <w:bottom w:val="single" w:sz="4" w:space="0" w:color="auto"/>
              <w:right w:val="nil"/>
            </w:tcBorders>
            <w:shd w:val="clear" w:color="auto" w:fill="auto"/>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100</w:t>
            </w:r>
          </w:p>
        </w:tc>
        <w:tc>
          <w:tcPr>
            <w:tcW w:w="976" w:type="dxa"/>
            <w:tcBorders>
              <w:top w:val="nil"/>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100</w:t>
            </w:r>
          </w:p>
        </w:tc>
        <w:tc>
          <w:tcPr>
            <w:tcW w:w="976" w:type="dxa"/>
            <w:tcBorders>
              <w:top w:val="nil"/>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100</w:t>
            </w:r>
          </w:p>
        </w:tc>
        <w:tc>
          <w:tcPr>
            <w:tcW w:w="976" w:type="dxa"/>
            <w:tcBorders>
              <w:top w:val="nil"/>
              <w:left w:val="nil"/>
              <w:bottom w:val="single" w:sz="4" w:space="0" w:color="auto"/>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100</w:t>
            </w:r>
          </w:p>
        </w:tc>
      </w:tr>
    </w:tbl>
    <w:p w:rsidR="002C5D9C" w:rsidRPr="00597DBC" w:rsidRDefault="002C5D9C" w:rsidP="002C5D9C">
      <w:pPr>
        <w:rPr>
          <w:rFonts w:ascii="Arial Narrow" w:hAnsi="Arial Narrow" w:cs="Arial"/>
          <w:sz w:val="18"/>
          <w:szCs w:val="18"/>
        </w:rPr>
      </w:pPr>
      <w:r w:rsidRPr="00597DBC">
        <w:rPr>
          <w:rFonts w:ascii="Arial Narrow" w:hAnsi="Arial Narrow" w:cs="Arial"/>
          <w:sz w:val="18"/>
          <w:szCs w:val="18"/>
        </w:rPr>
        <w:t>Source: Anderson et. al 2010</w:t>
      </w:r>
    </w:p>
    <w:p w:rsidR="002C5D9C" w:rsidRPr="00597DBC" w:rsidRDefault="002C5D9C" w:rsidP="002C5D9C"/>
    <w:p w:rsidR="002C5D9C" w:rsidRPr="003C7A07" w:rsidRDefault="002C5D9C" w:rsidP="002C5D9C">
      <w:pPr>
        <w:pStyle w:val="Billedtekst"/>
        <w:rPr>
          <w:rFonts w:cs="Arial"/>
          <w:lang w:val="en-GB"/>
        </w:rPr>
      </w:pPr>
      <w:bookmarkStart w:id="5" w:name="_Ref294006607"/>
      <w:proofErr w:type="spellStart"/>
      <w:r w:rsidRPr="00597DBC">
        <w:t>Table</w:t>
      </w:r>
      <w:bookmarkEnd w:id="5"/>
      <w:proofErr w:type="spellEnd"/>
      <w:r w:rsidRPr="00597DBC">
        <w:t xml:space="preserve"> 3. </w:t>
      </w:r>
      <w:r>
        <w:rPr>
          <w:lang w:val="en-GB"/>
        </w:rPr>
        <w:t>Comparison between four Nordic countries regarding the</w:t>
      </w:r>
      <w:r w:rsidRPr="003C7A07">
        <w:rPr>
          <w:rFonts w:cs="Arial"/>
          <w:lang w:val="en-GB"/>
        </w:rPr>
        <w:t xml:space="preserve"> </w:t>
      </w:r>
      <w:r>
        <w:rPr>
          <w:rFonts w:cs="Arial"/>
          <w:lang w:val="en-GB"/>
        </w:rPr>
        <w:t xml:space="preserve">affordability of low-income groups </w:t>
      </w:r>
      <w:r w:rsidRPr="003C7A07">
        <w:rPr>
          <w:rFonts w:cs="Arial"/>
          <w:lang w:val="en-GB"/>
        </w:rPr>
        <w:t>in different tenures</w:t>
      </w:r>
    </w:p>
    <w:tbl>
      <w:tblPr>
        <w:tblW w:w="5500" w:type="dxa"/>
        <w:tblInd w:w="60" w:type="dxa"/>
        <w:tblCellMar>
          <w:left w:w="70" w:type="dxa"/>
          <w:right w:w="70" w:type="dxa"/>
        </w:tblCellMar>
        <w:tblLook w:val="0000" w:firstRow="0" w:lastRow="0" w:firstColumn="0" w:lastColumn="0" w:noHBand="0" w:noVBand="0"/>
      </w:tblPr>
      <w:tblGrid>
        <w:gridCol w:w="1660"/>
        <w:gridCol w:w="960"/>
        <w:gridCol w:w="960"/>
        <w:gridCol w:w="960"/>
        <w:gridCol w:w="960"/>
      </w:tblGrid>
      <w:tr w:rsidR="002C5D9C" w:rsidRPr="003C7A07" w:rsidTr="000A52C9">
        <w:trPr>
          <w:trHeight w:val="255"/>
        </w:trPr>
        <w:tc>
          <w:tcPr>
            <w:tcW w:w="1660" w:type="dxa"/>
            <w:tcBorders>
              <w:top w:val="single" w:sz="4" w:space="0" w:color="auto"/>
              <w:left w:val="nil"/>
              <w:bottom w:val="single" w:sz="4" w:space="0" w:color="auto"/>
              <w:right w:val="nil"/>
            </w:tcBorders>
            <w:shd w:val="clear" w:color="auto" w:fill="auto"/>
            <w:noWrap/>
            <w:vAlign w:val="bottom"/>
          </w:tcPr>
          <w:p w:rsidR="002C5D9C" w:rsidRPr="003C7A07" w:rsidRDefault="002C5D9C" w:rsidP="000A52C9">
            <w:pPr>
              <w:rPr>
                <w:rFonts w:cs="Arial"/>
                <w:sz w:val="18"/>
                <w:szCs w:val="18"/>
                <w:lang w:val="en-US"/>
              </w:rPr>
            </w:pPr>
            <w:r w:rsidRPr="003C7A07">
              <w:rPr>
                <w:rFonts w:cs="Arial"/>
                <w:sz w:val="18"/>
                <w:szCs w:val="18"/>
                <w:lang w:val="en-US"/>
              </w:rPr>
              <w:t> </w:t>
            </w:r>
          </w:p>
        </w:tc>
        <w:tc>
          <w:tcPr>
            <w:tcW w:w="960" w:type="dxa"/>
            <w:tcBorders>
              <w:top w:val="single" w:sz="4" w:space="0" w:color="auto"/>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smartTag w:uri="urn:schemas-microsoft-com:office:smarttags" w:element="place">
              <w:smartTag w:uri="urn:schemas-microsoft-com:office:smarttags" w:element="country-region">
                <w:r w:rsidRPr="003C7A07">
                  <w:rPr>
                    <w:rFonts w:cs="Arial"/>
                    <w:sz w:val="18"/>
                    <w:szCs w:val="18"/>
                    <w:lang w:val="en-US"/>
                  </w:rPr>
                  <w:t>Denmark</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smartTag w:uri="urn:schemas-microsoft-com:office:smarttags" w:element="place">
              <w:smartTag w:uri="urn:schemas-microsoft-com:office:smarttags" w:element="country-region">
                <w:r w:rsidRPr="003C7A07">
                  <w:rPr>
                    <w:rFonts w:cs="Arial"/>
                    <w:sz w:val="18"/>
                    <w:szCs w:val="18"/>
                    <w:lang w:val="en-US"/>
                  </w:rPr>
                  <w:t>Finland</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smartTag w:uri="urn:schemas-microsoft-com:office:smarttags" w:element="place">
              <w:smartTag w:uri="urn:schemas-microsoft-com:office:smarttags" w:element="country-region">
                <w:r w:rsidRPr="003C7A07">
                  <w:rPr>
                    <w:rFonts w:cs="Arial"/>
                    <w:sz w:val="18"/>
                    <w:szCs w:val="18"/>
                    <w:lang w:val="en-US"/>
                  </w:rPr>
                  <w:t>Norway</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smartTag w:uri="urn:schemas-microsoft-com:office:smarttags" w:element="place">
              <w:smartTag w:uri="urn:schemas-microsoft-com:office:smarttags" w:element="country-region">
                <w:r w:rsidRPr="003C7A07">
                  <w:rPr>
                    <w:rFonts w:cs="Arial"/>
                    <w:sz w:val="18"/>
                    <w:szCs w:val="18"/>
                    <w:lang w:val="en-US"/>
                  </w:rPr>
                  <w:t>Sweden</w:t>
                </w:r>
              </w:smartTag>
            </w:smartTag>
          </w:p>
        </w:tc>
      </w:tr>
      <w:tr w:rsidR="002C5D9C" w:rsidRPr="003C7A07" w:rsidTr="000A52C9">
        <w:trPr>
          <w:trHeight w:val="120"/>
        </w:trPr>
        <w:tc>
          <w:tcPr>
            <w:tcW w:w="3580" w:type="dxa"/>
            <w:gridSpan w:val="3"/>
            <w:tcBorders>
              <w:top w:val="single" w:sz="4" w:space="0" w:color="auto"/>
              <w:left w:val="nil"/>
              <w:bottom w:val="nil"/>
              <w:right w:val="nil"/>
            </w:tcBorders>
            <w:shd w:val="clear" w:color="auto" w:fill="auto"/>
            <w:noWrap/>
            <w:vAlign w:val="bottom"/>
          </w:tcPr>
          <w:p w:rsidR="002C5D9C" w:rsidRPr="003C7A07" w:rsidRDefault="002C5D9C" w:rsidP="000A52C9">
            <w:pPr>
              <w:rPr>
                <w:rFonts w:cs="Arial"/>
                <w:b/>
                <w:bCs/>
                <w:sz w:val="18"/>
                <w:szCs w:val="18"/>
                <w:lang w:val="en-US"/>
              </w:rPr>
            </w:pPr>
            <w:r>
              <w:rPr>
                <w:rFonts w:cs="Arial"/>
                <w:b/>
                <w:bCs/>
                <w:sz w:val="18"/>
                <w:szCs w:val="18"/>
                <w:lang w:val="en-US"/>
              </w:rPr>
              <w:t>Tenure</w:t>
            </w:r>
          </w:p>
        </w:tc>
        <w:tc>
          <w:tcPr>
            <w:tcW w:w="960" w:type="dxa"/>
            <w:tcBorders>
              <w:top w:val="single" w:sz="4" w:space="0" w:color="auto"/>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 </w:t>
            </w:r>
          </w:p>
        </w:tc>
        <w:tc>
          <w:tcPr>
            <w:tcW w:w="960" w:type="dxa"/>
            <w:tcBorders>
              <w:top w:val="single" w:sz="4" w:space="0" w:color="auto"/>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 </w:t>
            </w:r>
          </w:p>
        </w:tc>
      </w:tr>
      <w:tr w:rsidR="002C5D9C" w:rsidRPr="003C7A07" w:rsidTr="000A52C9">
        <w:trPr>
          <w:trHeight w:val="255"/>
        </w:trPr>
        <w:tc>
          <w:tcPr>
            <w:tcW w:w="1660" w:type="dxa"/>
            <w:tcBorders>
              <w:top w:val="nil"/>
              <w:left w:val="nil"/>
              <w:bottom w:val="nil"/>
              <w:right w:val="nil"/>
            </w:tcBorders>
            <w:shd w:val="clear" w:color="auto" w:fill="auto"/>
          </w:tcPr>
          <w:p w:rsidR="002C5D9C" w:rsidRPr="003C7A07" w:rsidRDefault="002C5D9C" w:rsidP="000A52C9">
            <w:pPr>
              <w:rPr>
                <w:rFonts w:cs="Arial"/>
                <w:sz w:val="18"/>
                <w:szCs w:val="18"/>
                <w:lang w:val="en-US"/>
              </w:rPr>
            </w:pPr>
            <w:r w:rsidRPr="003C7A07">
              <w:rPr>
                <w:rFonts w:cs="Arial"/>
                <w:sz w:val="18"/>
                <w:szCs w:val="18"/>
                <w:lang w:val="en-US"/>
              </w:rPr>
              <w:t>Social housing</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r>
              <w:rPr>
                <w:rFonts w:cs="Arial"/>
                <w:sz w:val="18"/>
                <w:szCs w:val="18"/>
                <w:lang w:val="en-US"/>
              </w:rPr>
              <w:t>+</w:t>
            </w:r>
          </w:p>
        </w:tc>
      </w:tr>
      <w:tr w:rsidR="002C5D9C" w:rsidRPr="003C7A07" w:rsidTr="000A52C9">
        <w:trPr>
          <w:trHeight w:val="255"/>
        </w:trPr>
        <w:tc>
          <w:tcPr>
            <w:tcW w:w="1660" w:type="dxa"/>
            <w:tcBorders>
              <w:top w:val="nil"/>
              <w:left w:val="nil"/>
              <w:bottom w:val="nil"/>
              <w:right w:val="nil"/>
            </w:tcBorders>
            <w:shd w:val="clear" w:color="auto" w:fill="auto"/>
          </w:tcPr>
          <w:p w:rsidR="002C5D9C" w:rsidRPr="003C7A07" w:rsidRDefault="002C5D9C" w:rsidP="000A52C9">
            <w:pPr>
              <w:rPr>
                <w:rFonts w:cs="Arial"/>
                <w:sz w:val="18"/>
                <w:szCs w:val="18"/>
                <w:lang w:val="en-US"/>
              </w:rPr>
            </w:pPr>
            <w:r w:rsidRPr="003C7A07">
              <w:rPr>
                <w:rFonts w:cs="Arial"/>
                <w:sz w:val="18"/>
                <w:szCs w:val="18"/>
                <w:lang w:val="en-US"/>
              </w:rPr>
              <w:t>Private renting</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r>
      <w:tr w:rsidR="002C5D9C" w:rsidRPr="003C7A07" w:rsidTr="000A52C9">
        <w:trPr>
          <w:trHeight w:val="255"/>
        </w:trPr>
        <w:tc>
          <w:tcPr>
            <w:tcW w:w="1660" w:type="dxa"/>
            <w:tcBorders>
              <w:top w:val="nil"/>
              <w:left w:val="nil"/>
              <w:bottom w:val="nil"/>
              <w:right w:val="nil"/>
            </w:tcBorders>
            <w:shd w:val="clear" w:color="auto" w:fill="auto"/>
          </w:tcPr>
          <w:p w:rsidR="002C5D9C" w:rsidRPr="003C7A07" w:rsidRDefault="002C5D9C" w:rsidP="000A52C9">
            <w:pPr>
              <w:rPr>
                <w:rFonts w:cs="Arial"/>
                <w:sz w:val="18"/>
                <w:szCs w:val="18"/>
                <w:lang w:val="en-US"/>
              </w:rPr>
            </w:pPr>
            <w:r w:rsidRPr="003C7A07">
              <w:rPr>
                <w:rFonts w:cs="Arial"/>
                <w:sz w:val="18"/>
                <w:szCs w:val="18"/>
                <w:lang w:val="en-US"/>
              </w:rPr>
              <w:t>Cooperatives etc</w:t>
            </w:r>
            <w:r>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nil"/>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r>
              <w:rPr>
                <w:rFonts w:cs="Arial"/>
                <w:sz w:val="18"/>
                <w:szCs w:val="18"/>
                <w:lang w:val="en-US"/>
              </w:rPr>
              <w:t>+</w:t>
            </w:r>
          </w:p>
        </w:tc>
      </w:tr>
      <w:tr w:rsidR="002C5D9C" w:rsidRPr="003C7A07" w:rsidTr="000A52C9">
        <w:trPr>
          <w:trHeight w:val="255"/>
        </w:trPr>
        <w:tc>
          <w:tcPr>
            <w:tcW w:w="1660" w:type="dxa"/>
            <w:tcBorders>
              <w:top w:val="nil"/>
              <w:left w:val="nil"/>
              <w:bottom w:val="single" w:sz="4" w:space="0" w:color="auto"/>
              <w:right w:val="nil"/>
            </w:tcBorders>
            <w:shd w:val="clear" w:color="auto" w:fill="auto"/>
          </w:tcPr>
          <w:p w:rsidR="002C5D9C" w:rsidRPr="003C7A07" w:rsidRDefault="002C5D9C" w:rsidP="000A52C9">
            <w:pPr>
              <w:rPr>
                <w:rFonts w:cs="Arial"/>
                <w:sz w:val="18"/>
                <w:szCs w:val="18"/>
                <w:lang w:val="en-US"/>
              </w:rPr>
            </w:pPr>
            <w:r w:rsidRPr="003C7A07">
              <w:rPr>
                <w:rFonts w:cs="Arial"/>
                <w:sz w:val="18"/>
                <w:szCs w:val="18"/>
                <w:lang w:val="en-US"/>
              </w:rPr>
              <w:t>Owner-occupied</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r>
              <w:rPr>
                <w:rFonts w:cs="Arial"/>
                <w:sz w:val="18"/>
                <w:szCs w:val="18"/>
                <w:lang w:val="en-US"/>
              </w:rPr>
              <w:t>+</w:t>
            </w:r>
          </w:p>
        </w:tc>
      </w:tr>
    </w:tbl>
    <w:p w:rsidR="002C5D9C" w:rsidRDefault="002C5D9C" w:rsidP="002C5D9C">
      <w:pPr>
        <w:rPr>
          <w:rFonts w:ascii="Arial Narrow" w:hAnsi="Arial Narrow" w:cs="Arial"/>
          <w:sz w:val="18"/>
          <w:szCs w:val="18"/>
          <w:lang w:val="en-GB"/>
        </w:rPr>
      </w:pPr>
      <w:r>
        <w:rPr>
          <w:rFonts w:ascii="Arial Narrow" w:hAnsi="Arial Narrow" w:cs="Arial"/>
          <w:sz w:val="18"/>
          <w:szCs w:val="18"/>
          <w:lang w:val="en-GB"/>
        </w:rPr>
        <w:t>Most affordable: +++</w:t>
      </w:r>
    </w:p>
    <w:p w:rsidR="002C5D9C" w:rsidRPr="000D4338" w:rsidRDefault="002C5D9C" w:rsidP="002C5D9C">
      <w:pPr>
        <w:rPr>
          <w:rFonts w:ascii="Arial Narrow" w:hAnsi="Arial Narrow" w:cs="Arial"/>
          <w:sz w:val="18"/>
          <w:szCs w:val="18"/>
          <w:lang w:val="en-GB"/>
        </w:rPr>
      </w:pPr>
      <w:r>
        <w:rPr>
          <w:rFonts w:ascii="Arial Narrow" w:hAnsi="Arial Narrow" w:cs="Arial"/>
          <w:sz w:val="18"/>
          <w:szCs w:val="18"/>
          <w:lang w:val="en-GB"/>
        </w:rPr>
        <w:t>Least affordable: +</w:t>
      </w:r>
    </w:p>
    <w:p w:rsidR="002C5D9C" w:rsidRDefault="002C5D9C" w:rsidP="002C5D9C">
      <w:pPr>
        <w:rPr>
          <w:lang w:val="en-GB"/>
        </w:rPr>
      </w:pPr>
    </w:p>
    <w:p w:rsidR="002C5D9C" w:rsidRPr="00085040" w:rsidRDefault="002C5D9C" w:rsidP="002C5D9C">
      <w:pPr>
        <w:pStyle w:val="Billedtekst"/>
        <w:rPr>
          <w:lang w:val="en-GB"/>
        </w:rPr>
      </w:pPr>
      <w:bookmarkStart w:id="6" w:name="_Ref294182774"/>
      <w:proofErr w:type="gramStart"/>
      <w:r w:rsidRPr="00B15637">
        <w:rPr>
          <w:lang w:val="en-GB"/>
        </w:rPr>
        <w:t>Table</w:t>
      </w:r>
      <w:bookmarkEnd w:id="6"/>
      <w:r>
        <w:rPr>
          <w:lang w:val="en-GB"/>
        </w:rPr>
        <w:t xml:space="preserve"> 4</w:t>
      </w:r>
      <w:r w:rsidRPr="00B15637">
        <w:rPr>
          <w:lang w:val="en-GB"/>
        </w:rPr>
        <w:t>.</w:t>
      </w:r>
      <w:proofErr w:type="gramEnd"/>
      <w:r w:rsidRPr="00B15637">
        <w:rPr>
          <w:lang w:val="en-GB"/>
        </w:rPr>
        <w:t xml:space="preserve"> </w:t>
      </w:r>
      <w:r>
        <w:rPr>
          <w:lang w:val="en-GB"/>
        </w:rPr>
        <w:t xml:space="preserve">Homeownership among households in different income quartiles </w:t>
      </w:r>
    </w:p>
    <w:tbl>
      <w:tblPr>
        <w:tblW w:w="6580" w:type="dxa"/>
        <w:tblInd w:w="70" w:type="dxa"/>
        <w:tblCellMar>
          <w:left w:w="70" w:type="dxa"/>
          <w:right w:w="70" w:type="dxa"/>
        </w:tblCellMar>
        <w:tblLook w:val="0000" w:firstRow="0" w:lastRow="0" w:firstColumn="0" w:lastColumn="0" w:noHBand="0" w:noVBand="0"/>
      </w:tblPr>
      <w:tblGrid>
        <w:gridCol w:w="2756"/>
        <w:gridCol w:w="958"/>
        <w:gridCol w:w="955"/>
        <w:gridCol w:w="955"/>
        <w:gridCol w:w="956"/>
      </w:tblGrid>
      <w:tr w:rsidR="002C5D9C" w:rsidRPr="00085040" w:rsidTr="000A52C9">
        <w:trPr>
          <w:trHeight w:val="255"/>
        </w:trPr>
        <w:tc>
          <w:tcPr>
            <w:tcW w:w="275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 </w:t>
            </w:r>
          </w:p>
        </w:tc>
        <w:tc>
          <w:tcPr>
            <w:tcW w:w="958" w:type="dxa"/>
            <w:tcBorders>
              <w:top w:val="single" w:sz="4" w:space="0" w:color="auto"/>
              <w:left w:val="nil"/>
              <w:bottom w:val="single" w:sz="4" w:space="0" w:color="auto"/>
              <w:right w:val="nil"/>
            </w:tcBorders>
            <w:shd w:val="clear" w:color="auto" w:fill="auto"/>
          </w:tcPr>
          <w:p w:rsidR="002C5D9C" w:rsidRPr="00085040" w:rsidRDefault="002C5D9C" w:rsidP="000A52C9">
            <w:pPr>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Denmark</w:t>
                </w:r>
              </w:smartTag>
            </w:smartTag>
          </w:p>
        </w:tc>
        <w:tc>
          <w:tcPr>
            <w:tcW w:w="955" w:type="dxa"/>
            <w:tcBorders>
              <w:top w:val="single" w:sz="4" w:space="0" w:color="auto"/>
              <w:left w:val="nil"/>
              <w:bottom w:val="single" w:sz="4" w:space="0" w:color="auto"/>
              <w:right w:val="nil"/>
            </w:tcBorders>
            <w:shd w:val="clear" w:color="auto" w:fill="auto"/>
          </w:tcPr>
          <w:p w:rsidR="002C5D9C" w:rsidRPr="00085040" w:rsidRDefault="002C5D9C" w:rsidP="000A52C9">
            <w:pPr>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Finland</w:t>
                </w:r>
              </w:smartTag>
            </w:smartTag>
          </w:p>
        </w:tc>
        <w:tc>
          <w:tcPr>
            <w:tcW w:w="955" w:type="dxa"/>
            <w:tcBorders>
              <w:top w:val="single" w:sz="4" w:space="0" w:color="auto"/>
              <w:left w:val="nil"/>
              <w:bottom w:val="single" w:sz="4" w:space="0" w:color="auto"/>
              <w:right w:val="nil"/>
            </w:tcBorders>
            <w:shd w:val="clear" w:color="auto" w:fill="auto"/>
          </w:tcPr>
          <w:p w:rsidR="002C5D9C" w:rsidRPr="00085040" w:rsidRDefault="002C5D9C" w:rsidP="000A52C9">
            <w:pPr>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Norway</w:t>
                </w:r>
              </w:smartTag>
            </w:smartTag>
          </w:p>
        </w:tc>
        <w:tc>
          <w:tcPr>
            <w:tcW w:w="956" w:type="dxa"/>
            <w:tcBorders>
              <w:top w:val="single" w:sz="4" w:space="0" w:color="auto"/>
              <w:left w:val="nil"/>
              <w:bottom w:val="single" w:sz="4" w:space="0" w:color="auto"/>
              <w:right w:val="nil"/>
            </w:tcBorders>
            <w:shd w:val="clear" w:color="auto" w:fill="auto"/>
          </w:tcPr>
          <w:p w:rsidR="002C5D9C" w:rsidRPr="00085040" w:rsidRDefault="002C5D9C" w:rsidP="000A52C9">
            <w:pPr>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Sweden</w:t>
                </w:r>
              </w:smartTag>
            </w:smartTag>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Household income quartile</w:t>
            </w:r>
          </w:p>
        </w:tc>
        <w:tc>
          <w:tcPr>
            <w:tcW w:w="3824" w:type="dxa"/>
            <w:gridSpan w:val="4"/>
            <w:tcBorders>
              <w:top w:val="nil"/>
              <w:left w:val="nil"/>
              <w:bottom w:val="nil"/>
              <w:right w:val="nil"/>
            </w:tcBorders>
            <w:shd w:val="clear" w:color="auto" w:fill="auto"/>
            <w:noWrap/>
            <w:vAlign w:val="bottom"/>
          </w:tcPr>
          <w:p w:rsidR="002C5D9C" w:rsidRPr="00085040" w:rsidRDefault="002C5D9C" w:rsidP="000A52C9">
            <w:pPr>
              <w:jc w:val="center"/>
              <w:rPr>
                <w:rFonts w:ascii="Arial Narrow" w:hAnsi="Arial Narrow" w:cs="Arial"/>
                <w:sz w:val="18"/>
                <w:szCs w:val="18"/>
                <w:lang w:val="en-GB"/>
              </w:rPr>
            </w:pPr>
            <w:r w:rsidRPr="00085040">
              <w:rPr>
                <w:rFonts w:ascii="Arial Narrow" w:hAnsi="Arial Narrow" w:cs="Arial"/>
                <w:sz w:val="18"/>
                <w:szCs w:val="18"/>
                <w:lang w:val="en-GB"/>
              </w:rPr>
              <w:t>Homeownership</w:t>
            </w:r>
            <w:r>
              <w:rPr>
                <w:rFonts w:ascii="Arial Narrow" w:hAnsi="Arial Narrow" w:cs="Arial"/>
                <w:sz w:val="18"/>
                <w:szCs w:val="18"/>
                <w:lang w:val="en-GB"/>
              </w:rPr>
              <w:t>, %</w:t>
            </w:r>
            <w:r w:rsidRPr="00085040">
              <w:rPr>
                <w:rFonts w:ascii="Arial Narrow" w:hAnsi="Arial Narrow" w:cs="Arial"/>
                <w:sz w:val="18"/>
                <w:szCs w:val="18"/>
                <w:lang w:val="en-GB"/>
              </w:rPr>
              <w:t>*)</w:t>
            </w:r>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1</w:t>
            </w:r>
          </w:p>
        </w:tc>
        <w:tc>
          <w:tcPr>
            <w:tcW w:w="958"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50</w:t>
            </w:r>
          </w:p>
        </w:tc>
        <w:tc>
          <w:tcPr>
            <w:tcW w:w="955"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53</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31</w:t>
            </w:r>
          </w:p>
        </w:tc>
        <w:tc>
          <w:tcPr>
            <w:tcW w:w="95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51</w:t>
            </w:r>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2</w:t>
            </w:r>
          </w:p>
        </w:tc>
        <w:tc>
          <w:tcPr>
            <w:tcW w:w="958"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52</w:t>
            </w:r>
          </w:p>
        </w:tc>
        <w:tc>
          <w:tcPr>
            <w:tcW w:w="955"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65</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54</w:t>
            </w:r>
          </w:p>
        </w:tc>
        <w:tc>
          <w:tcPr>
            <w:tcW w:w="95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60</w:t>
            </w:r>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3</w:t>
            </w:r>
          </w:p>
        </w:tc>
        <w:tc>
          <w:tcPr>
            <w:tcW w:w="958"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66</w:t>
            </w:r>
          </w:p>
        </w:tc>
        <w:tc>
          <w:tcPr>
            <w:tcW w:w="955"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71</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74</w:t>
            </w:r>
          </w:p>
        </w:tc>
        <w:tc>
          <w:tcPr>
            <w:tcW w:w="95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62</w:t>
            </w:r>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4</w:t>
            </w:r>
          </w:p>
        </w:tc>
        <w:tc>
          <w:tcPr>
            <w:tcW w:w="958"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82</w:t>
            </w:r>
          </w:p>
        </w:tc>
        <w:tc>
          <w:tcPr>
            <w:tcW w:w="955"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74</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88</w:t>
            </w:r>
          </w:p>
        </w:tc>
        <w:tc>
          <w:tcPr>
            <w:tcW w:w="95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71</w:t>
            </w:r>
          </w:p>
        </w:tc>
      </w:tr>
      <w:tr w:rsidR="002C5D9C" w:rsidRPr="00085040" w:rsidTr="000A52C9">
        <w:trPr>
          <w:trHeight w:val="255"/>
        </w:trPr>
        <w:tc>
          <w:tcPr>
            <w:tcW w:w="2756"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All</w:t>
            </w:r>
          </w:p>
        </w:tc>
        <w:tc>
          <w:tcPr>
            <w:tcW w:w="958"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62</w:t>
            </w:r>
          </w:p>
        </w:tc>
        <w:tc>
          <w:tcPr>
            <w:tcW w:w="955"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67</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62</w:t>
            </w:r>
          </w:p>
        </w:tc>
        <w:tc>
          <w:tcPr>
            <w:tcW w:w="956" w:type="dxa"/>
            <w:tcBorders>
              <w:top w:val="nil"/>
              <w:left w:val="nil"/>
              <w:bottom w:val="nil"/>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Arial"/>
                <w:sz w:val="18"/>
                <w:szCs w:val="18"/>
                <w:lang w:val="en-GB"/>
              </w:rPr>
              <w:t>59</w:t>
            </w:r>
          </w:p>
        </w:tc>
      </w:tr>
      <w:tr w:rsidR="002C5D9C" w:rsidRPr="00085040" w:rsidTr="000A52C9">
        <w:trPr>
          <w:trHeight w:val="255"/>
        </w:trPr>
        <w:tc>
          <w:tcPr>
            <w:tcW w:w="275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rPr>
                <w:rFonts w:ascii="Arial Narrow" w:hAnsi="Arial Narrow" w:cs="Arial"/>
                <w:b/>
                <w:bCs/>
                <w:sz w:val="18"/>
                <w:szCs w:val="18"/>
                <w:lang w:val="en-GB"/>
              </w:rPr>
            </w:pPr>
            <w:r>
              <w:rPr>
                <w:rFonts w:ascii="Arial Narrow" w:hAnsi="Arial Narrow" w:cs="Arial"/>
                <w:b/>
                <w:bCs/>
                <w:sz w:val="18"/>
                <w:szCs w:val="18"/>
                <w:lang w:val="en-GB"/>
              </w:rPr>
              <w:t>Index for income</w:t>
            </w:r>
            <w:r w:rsidRPr="00085040">
              <w:rPr>
                <w:rFonts w:ascii="Arial Narrow" w:hAnsi="Arial Narrow" w:cs="Arial"/>
                <w:b/>
                <w:bCs/>
                <w:sz w:val="18"/>
                <w:szCs w:val="18"/>
                <w:lang w:val="en-GB"/>
              </w:rPr>
              <w:t xml:space="preserve"> segmentation</w:t>
            </w:r>
          </w:p>
        </w:tc>
        <w:tc>
          <w:tcPr>
            <w:tcW w:w="958"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b/>
                <w:bCs/>
                <w:sz w:val="18"/>
                <w:szCs w:val="18"/>
                <w:lang w:val="en-GB"/>
              </w:rPr>
            </w:pPr>
            <w:r w:rsidRPr="00085040">
              <w:rPr>
                <w:rFonts w:ascii="Arial Narrow" w:hAnsi="Arial Narrow" w:cs="Arial"/>
                <w:b/>
                <w:bCs/>
                <w:sz w:val="18"/>
                <w:szCs w:val="18"/>
                <w:lang w:val="en-GB"/>
              </w:rPr>
              <w:t>29</w:t>
            </w:r>
          </w:p>
        </w:tc>
        <w:tc>
          <w:tcPr>
            <w:tcW w:w="955"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b/>
                <w:bCs/>
                <w:sz w:val="18"/>
                <w:szCs w:val="18"/>
                <w:lang w:val="en-GB"/>
              </w:rPr>
            </w:pPr>
            <w:r w:rsidRPr="00085040">
              <w:rPr>
                <w:rFonts w:ascii="Arial Narrow" w:hAnsi="Arial Narrow" w:cs="Arial"/>
                <w:b/>
                <w:bCs/>
                <w:sz w:val="18"/>
                <w:szCs w:val="18"/>
                <w:lang w:val="en-GB"/>
              </w:rPr>
              <w:t>18</w:t>
            </w:r>
          </w:p>
        </w:tc>
        <w:tc>
          <w:tcPr>
            <w:tcW w:w="955" w:type="dxa"/>
            <w:tcBorders>
              <w:top w:val="single" w:sz="4" w:space="0" w:color="auto"/>
              <w:left w:val="nil"/>
              <w:bottom w:val="single" w:sz="4" w:space="0" w:color="auto"/>
              <w:right w:val="nil"/>
            </w:tcBorders>
            <w:shd w:val="clear" w:color="auto" w:fill="auto"/>
            <w:noWrap/>
            <w:vAlign w:val="bottom"/>
          </w:tcPr>
          <w:p w:rsidR="002C5D9C" w:rsidRPr="00BA5D73" w:rsidRDefault="002C5D9C" w:rsidP="000A52C9">
            <w:pPr>
              <w:jc w:val="right"/>
              <w:rPr>
                <w:rFonts w:ascii="Arial Narrow" w:hAnsi="Arial Narrow" w:cs="Arial"/>
                <w:b/>
                <w:bCs/>
                <w:sz w:val="18"/>
                <w:szCs w:val="18"/>
              </w:rPr>
            </w:pPr>
            <w:r w:rsidRPr="00BA5D73">
              <w:rPr>
                <w:rFonts w:ascii="Arial Narrow" w:hAnsi="Arial Narrow" w:cs="Arial"/>
                <w:b/>
                <w:bCs/>
                <w:sz w:val="18"/>
                <w:szCs w:val="18"/>
              </w:rPr>
              <w:t>48</w:t>
            </w:r>
          </w:p>
        </w:tc>
        <w:tc>
          <w:tcPr>
            <w:tcW w:w="956"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b/>
                <w:bCs/>
                <w:sz w:val="18"/>
                <w:szCs w:val="18"/>
                <w:lang w:val="en-GB"/>
              </w:rPr>
            </w:pPr>
            <w:r w:rsidRPr="00085040">
              <w:rPr>
                <w:rFonts w:ascii="Arial Narrow" w:hAnsi="Arial Narrow" w:cs="Arial"/>
                <w:b/>
                <w:bCs/>
                <w:sz w:val="18"/>
                <w:szCs w:val="18"/>
                <w:lang w:val="en-GB"/>
              </w:rPr>
              <w:t>14</w:t>
            </w:r>
          </w:p>
        </w:tc>
      </w:tr>
    </w:tbl>
    <w:p w:rsidR="002C5D9C" w:rsidRPr="00085040" w:rsidRDefault="002C5D9C" w:rsidP="002C5D9C">
      <w:pPr>
        <w:rPr>
          <w:rFonts w:ascii="Arial Narrow" w:hAnsi="Arial Narrow"/>
          <w:sz w:val="18"/>
          <w:szCs w:val="18"/>
          <w:lang w:val="en-GB"/>
        </w:rPr>
      </w:pPr>
      <w:r w:rsidRPr="00085040">
        <w:rPr>
          <w:rFonts w:ascii="Arial Narrow" w:hAnsi="Arial Narrow"/>
          <w:sz w:val="18"/>
          <w:szCs w:val="18"/>
          <w:lang w:val="en-GB"/>
        </w:rPr>
        <w:t xml:space="preserve">Source: First European Quality of Life Survey: Social dimensions of housing </w:t>
      </w:r>
      <w:hyperlink r:id="rId14" w:history="1">
        <w:r w:rsidRPr="00085040">
          <w:rPr>
            <w:rStyle w:val="Hyperlink"/>
            <w:rFonts w:ascii="Arial Narrow" w:hAnsi="Arial Narrow"/>
            <w:sz w:val="18"/>
            <w:szCs w:val="18"/>
            <w:lang w:val="en-GB"/>
          </w:rPr>
          <w:t>http://www.eurofound.europa.eu/pubdocs/2005/94/en/1/ef0594en.pdf</w:t>
        </w:r>
      </w:hyperlink>
      <w:r>
        <w:rPr>
          <w:rFonts w:ascii="Arial Narrow" w:hAnsi="Arial Narrow"/>
          <w:sz w:val="18"/>
          <w:szCs w:val="18"/>
          <w:lang w:val="en-GB"/>
        </w:rPr>
        <w:t xml:space="preserve"> and </w:t>
      </w:r>
      <w:smartTag w:uri="urn:schemas-microsoft-com:office:smarttags" w:element="place">
        <w:smartTag w:uri="urn:schemas-microsoft-com:office:smarttags" w:element="country-region">
          <w:r>
            <w:rPr>
              <w:rFonts w:ascii="Arial Narrow" w:hAnsi="Arial Narrow"/>
              <w:sz w:val="18"/>
              <w:szCs w:val="18"/>
              <w:lang w:val="en-GB"/>
            </w:rPr>
            <w:t>Norway</w:t>
          </w:r>
        </w:smartTag>
      </w:smartTag>
      <w:r>
        <w:rPr>
          <w:rFonts w:ascii="Arial Narrow" w:hAnsi="Arial Narrow"/>
          <w:sz w:val="18"/>
          <w:szCs w:val="18"/>
          <w:lang w:val="en-GB"/>
        </w:rPr>
        <w:t xml:space="preserve">: </w:t>
      </w:r>
      <w:proofErr w:type="spellStart"/>
      <w:r w:rsidRPr="00BA5D73">
        <w:rPr>
          <w:rFonts w:ascii="Arial Narrow" w:hAnsi="Arial Narrow"/>
          <w:sz w:val="18"/>
          <w:szCs w:val="18"/>
          <w:lang w:val="en-GB"/>
        </w:rPr>
        <w:t>Levekårsundersøkelsen</w:t>
      </w:r>
      <w:proofErr w:type="spellEnd"/>
      <w:r w:rsidRPr="00BA5D73">
        <w:rPr>
          <w:rFonts w:ascii="Arial Narrow" w:hAnsi="Arial Narrow"/>
          <w:sz w:val="18"/>
          <w:szCs w:val="18"/>
          <w:lang w:val="en-GB"/>
        </w:rPr>
        <w:t xml:space="preserve"> 2007 </w:t>
      </w:r>
    </w:p>
    <w:p w:rsidR="002C5D9C" w:rsidRPr="00085040" w:rsidRDefault="002C5D9C" w:rsidP="002C5D9C">
      <w:pPr>
        <w:rPr>
          <w:rFonts w:ascii="Arial Narrow" w:hAnsi="Arial Narrow"/>
          <w:sz w:val="18"/>
          <w:szCs w:val="18"/>
          <w:lang w:val="en-GB"/>
        </w:rPr>
      </w:pPr>
      <w:r>
        <w:rPr>
          <w:rFonts w:ascii="Arial Narrow" w:hAnsi="Arial Narrow"/>
          <w:sz w:val="18"/>
          <w:szCs w:val="18"/>
          <w:lang w:val="en-GB"/>
        </w:rPr>
        <w:t xml:space="preserve">Index of segmentation = </w:t>
      </w:r>
      <w:proofErr w:type="gramStart"/>
      <w:r>
        <w:rPr>
          <w:rFonts w:ascii="Arial Narrow" w:hAnsi="Arial Narrow"/>
          <w:sz w:val="18"/>
          <w:szCs w:val="18"/>
          <w:lang w:val="en-GB"/>
        </w:rPr>
        <w:t>sum(</w:t>
      </w:r>
      <w:proofErr w:type="gramEnd"/>
      <w:r>
        <w:rPr>
          <w:rFonts w:ascii="Arial Narrow" w:hAnsi="Arial Narrow"/>
          <w:sz w:val="18"/>
          <w:szCs w:val="18"/>
          <w:lang w:val="en-GB"/>
        </w:rPr>
        <w:t xml:space="preserve"> abs(proportion of homeowners in quartile - proportion of homeowners for the whole population))/100</w:t>
      </w:r>
    </w:p>
    <w:p w:rsidR="002C5D9C" w:rsidRDefault="002C5D9C" w:rsidP="002C5D9C">
      <w:pPr>
        <w:rPr>
          <w:lang w:val="en-GB"/>
        </w:rPr>
      </w:pPr>
    </w:p>
    <w:p w:rsidR="002C5D9C" w:rsidRPr="00085040" w:rsidRDefault="002C5D9C" w:rsidP="002C5D9C">
      <w:pPr>
        <w:pStyle w:val="Billedtekst"/>
        <w:rPr>
          <w:lang w:val="en-GB"/>
        </w:rPr>
      </w:pPr>
      <w:bookmarkStart w:id="7" w:name="_Ref294182880"/>
      <w:r>
        <w:rPr>
          <w:lang w:val="en-GB"/>
        </w:rPr>
        <w:br w:type="page"/>
      </w:r>
      <w:proofErr w:type="gramStart"/>
      <w:r w:rsidRPr="00AB2997">
        <w:rPr>
          <w:lang w:val="en-GB"/>
        </w:rPr>
        <w:lastRenderedPageBreak/>
        <w:t>Table</w:t>
      </w:r>
      <w:bookmarkEnd w:id="7"/>
      <w:r>
        <w:rPr>
          <w:lang w:val="en-GB"/>
        </w:rPr>
        <w:t xml:space="preserve"> 5</w:t>
      </w:r>
      <w:r w:rsidRPr="00AB2997">
        <w:rPr>
          <w:lang w:val="en-GB"/>
        </w:rPr>
        <w:t>.</w:t>
      </w:r>
      <w:proofErr w:type="gramEnd"/>
      <w:r w:rsidRPr="00AB2997">
        <w:rPr>
          <w:lang w:val="en-GB"/>
        </w:rPr>
        <w:t xml:space="preserve"> </w:t>
      </w:r>
      <w:r>
        <w:rPr>
          <w:lang w:val="en-GB"/>
        </w:rPr>
        <w:t>Average personal income among residents 16+ years in different tenures</w:t>
      </w:r>
    </w:p>
    <w:tbl>
      <w:tblPr>
        <w:tblW w:w="7020" w:type="dxa"/>
        <w:tblInd w:w="70" w:type="dxa"/>
        <w:tblCellMar>
          <w:left w:w="70" w:type="dxa"/>
          <w:right w:w="70" w:type="dxa"/>
        </w:tblCellMar>
        <w:tblLook w:val="0000" w:firstRow="0" w:lastRow="0" w:firstColumn="0" w:lastColumn="0" w:noHBand="0" w:noVBand="0"/>
      </w:tblPr>
      <w:tblGrid>
        <w:gridCol w:w="2700"/>
        <w:gridCol w:w="1080"/>
        <w:gridCol w:w="1080"/>
        <w:gridCol w:w="1080"/>
        <w:gridCol w:w="1080"/>
      </w:tblGrid>
      <w:tr w:rsidR="002C5D9C" w:rsidRPr="00085040" w:rsidTr="000A52C9">
        <w:trPr>
          <w:trHeight w:val="270"/>
        </w:trPr>
        <w:tc>
          <w:tcPr>
            <w:tcW w:w="2700"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 </w:t>
            </w:r>
          </w:p>
        </w:tc>
        <w:tc>
          <w:tcPr>
            <w:tcW w:w="1080"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Denmark</w:t>
                </w:r>
              </w:smartTag>
            </w:smartTag>
            <w:r w:rsidRPr="00085040">
              <w:rPr>
                <w:rFonts w:ascii="Arial Narrow" w:hAnsi="Arial Narrow" w:cs="Arial"/>
                <w:sz w:val="18"/>
                <w:szCs w:val="18"/>
                <w:lang w:val="en-GB"/>
              </w:rPr>
              <w:t xml:space="preserve"> </w:t>
            </w:r>
          </w:p>
        </w:tc>
        <w:tc>
          <w:tcPr>
            <w:tcW w:w="1080"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Finland</w:t>
                </w:r>
              </w:smartTag>
            </w:smartTag>
            <w:r w:rsidRPr="00085040">
              <w:rPr>
                <w:rFonts w:ascii="Arial Narrow" w:hAnsi="Arial Narrow" w:cs="Arial"/>
                <w:sz w:val="18"/>
                <w:szCs w:val="18"/>
                <w:lang w:val="en-GB"/>
              </w:rPr>
              <w:t xml:space="preserve"> </w:t>
            </w:r>
          </w:p>
        </w:tc>
        <w:tc>
          <w:tcPr>
            <w:tcW w:w="1080"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Norway</w:t>
                </w:r>
              </w:smartTag>
            </w:smartTag>
            <w:r w:rsidRPr="00085040">
              <w:rPr>
                <w:rFonts w:ascii="Arial Narrow" w:hAnsi="Arial Narrow" w:cs="Arial"/>
                <w:sz w:val="18"/>
                <w:szCs w:val="18"/>
                <w:lang w:val="en-GB"/>
              </w:rPr>
              <w:t xml:space="preserve"> </w:t>
            </w:r>
          </w:p>
        </w:tc>
        <w:tc>
          <w:tcPr>
            <w:tcW w:w="1080" w:type="dxa"/>
            <w:tcBorders>
              <w:top w:val="single" w:sz="4" w:space="0" w:color="auto"/>
              <w:left w:val="nil"/>
              <w:bottom w:val="single" w:sz="4" w:space="0" w:color="auto"/>
              <w:right w:val="nil"/>
            </w:tcBorders>
            <w:shd w:val="clear" w:color="auto" w:fill="auto"/>
            <w:noWrap/>
            <w:vAlign w:val="bottom"/>
          </w:tcPr>
          <w:p w:rsidR="002C5D9C" w:rsidRPr="00085040"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085040">
                  <w:rPr>
                    <w:rFonts w:ascii="Arial Narrow" w:hAnsi="Arial Narrow" w:cs="Arial"/>
                    <w:sz w:val="18"/>
                    <w:szCs w:val="18"/>
                    <w:lang w:val="en-GB"/>
                  </w:rPr>
                  <w:t>Sweden</w:t>
                </w:r>
              </w:smartTag>
            </w:smartTag>
            <w:r w:rsidRPr="00085040">
              <w:rPr>
                <w:rFonts w:ascii="Arial Narrow" w:hAnsi="Arial Narrow" w:cs="Arial"/>
                <w:sz w:val="18"/>
                <w:szCs w:val="18"/>
                <w:lang w:val="en-GB"/>
              </w:rPr>
              <w:t xml:space="preserve"> </w:t>
            </w:r>
          </w:p>
        </w:tc>
      </w:tr>
      <w:tr w:rsidR="002C5D9C" w:rsidRPr="00597DBC" w:rsidTr="000A52C9">
        <w:trPr>
          <w:trHeight w:val="300"/>
        </w:trPr>
        <w:tc>
          <w:tcPr>
            <w:tcW w:w="4860" w:type="dxa"/>
            <w:gridSpan w:val="3"/>
            <w:tcBorders>
              <w:top w:val="single" w:sz="4" w:space="0" w:color="auto"/>
              <w:left w:val="nil"/>
              <w:bottom w:val="nil"/>
              <w:right w:val="nil"/>
            </w:tcBorders>
            <w:shd w:val="clear" w:color="auto" w:fill="auto"/>
          </w:tcPr>
          <w:p w:rsidR="002C5D9C" w:rsidRPr="00085040" w:rsidRDefault="002C5D9C" w:rsidP="000A52C9">
            <w:pPr>
              <w:rPr>
                <w:rFonts w:cs="Arial"/>
                <w:lang w:val="en-GB"/>
              </w:rPr>
            </w:pPr>
            <w:r w:rsidRPr="00085040">
              <w:rPr>
                <w:rFonts w:ascii="Arial Narrow" w:hAnsi="Arial Narrow" w:cs="Arial"/>
                <w:b/>
                <w:bCs/>
                <w:sz w:val="18"/>
                <w:szCs w:val="18"/>
                <w:lang w:val="en-GB"/>
              </w:rPr>
              <w:t>Average disposable incomes in tenures (Euro)</w:t>
            </w:r>
          </w:p>
        </w:tc>
        <w:tc>
          <w:tcPr>
            <w:tcW w:w="1080" w:type="dxa"/>
            <w:tcBorders>
              <w:top w:val="nil"/>
              <w:left w:val="nil"/>
              <w:bottom w:val="nil"/>
              <w:right w:val="nil"/>
            </w:tcBorders>
            <w:shd w:val="clear" w:color="auto" w:fill="auto"/>
            <w:noWrap/>
            <w:vAlign w:val="bottom"/>
          </w:tcPr>
          <w:p w:rsidR="002C5D9C" w:rsidRPr="00085040" w:rsidRDefault="002C5D9C" w:rsidP="000A52C9">
            <w:pPr>
              <w:rPr>
                <w:rFonts w:cs="Arial"/>
                <w:lang w:val="en-GB"/>
              </w:rPr>
            </w:pPr>
          </w:p>
        </w:tc>
        <w:tc>
          <w:tcPr>
            <w:tcW w:w="1080" w:type="dxa"/>
            <w:tcBorders>
              <w:top w:val="nil"/>
              <w:left w:val="nil"/>
              <w:bottom w:val="nil"/>
              <w:right w:val="nil"/>
            </w:tcBorders>
            <w:shd w:val="clear" w:color="auto" w:fill="auto"/>
            <w:noWrap/>
            <w:vAlign w:val="bottom"/>
          </w:tcPr>
          <w:p w:rsidR="002C5D9C" w:rsidRPr="00085040" w:rsidRDefault="002C5D9C" w:rsidP="000A52C9">
            <w:pPr>
              <w:rPr>
                <w:rFonts w:cs="Arial"/>
                <w:lang w:val="en-GB"/>
              </w:rPr>
            </w:pPr>
          </w:p>
        </w:tc>
      </w:tr>
      <w:tr w:rsidR="002C5D9C" w:rsidRPr="00085040" w:rsidTr="000A52C9">
        <w:trPr>
          <w:trHeight w:val="181"/>
        </w:trPr>
        <w:tc>
          <w:tcPr>
            <w:tcW w:w="2700" w:type="dxa"/>
            <w:tcBorders>
              <w:top w:val="nil"/>
              <w:left w:val="nil"/>
              <w:bottom w:val="nil"/>
              <w:right w:val="nil"/>
            </w:tcBorders>
            <w:shd w:val="clear" w:color="auto" w:fill="auto"/>
            <w:noWrap/>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Owner-occupied</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27,149</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lang w:val="en-GB"/>
              </w:rPr>
              <w:t>20,021</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30,408</w:t>
            </w:r>
          </w:p>
        </w:tc>
        <w:tc>
          <w:tcPr>
            <w:tcW w:w="1080"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21</w:t>
            </w:r>
            <w:r>
              <w:rPr>
                <w:rFonts w:ascii="Arial Narrow" w:hAnsi="Arial Narrow" w:cs="Calibri"/>
                <w:sz w:val="18"/>
                <w:szCs w:val="18"/>
                <w:lang w:val="en-GB"/>
              </w:rPr>
              <w:t>,</w:t>
            </w:r>
            <w:r w:rsidRPr="00085040">
              <w:rPr>
                <w:rFonts w:ascii="Arial Narrow" w:hAnsi="Arial Narrow" w:cs="Calibri"/>
                <w:sz w:val="18"/>
                <w:szCs w:val="18"/>
                <w:lang w:val="en-GB"/>
              </w:rPr>
              <w:t>100</w:t>
            </w:r>
          </w:p>
        </w:tc>
      </w:tr>
      <w:tr w:rsidR="002C5D9C" w:rsidRPr="00085040" w:rsidTr="000A52C9">
        <w:trPr>
          <w:trHeight w:val="96"/>
        </w:trPr>
        <w:tc>
          <w:tcPr>
            <w:tcW w:w="2700" w:type="dxa"/>
            <w:tcBorders>
              <w:top w:val="nil"/>
              <w:left w:val="nil"/>
              <w:bottom w:val="nil"/>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Cooperatives</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21,556</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lang w:val="en-GB"/>
              </w:rPr>
              <w:t>-</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28,328</w:t>
            </w:r>
          </w:p>
        </w:tc>
        <w:tc>
          <w:tcPr>
            <w:tcW w:w="1080" w:type="dxa"/>
            <w:tcBorders>
              <w:top w:val="nil"/>
              <w:left w:val="nil"/>
              <w:bottom w:val="nil"/>
              <w:right w:val="nil"/>
            </w:tcBorders>
            <w:shd w:val="clear" w:color="auto" w:fill="auto"/>
            <w:noWrap/>
          </w:tcPr>
          <w:p w:rsidR="002C5D9C" w:rsidRPr="00085040" w:rsidRDefault="002C5D9C" w:rsidP="000A52C9">
            <w:pPr>
              <w:jc w:val="right"/>
              <w:rPr>
                <w:rFonts w:ascii="Arial Narrow" w:hAnsi="Arial Narrow" w:cs="Arial"/>
                <w:sz w:val="18"/>
                <w:szCs w:val="18"/>
                <w:lang w:val="en-GB"/>
              </w:rPr>
            </w:pPr>
            <w:r w:rsidRPr="00085040">
              <w:rPr>
                <w:rFonts w:ascii="Arial Narrow" w:hAnsi="Arial Narrow" w:cs="Calibri"/>
                <w:sz w:val="18"/>
                <w:szCs w:val="18"/>
                <w:lang w:val="en-GB"/>
              </w:rPr>
              <w:t>19</w:t>
            </w:r>
            <w:r>
              <w:rPr>
                <w:rFonts w:ascii="Arial Narrow" w:hAnsi="Arial Narrow" w:cs="Calibri"/>
                <w:sz w:val="18"/>
                <w:szCs w:val="18"/>
                <w:lang w:val="en-GB"/>
              </w:rPr>
              <w:t>,</w:t>
            </w:r>
            <w:r w:rsidRPr="00085040">
              <w:rPr>
                <w:rFonts w:ascii="Arial Narrow" w:hAnsi="Arial Narrow" w:cs="Calibri"/>
                <w:sz w:val="18"/>
                <w:szCs w:val="18"/>
                <w:lang w:val="en-GB"/>
              </w:rPr>
              <w:t>900</w:t>
            </w:r>
          </w:p>
        </w:tc>
      </w:tr>
      <w:tr w:rsidR="002C5D9C" w:rsidRPr="006264E7" w:rsidTr="000A52C9">
        <w:trPr>
          <w:trHeight w:val="60"/>
        </w:trPr>
        <w:tc>
          <w:tcPr>
            <w:tcW w:w="2700" w:type="dxa"/>
            <w:tcBorders>
              <w:top w:val="nil"/>
              <w:left w:val="nil"/>
              <w:bottom w:val="nil"/>
              <w:right w:val="nil"/>
            </w:tcBorders>
            <w:shd w:val="clear" w:color="auto" w:fill="auto"/>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Private renting</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21,130</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lang w:val="en-GB"/>
              </w:rPr>
              <w:t>14,623</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20,246</w:t>
            </w:r>
          </w:p>
        </w:tc>
        <w:tc>
          <w:tcPr>
            <w:tcW w:w="1080" w:type="dxa"/>
            <w:tcBorders>
              <w:top w:val="nil"/>
              <w:left w:val="nil"/>
              <w:bottom w:val="nil"/>
              <w:right w:val="nil"/>
            </w:tcBorders>
            <w:shd w:val="clear" w:color="auto" w:fill="auto"/>
            <w:noWrap/>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Calibri"/>
                <w:sz w:val="18"/>
                <w:szCs w:val="18"/>
                <w:lang w:val="en-GB"/>
              </w:rPr>
              <w:t>16</w:t>
            </w:r>
            <w:r>
              <w:rPr>
                <w:rFonts w:ascii="Arial Narrow" w:hAnsi="Arial Narrow" w:cs="Calibri"/>
                <w:sz w:val="18"/>
                <w:szCs w:val="18"/>
                <w:lang w:val="en-GB"/>
              </w:rPr>
              <w:t>,</w:t>
            </w:r>
            <w:r w:rsidRPr="006264E7">
              <w:rPr>
                <w:rFonts w:ascii="Arial Narrow" w:hAnsi="Arial Narrow" w:cs="Calibri"/>
                <w:sz w:val="18"/>
                <w:szCs w:val="18"/>
                <w:lang w:val="en-GB"/>
              </w:rPr>
              <w:t>300</w:t>
            </w:r>
          </w:p>
        </w:tc>
      </w:tr>
      <w:tr w:rsidR="002C5D9C" w:rsidRPr="006264E7" w:rsidTr="000A52C9">
        <w:trPr>
          <w:trHeight w:val="174"/>
        </w:trPr>
        <w:tc>
          <w:tcPr>
            <w:tcW w:w="2700" w:type="dxa"/>
            <w:tcBorders>
              <w:top w:val="nil"/>
              <w:left w:val="nil"/>
              <w:bottom w:val="nil"/>
              <w:right w:val="nil"/>
            </w:tcBorders>
            <w:shd w:val="clear" w:color="auto" w:fill="auto"/>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Social/public housing</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19,415</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lang w:val="en-GB"/>
              </w:rPr>
              <w:t>14,028</w:t>
            </w:r>
          </w:p>
        </w:tc>
        <w:tc>
          <w:tcPr>
            <w:tcW w:w="1080"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21,763</w:t>
            </w:r>
          </w:p>
        </w:tc>
        <w:tc>
          <w:tcPr>
            <w:tcW w:w="1080" w:type="dxa"/>
            <w:tcBorders>
              <w:top w:val="nil"/>
              <w:left w:val="nil"/>
              <w:bottom w:val="nil"/>
              <w:right w:val="nil"/>
            </w:tcBorders>
            <w:shd w:val="clear" w:color="auto" w:fill="auto"/>
            <w:noWrap/>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Calibri"/>
                <w:sz w:val="18"/>
                <w:szCs w:val="18"/>
                <w:lang w:val="en-GB"/>
              </w:rPr>
              <w:t>14</w:t>
            </w:r>
            <w:r>
              <w:rPr>
                <w:rFonts w:ascii="Arial Narrow" w:hAnsi="Arial Narrow" w:cs="Calibri"/>
                <w:sz w:val="18"/>
                <w:szCs w:val="18"/>
                <w:lang w:val="en-GB"/>
              </w:rPr>
              <w:t>,</w:t>
            </w:r>
            <w:r w:rsidRPr="006264E7">
              <w:rPr>
                <w:rFonts w:ascii="Arial Narrow" w:hAnsi="Arial Narrow" w:cs="Calibri"/>
                <w:sz w:val="18"/>
                <w:szCs w:val="18"/>
                <w:lang w:val="en-GB"/>
              </w:rPr>
              <w:t>850</w:t>
            </w:r>
          </w:p>
        </w:tc>
      </w:tr>
      <w:tr w:rsidR="002C5D9C" w:rsidRPr="006264E7" w:rsidTr="000A52C9">
        <w:trPr>
          <w:trHeight w:val="130"/>
        </w:trPr>
        <w:tc>
          <w:tcPr>
            <w:tcW w:w="2700" w:type="dxa"/>
            <w:tcBorders>
              <w:top w:val="nil"/>
              <w:left w:val="nil"/>
              <w:bottom w:val="single" w:sz="4" w:space="0" w:color="auto"/>
              <w:right w:val="nil"/>
            </w:tcBorders>
            <w:shd w:val="clear" w:color="auto" w:fill="auto"/>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All</w:t>
            </w:r>
          </w:p>
        </w:tc>
        <w:tc>
          <w:tcPr>
            <w:tcW w:w="1080" w:type="dxa"/>
            <w:tcBorders>
              <w:top w:val="nil"/>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24,407</w:t>
            </w:r>
          </w:p>
        </w:tc>
        <w:tc>
          <w:tcPr>
            <w:tcW w:w="1080" w:type="dxa"/>
            <w:tcBorders>
              <w:top w:val="nil"/>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lang w:val="en-GB"/>
              </w:rPr>
              <w:t>18,233</w:t>
            </w:r>
          </w:p>
        </w:tc>
        <w:tc>
          <w:tcPr>
            <w:tcW w:w="1080" w:type="dxa"/>
            <w:tcBorders>
              <w:top w:val="nil"/>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27,645</w:t>
            </w:r>
          </w:p>
        </w:tc>
        <w:tc>
          <w:tcPr>
            <w:tcW w:w="1080" w:type="dxa"/>
            <w:tcBorders>
              <w:top w:val="nil"/>
              <w:left w:val="nil"/>
              <w:bottom w:val="single" w:sz="4" w:space="0" w:color="auto"/>
              <w:right w:val="nil"/>
            </w:tcBorders>
            <w:shd w:val="clear" w:color="auto" w:fill="auto"/>
            <w:noWrap/>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Calibri"/>
                <w:sz w:val="18"/>
                <w:szCs w:val="18"/>
                <w:lang w:val="en-GB"/>
              </w:rPr>
              <w:t>19</w:t>
            </w:r>
            <w:r>
              <w:rPr>
                <w:rFonts w:ascii="Arial Narrow" w:hAnsi="Arial Narrow" w:cs="Calibri"/>
                <w:sz w:val="18"/>
                <w:szCs w:val="18"/>
                <w:lang w:val="en-GB"/>
              </w:rPr>
              <w:t>,</w:t>
            </w:r>
            <w:r w:rsidRPr="006264E7">
              <w:rPr>
                <w:rFonts w:ascii="Arial Narrow" w:hAnsi="Arial Narrow" w:cs="Calibri"/>
                <w:sz w:val="18"/>
                <w:szCs w:val="18"/>
                <w:lang w:val="en-GB"/>
              </w:rPr>
              <w:t>200</w:t>
            </w:r>
          </w:p>
        </w:tc>
      </w:tr>
      <w:tr w:rsidR="002C5D9C" w:rsidRPr="00597DBC" w:rsidTr="000A52C9">
        <w:trPr>
          <w:trHeight w:val="270"/>
        </w:trPr>
        <w:tc>
          <w:tcPr>
            <w:tcW w:w="4860" w:type="dxa"/>
            <w:gridSpan w:val="3"/>
            <w:tcBorders>
              <w:top w:val="nil"/>
              <w:left w:val="nil"/>
              <w:right w:val="nil"/>
            </w:tcBorders>
            <w:shd w:val="clear" w:color="auto" w:fill="auto"/>
          </w:tcPr>
          <w:p w:rsidR="002C5D9C" w:rsidRPr="0052166E" w:rsidRDefault="002C5D9C" w:rsidP="000A52C9">
            <w:pPr>
              <w:rPr>
                <w:rFonts w:cs="Arial"/>
                <w:b/>
                <w:lang w:val="en-GB"/>
              </w:rPr>
            </w:pPr>
            <w:r w:rsidRPr="0052166E">
              <w:rPr>
                <w:rFonts w:ascii="Arial Narrow" w:hAnsi="Arial Narrow" w:cs="Arial"/>
                <w:b/>
                <w:sz w:val="18"/>
                <w:szCs w:val="18"/>
                <w:lang w:val="en-GB"/>
              </w:rPr>
              <w:t>Relative difference from average income</w:t>
            </w:r>
            <w:r>
              <w:rPr>
                <w:rFonts w:ascii="Arial Narrow" w:hAnsi="Arial Narrow" w:cs="Arial"/>
                <w:b/>
                <w:sz w:val="18"/>
                <w:szCs w:val="18"/>
                <w:lang w:val="en-GB"/>
              </w:rPr>
              <w:t>, per cent</w:t>
            </w:r>
          </w:p>
        </w:tc>
        <w:tc>
          <w:tcPr>
            <w:tcW w:w="1080" w:type="dxa"/>
            <w:tcBorders>
              <w:top w:val="nil"/>
              <w:left w:val="nil"/>
              <w:right w:val="nil"/>
            </w:tcBorders>
            <w:shd w:val="clear" w:color="auto" w:fill="auto"/>
            <w:noWrap/>
            <w:vAlign w:val="bottom"/>
          </w:tcPr>
          <w:p w:rsidR="002C5D9C" w:rsidRPr="006264E7" w:rsidRDefault="002C5D9C" w:rsidP="000A52C9">
            <w:pPr>
              <w:rPr>
                <w:rFonts w:cs="Arial"/>
                <w:lang w:val="en-GB"/>
              </w:rPr>
            </w:pPr>
          </w:p>
        </w:tc>
        <w:tc>
          <w:tcPr>
            <w:tcW w:w="1080" w:type="dxa"/>
            <w:tcBorders>
              <w:top w:val="nil"/>
              <w:left w:val="nil"/>
              <w:right w:val="nil"/>
            </w:tcBorders>
            <w:shd w:val="clear" w:color="auto" w:fill="auto"/>
            <w:noWrap/>
          </w:tcPr>
          <w:p w:rsidR="002C5D9C" w:rsidRPr="006264E7" w:rsidRDefault="002C5D9C" w:rsidP="000A52C9">
            <w:pPr>
              <w:jc w:val="right"/>
              <w:rPr>
                <w:rFonts w:ascii="Arial Narrow" w:hAnsi="Arial Narrow" w:cs="Calibri"/>
                <w:sz w:val="18"/>
                <w:szCs w:val="18"/>
                <w:lang w:val="en-GB"/>
              </w:rPr>
            </w:pPr>
          </w:p>
        </w:tc>
      </w:tr>
      <w:tr w:rsidR="002C5D9C" w:rsidRPr="006264E7" w:rsidTr="000A52C9">
        <w:trPr>
          <w:trHeight w:val="138"/>
        </w:trPr>
        <w:tc>
          <w:tcPr>
            <w:tcW w:w="2700" w:type="dxa"/>
            <w:tcBorders>
              <w:top w:val="nil"/>
              <w:left w:val="nil"/>
              <w:right w:val="nil"/>
            </w:tcBorders>
            <w:shd w:val="clear" w:color="auto" w:fill="auto"/>
            <w:vAlign w:val="bottom"/>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Owner-occupied</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11</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10</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10</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10</w:t>
            </w:r>
          </w:p>
        </w:tc>
      </w:tr>
      <w:tr w:rsidR="002C5D9C" w:rsidRPr="006264E7" w:rsidTr="000A52C9">
        <w:trPr>
          <w:trHeight w:val="217"/>
        </w:trPr>
        <w:tc>
          <w:tcPr>
            <w:tcW w:w="2700" w:type="dxa"/>
            <w:tcBorders>
              <w:top w:val="nil"/>
              <w:left w:val="nil"/>
              <w:right w:val="nil"/>
            </w:tcBorders>
            <w:shd w:val="clear" w:color="auto" w:fill="auto"/>
          </w:tcPr>
          <w:p w:rsidR="002C5D9C" w:rsidRPr="00085040" w:rsidRDefault="002C5D9C" w:rsidP="000A52C9">
            <w:pPr>
              <w:rPr>
                <w:rFonts w:ascii="Arial Narrow" w:hAnsi="Arial Narrow" w:cs="Arial"/>
                <w:sz w:val="18"/>
                <w:szCs w:val="18"/>
                <w:lang w:val="en-GB"/>
              </w:rPr>
            </w:pPr>
            <w:r w:rsidRPr="00085040">
              <w:rPr>
                <w:rFonts w:ascii="Arial Narrow" w:hAnsi="Arial Narrow" w:cs="Arial"/>
                <w:sz w:val="18"/>
                <w:szCs w:val="18"/>
                <w:lang w:val="en-GB"/>
              </w:rPr>
              <w:t>Co-operatives</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-12</w:t>
            </w:r>
          </w:p>
        </w:tc>
        <w:tc>
          <w:tcPr>
            <w:tcW w:w="1080" w:type="dxa"/>
            <w:tcBorders>
              <w:top w:val="nil"/>
              <w:left w:val="nil"/>
              <w:right w:val="nil"/>
            </w:tcBorders>
            <w:shd w:val="clear" w:color="auto" w:fill="auto"/>
            <w:noWrap/>
            <w:vAlign w:val="bottom"/>
          </w:tcPr>
          <w:p w:rsidR="002C5D9C" w:rsidRDefault="002C5D9C" w:rsidP="000A52C9">
            <w:pPr>
              <w:rPr>
                <w:rFonts w:ascii="Arial Narrow" w:hAnsi="Arial Narrow" w:cs="Arial"/>
                <w:sz w:val="18"/>
                <w:szCs w:val="18"/>
              </w:rPr>
            </w:pP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4</w:t>
            </w:r>
          </w:p>
        </w:tc>
      </w:tr>
      <w:tr w:rsidR="002C5D9C" w:rsidRPr="006264E7" w:rsidTr="000A52C9">
        <w:trPr>
          <w:trHeight w:val="216"/>
        </w:trPr>
        <w:tc>
          <w:tcPr>
            <w:tcW w:w="2700" w:type="dxa"/>
            <w:tcBorders>
              <w:top w:val="nil"/>
              <w:left w:val="nil"/>
              <w:right w:val="nil"/>
            </w:tcBorders>
            <w:shd w:val="clear" w:color="auto" w:fill="auto"/>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Private renting</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-13</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-20</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-27</w:t>
            </w:r>
          </w:p>
        </w:tc>
        <w:tc>
          <w:tcPr>
            <w:tcW w:w="1080"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-15</w:t>
            </w:r>
          </w:p>
        </w:tc>
      </w:tr>
      <w:tr w:rsidR="002C5D9C" w:rsidRPr="006264E7" w:rsidTr="000A52C9">
        <w:trPr>
          <w:trHeight w:val="158"/>
        </w:trPr>
        <w:tc>
          <w:tcPr>
            <w:tcW w:w="2700" w:type="dxa"/>
            <w:tcBorders>
              <w:left w:val="nil"/>
              <w:bottom w:val="single" w:sz="4" w:space="0" w:color="auto"/>
              <w:right w:val="nil"/>
            </w:tcBorders>
            <w:shd w:val="clear" w:color="auto" w:fill="auto"/>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Social/public housing</w:t>
            </w:r>
          </w:p>
        </w:tc>
        <w:tc>
          <w:tcPr>
            <w:tcW w:w="1080" w:type="dxa"/>
            <w:tcBorders>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-20</w:t>
            </w:r>
          </w:p>
        </w:tc>
        <w:tc>
          <w:tcPr>
            <w:tcW w:w="1080" w:type="dxa"/>
            <w:tcBorders>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-23</w:t>
            </w:r>
          </w:p>
        </w:tc>
        <w:tc>
          <w:tcPr>
            <w:tcW w:w="1080" w:type="dxa"/>
            <w:tcBorders>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-21</w:t>
            </w:r>
          </w:p>
        </w:tc>
        <w:tc>
          <w:tcPr>
            <w:tcW w:w="1080" w:type="dxa"/>
            <w:tcBorders>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-23</w:t>
            </w:r>
          </w:p>
        </w:tc>
      </w:tr>
      <w:tr w:rsidR="002C5D9C" w:rsidRPr="006264E7" w:rsidTr="000A52C9">
        <w:trPr>
          <w:trHeight w:val="240"/>
        </w:trPr>
        <w:tc>
          <w:tcPr>
            <w:tcW w:w="2700" w:type="dxa"/>
            <w:tcBorders>
              <w:top w:val="nil"/>
              <w:left w:val="nil"/>
              <w:bottom w:val="single" w:sz="4" w:space="0" w:color="auto"/>
              <w:right w:val="nil"/>
            </w:tcBorders>
            <w:shd w:val="clear" w:color="auto" w:fill="auto"/>
          </w:tcPr>
          <w:p w:rsidR="002C5D9C" w:rsidRPr="006264E7" w:rsidRDefault="002C5D9C" w:rsidP="000A52C9">
            <w:pPr>
              <w:rPr>
                <w:rFonts w:ascii="Arial Narrow" w:hAnsi="Arial Narrow" w:cs="Arial"/>
                <w:b/>
                <w:bCs/>
                <w:sz w:val="18"/>
                <w:szCs w:val="18"/>
                <w:lang w:val="en-GB"/>
              </w:rPr>
            </w:pPr>
            <w:r>
              <w:rPr>
                <w:rFonts w:ascii="Arial Narrow" w:hAnsi="Arial Narrow" w:cs="Arial"/>
                <w:b/>
                <w:bCs/>
                <w:sz w:val="18"/>
                <w:szCs w:val="18"/>
                <w:lang w:val="en-GB"/>
              </w:rPr>
              <w:t xml:space="preserve">Index for income </w:t>
            </w:r>
            <w:r w:rsidRPr="006264E7">
              <w:rPr>
                <w:rFonts w:ascii="Arial Narrow" w:hAnsi="Arial Narrow" w:cs="Arial"/>
                <w:b/>
                <w:bCs/>
                <w:sz w:val="18"/>
                <w:szCs w:val="18"/>
                <w:lang w:val="en-GB"/>
              </w:rPr>
              <w:t xml:space="preserve"> segmentation</w:t>
            </w:r>
          </w:p>
        </w:tc>
        <w:tc>
          <w:tcPr>
            <w:tcW w:w="1080" w:type="dxa"/>
            <w:tcBorders>
              <w:top w:val="nil"/>
              <w:left w:val="nil"/>
              <w:bottom w:val="single" w:sz="4" w:space="0" w:color="auto"/>
              <w:right w:val="nil"/>
            </w:tcBorders>
            <w:shd w:val="clear" w:color="auto" w:fill="auto"/>
            <w:noWrap/>
            <w:vAlign w:val="bottom"/>
          </w:tcPr>
          <w:p w:rsidR="002C5D9C" w:rsidRPr="00981E62" w:rsidRDefault="002C5D9C" w:rsidP="000A52C9">
            <w:pPr>
              <w:jc w:val="right"/>
              <w:rPr>
                <w:rFonts w:ascii="Arial Narrow" w:hAnsi="Arial Narrow" w:cs="Arial"/>
                <w:sz w:val="18"/>
                <w:szCs w:val="18"/>
              </w:rPr>
            </w:pPr>
            <w:r w:rsidRPr="00981E62">
              <w:rPr>
                <w:rFonts w:ascii="Arial Narrow" w:hAnsi="Arial Narrow" w:cs="Arial"/>
                <w:sz w:val="18"/>
                <w:szCs w:val="18"/>
              </w:rPr>
              <w:t>14</w:t>
            </w:r>
          </w:p>
        </w:tc>
        <w:tc>
          <w:tcPr>
            <w:tcW w:w="1080" w:type="dxa"/>
            <w:tcBorders>
              <w:top w:val="nil"/>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rPr>
            </w:pPr>
            <w:r>
              <w:rPr>
                <w:rFonts w:ascii="Arial Narrow" w:hAnsi="Arial Narrow" w:cs="Arial"/>
              </w:rPr>
              <w:t>12</w:t>
            </w:r>
          </w:p>
        </w:tc>
        <w:tc>
          <w:tcPr>
            <w:tcW w:w="1080" w:type="dxa"/>
            <w:tcBorders>
              <w:top w:val="nil"/>
              <w:left w:val="nil"/>
              <w:bottom w:val="single" w:sz="4" w:space="0" w:color="auto"/>
              <w:right w:val="nil"/>
            </w:tcBorders>
            <w:shd w:val="clear" w:color="auto" w:fill="auto"/>
            <w:noWrap/>
            <w:vAlign w:val="bottom"/>
          </w:tcPr>
          <w:p w:rsidR="002C5D9C" w:rsidRDefault="002C5D9C" w:rsidP="000A52C9">
            <w:pPr>
              <w:jc w:val="right"/>
              <w:rPr>
                <w:rFonts w:ascii="Arial Narrow" w:hAnsi="Arial Narrow" w:cs="Arial"/>
              </w:rPr>
            </w:pPr>
            <w:r>
              <w:rPr>
                <w:rFonts w:ascii="Arial Narrow" w:hAnsi="Arial Narrow" w:cs="Arial"/>
              </w:rPr>
              <w:t>13</w:t>
            </w:r>
          </w:p>
        </w:tc>
        <w:tc>
          <w:tcPr>
            <w:tcW w:w="1080" w:type="dxa"/>
            <w:tcBorders>
              <w:top w:val="nil"/>
              <w:left w:val="nil"/>
              <w:bottom w:val="single" w:sz="4" w:space="0" w:color="auto"/>
              <w:right w:val="nil"/>
            </w:tcBorders>
            <w:shd w:val="clear" w:color="auto" w:fill="auto"/>
            <w:noWrap/>
            <w:vAlign w:val="bottom"/>
          </w:tcPr>
          <w:p w:rsidR="002C5D9C" w:rsidRPr="00981E62" w:rsidRDefault="002C5D9C" w:rsidP="000A52C9">
            <w:pPr>
              <w:jc w:val="right"/>
              <w:rPr>
                <w:rFonts w:ascii="Arial Narrow" w:hAnsi="Arial Narrow" w:cs="Arial"/>
                <w:sz w:val="18"/>
                <w:szCs w:val="18"/>
                <w:lang w:val="en-GB"/>
              </w:rPr>
            </w:pPr>
            <w:r w:rsidRPr="00981E62">
              <w:rPr>
                <w:rFonts w:ascii="Arial Narrow" w:hAnsi="Arial Narrow" w:cs="Arial"/>
                <w:sz w:val="18"/>
                <w:szCs w:val="18"/>
                <w:lang w:val="en-GB"/>
              </w:rPr>
              <w:t>11</w:t>
            </w:r>
          </w:p>
        </w:tc>
      </w:tr>
    </w:tbl>
    <w:p w:rsidR="002C5D9C" w:rsidRPr="006264E7" w:rsidRDefault="002C5D9C" w:rsidP="002C5D9C">
      <w:pPr>
        <w:rPr>
          <w:rFonts w:ascii="Arial Narrow" w:hAnsi="Arial Narrow"/>
          <w:sz w:val="18"/>
          <w:szCs w:val="18"/>
          <w:lang w:val="en-GB"/>
        </w:rPr>
      </w:pPr>
      <w:r w:rsidRPr="006264E7">
        <w:rPr>
          <w:rFonts w:ascii="Arial Narrow" w:hAnsi="Arial Narrow"/>
          <w:sz w:val="18"/>
          <w:szCs w:val="18"/>
          <w:lang w:val="en-GB"/>
        </w:rPr>
        <w:t xml:space="preserve">Index of segmentation = </w:t>
      </w:r>
      <w:proofErr w:type="gramStart"/>
      <w:r w:rsidRPr="006264E7">
        <w:rPr>
          <w:rFonts w:ascii="Arial Narrow" w:hAnsi="Arial Narrow"/>
          <w:sz w:val="18"/>
          <w:szCs w:val="18"/>
          <w:lang w:val="en-GB"/>
        </w:rPr>
        <w:t>sum(</w:t>
      </w:r>
      <w:proofErr w:type="gramEnd"/>
      <w:r>
        <w:rPr>
          <w:rFonts w:ascii="Arial Narrow" w:hAnsi="Arial Narrow"/>
          <w:sz w:val="18"/>
          <w:szCs w:val="18"/>
          <w:lang w:val="en-GB"/>
        </w:rPr>
        <w:t>abs</w:t>
      </w:r>
      <w:r w:rsidRPr="006264E7">
        <w:rPr>
          <w:rFonts w:ascii="Arial Narrow" w:hAnsi="Arial Narrow"/>
          <w:sz w:val="18"/>
          <w:szCs w:val="18"/>
          <w:lang w:val="en-GB"/>
        </w:rPr>
        <w:t>(income in tenure- average income)* proportion of dwellings in tenure))/100</w:t>
      </w:r>
    </w:p>
    <w:p w:rsidR="002C5D9C" w:rsidRPr="006264E7" w:rsidRDefault="002C5D9C" w:rsidP="002C5D9C">
      <w:pPr>
        <w:rPr>
          <w:rFonts w:ascii="Arial Narrow" w:hAnsi="Arial Narrow"/>
          <w:sz w:val="18"/>
          <w:szCs w:val="18"/>
          <w:lang w:val="en-GB"/>
        </w:rPr>
      </w:pPr>
      <w:r w:rsidRPr="00A73DD6">
        <w:rPr>
          <w:rFonts w:ascii="Arial Narrow" w:hAnsi="Arial Narrow"/>
          <w:b/>
          <w:sz w:val="18"/>
          <w:szCs w:val="18"/>
          <w:lang w:val="en-GB"/>
        </w:rPr>
        <w:t>Sources</w:t>
      </w:r>
      <w:r w:rsidRPr="006264E7">
        <w:rPr>
          <w:rFonts w:ascii="Arial Narrow" w:hAnsi="Arial Narrow"/>
          <w:sz w:val="18"/>
          <w:szCs w:val="18"/>
          <w:lang w:val="en-GB"/>
        </w:rPr>
        <w:t xml:space="preserve">: </w:t>
      </w:r>
    </w:p>
    <w:p w:rsidR="002C5D9C" w:rsidRPr="006264E7" w:rsidRDefault="002C5D9C" w:rsidP="002C5D9C">
      <w:pPr>
        <w:rPr>
          <w:rFonts w:ascii="Arial Narrow" w:hAnsi="Arial Narrow" w:cs="Arial"/>
          <w:sz w:val="18"/>
          <w:szCs w:val="18"/>
          <w:lang w:val="en-GB"/>
        </w:rPr>
      </w:pPr>
      <w:smartTag w:uri="urn:schemas-microsoft-com:office:smarttags" w:element="place">
        <w:smartTag w:uri="urn:schemas-microsoft-com:office:smarttags" w:element="country-region">
          <w:r w:rsidRPr="006264E7">
            <w:rPr>
              <w:rFonts w:ascii="Arial Narrow" w:hAnsi="Arial Narrow"/>
              <w:sz w:val="18"/>
              <w:szCs w:val="18"/>
              <w:lang w:val="en-GB"/>
            </w:rPr>
            <w:t>Denmark</w:t>
          </w:r>
        </w:smartTag>
      </w:smartTag>
      <w:r w:rsidRPr="006264E7">
        <w:rPr>
          <w:rFonts w:ascii="Arial Narrow" w:hAnsi="Arial Narrow"/>
          <w:sz w:val="18"/>
          <w:szCs w:val="18"/>
          <w:lang w:val="en-GB"/>
        </w:rPr>
        <w:t xml:space="preserve">: </w:t>
      </w:r>
      <w:r w:rsidRPr="006264E7">
        <w:rPr>
          <w:rFonts w:ascii="Arial Narrow" w:hAnsi="Arial Narrow" w:cs="Arial"/>
          <w:sz w:val="18"/>
          <w:szCs w:val="18"/>
          <w:lang w:val="en-GB"/>
        </w:rPr>
        <w:t>Database at Danish Building Research Institute based on data from Statistics Denmark 2008</w:t>
      </w:r>
    </w:p>
    <w:p w:rsidR="002C5D9C" w:rsidRPr="007D643F" w:rsidRDefault="002C5D9C" w:rsidP="002C5D9C">
      <w:pPr>
        <w:rPr>
          <w:rFonts w:ascii="Arial Narrow" w:hAnsi="Arial Narrow"/>
          <w:sz w:val="18"/>
          <w:szCs w:val="18"/>
        </w:rPr>
      </w:pPr>
      <w:r w:rsidRPr="007D643F">
        <w:rPr>
          <w:rFonts w:ascii="Arial Narrow" w:hAnsi="Arial Narrow"/>
          <w:sz w:val="18"/>
          <w:szCs w:val="18"/>
        </w:rPr>
        <w:t xml:space="preserve">Finland: </w:t>
      </w:r>
      <w:proofErr w:type="spellStart"/>
      <w:r w:rsidRPr="007D643F">
        <w:rPr>
          <w:rFonts w:ascii="Arial Narrow" w:hAnsi="Arial Narrow"/>
          <w:sz w:val="18"/>
          <w:szCs w:val="18"/>
        </w:rPr>
        <w:t>Statistics</w:t>
      </w:r>
      <w:proofErr w:type="spellEnd"/>
      <w:r>
        <w:rPr>
          <w:rFonts w:ascii="Arial Narrow" w:hAnsi="Arial Narrow"/>
          <w:sz w:val="18"/>
          <w:szCs w:val="18"/>
        </w:rPr>
        <w:t xml:space="preserve"> </w:t>
      </w:r>
      <w:r w:rsidRPr="007D643F">
        <w:rPr>
          <w:rFonts w:ascii="Arial Narrow" w:hAnsi="Arial Narrow"/>
          <w:sz w:val="18"/>
          <w:szCs w:val="18"/>
        </w:rPr>
        <w:t>Finland</w:t>
      </w:r>
      <w:r>
        <w:rPr>
          <w:rFonts w:ascii="Arial Narrow" w:hAnsi="Arial Narrow"/>
          <w:sz w:val="18"/>
          <w:szCs w:val="18"/>
        </w:rPr>
        <w:t xml:space="preserve"> 2008</w:t>
      </w:r>
    </w:p>
    <w:p w:rsidR="002C5D9C" w:rsidRPr="007D643F" w:rsidRDefault="002C5D9C" w:rsidP="002C5D9C">
      <w:pPr>
        <w:rPr>
          <w:rFonts w:ascii="Arial Narrow" w:hAnsi="Arial Narrow"/>
          <w:sz w:val="18"/>
          <w:szCs w:val="18"/>
        </w:rPr>
      </w:pPr>
      <w:proofErr w:type="spellStart"/>
      <w:r w:rsidRPr="007D643F">
        <w:rPr>
          <w:rFonts w:ascii="Arial Narrow" w:hAnsi="Arial Narrow"/>
          <w:sz w:val="18"/>
          <w:szCs w:val="18"/>
        </w:rPr>
        <w:t>Norway</w:t>
      </w:r>
      <w:proofErr w:type="spellEnd"/>
      <w:r w:rsidRPr="007D643F">
        <w:rPr>
          <w:rFonts w:ascii="Arial Narrow" w:hAnsi="Arial Narrow"/>
          <w:sz w:val="18"/>
          <w:szCs w:val="18"/>
        </w:rPr>
        <w:t xml:space="preserve">: </w:t>
      </w:r>
      <w:proofErr w:type="spellStart"/>
      <w:r w:rsidRPr="007D643F">
        <w:rPr>
          <w:rFonts w:ascii="Arial Narrow" w:hAnsi="Arial Narrow"/>
          <w:sz w:val="18"/>
          <w:szCs w:val="18"/>
        </w:rPr>
        <w:t>Levekårsundersøkelsen</w:t>
      </w:r>
      <w:proofErr w:type="spellEnd"/>
      <w:r w:rsidRPr="007D643F">
        <w:rPr>
          <w:rFonts w:ascii="Arial Narrow" w:hAnsi="Arial Narrow"/>
          <w:sz w:val="18"/>
          <w:szCs w:val="18"/>
        </w:rPr>
        <w:t xml:space="preserve"> 2007 </w:t>
      </w:r>
    </w:p>
    <w:p w:rsidR="002C5D9C" w:rsidRPr="007D643F" w:rsidRDefault="002C5D9C" w:rsidP="002C5D9C">
      <w:pPr>
        <w:rPr>
          <w:rFonts w:ascii="Arial Narrow" w:hAnsi="Arial Narrow"/>
          <w:sz w:val="18"/>
          <w:szCs w:val="18"/>
          <w:lang w:val="en-GB"/>
        </w:rPr>
      </w:pPr>
      <w:smartTag w:uri="urn:schemas-microsoft-com:office:smarttags" w:element="place">
        <w:smartTag w:uri="urn:schemas-microsoft-com:office:smarttags" w:element="country-region">
          <w:r w:rsidRPr="007D643F">
            <w:rPr>
              <w:rFonts w:ascii="Arial Narrow" w:hAnsi="Arial Narrow"/>
              <w:sz w:val="18"/>
              <w:szCs w:val="18"/>
              <w:lang w:val="en-GB"/>
            </w:rPr>
            <w:t>Sweden</w:t>
          </w:r>
        </w:smartTag>
      </w:smartTag>
      <w:r w:rsidRPr="007D643F">
        <w:rPr>
          <w:rFonts w:ascii="Arial Narrow" w:hAnsi="Arial Narrow"/>
          <w:sz w:val="18"/>
          <w:szCs w:val="18"/>
          <w:lang w:val="en-GB"/>
        </w:rPr>
        <w:t xml:space="preserve">: </w:t>
      </w:r>
      <w:proofErr w:type="spellStart"/>
      <w:r w:rsidRPr="007D643F">
        <w:rPr>
          <w:rFonts w:ascii="Arial Narrow" w:hAnsi="Arial Narrow"/>
          <w:sz w:val="18"/>
          <w:szCs w:val="18"/>
          <w:lang w:val="en-GB"/>
        </w:rPr>
        <w:t>GeoSweden</w:t>
      </w:r>
      <w:proofErr w:type="spellEnd"/>
      <w:r w:rsidRPr="007D643F">
        <w:rPr>
          <w:rFonts w:ascii="Arial Narrow" w:hAnsi="Arial Narrow"/>
          <w:sz w:val="18"/>
          <w:szCs w:val="18"/>
          <w:lang w:val="en-GB"/>
        </w:rPr>
        <w:t xml:space="preserve"> 2011</w:t>
      </w:r>
    </w:p>
    <w:p w:rsidR="002C5D9C" w:rsidRDefault="002C5D9C" w:rsidP="002C5D9C">
      <w:pPr>
        <w:rPr>
          <w:lang w:val="en-GB"/>
        </w:rPr>
      </w:pPr>
    </w:p>
    <w:p w:rsidR="002C5D9C" w:rsidRPr="008C157E" w:rsidRDefault="002C5D9C" w:rsidP="002C5D9C">
      <w:pPr>
        <w:pStyle w:val="Billedtekst"/>
        <w:rPr>
          <w:rFonts w:cs="Arial"/>
          <w:lang w:val="en-GB"/>
        </w:rPr>
      </w:pPr>
      <w:bookmarkStart w:id="8" w:name="_Ref294010211"/>
      <w:proofErr w:type="gramStart"/>
      <w:r w:rsidRPr="008C157E">
        <w:rPr>
          <w:lang w:val="en-GB"/>
        </w:rPr>
        <w:t>Table</w:t>
      </w:r>
      <w:bookmarkEnd w:id="8"/>
      <w:r w:rsidRPr="006F6472">
        <w:rPr>
          <w:lang w:val="en-US"/>
        </w:rPr>
        <w:t xml:space="preserve"> 6</w:t>
      </w:r>
      <w:r w:rsidRPr="008C157E">
        <w:rPr>
          <w:lang w:val="en-GB"/>
        </w:rPr>
        <w:t>.</w:t>
      </w:r>
      <w:proofErr w:type="gramEnd"/>
      <w:r w:rsidRPr="008C157E">
        <w:rPr>
          <w:lang w:val="en-GB"/>
        </w:rPr>
        <w:t xml:space="preserve"> </w:t>
      </w:r>
      <w:r w:rsidRPr="008C157E">
        <w:rPr>
          <w:rFonts w:cs="Arial"/>
          <w:lang w:val="en-GB"/>
        </w:rPr>
        <w:t>Proportion of households in different income quartiles living in overcrowded dwellings 2006 (</w:t>
      </w:r>
      <w:r>
        <w:rPr>
          <w:rFonts w:cs="Arial"/>
          <w:lang w:val="en-GB"/>
        </w:rPr>
        <w:t>%</w:t>
      </w:r>
      <w:r w:rsidRPr="008C157E">
        <w:rPr>
          <w:rFonts w:cs="Arial"/>
          <w:lang w:val="en-GB"/>
        </w:rPr>
        <w:t>)</w:t>
      </w:r>
    </w:p>
    <w:tbl>
      <w:tblPr>
        <w:tblW w:w="6300" w:type="dxa"/>
        <w:tblInd w:w="70" w:type="dxa"/>
        <w:tblCellMar>
          <w:left w:w="70" w:type="dxa"/>
          <w:right w:w="70" w:type="dxa"/>
        </w:tblCellMar>
        <w:tblLook w:val="0000" w:firstRow="0" w:lastRow="0" w:firstColumn="0" w:lastColumn="0" w:noHBand="0" w:noVBand="0"/>
      </w:tblPr>
      <w:tblGrid>
        <w:gridCol w:w="2476"/>
        <w:gridCol w:w="958"/>
        <w:gridCol w:w="955"/>
        <w:gridCol w:w="955"/>
        <w:gridCol w:w="956"/>
      </w:tblGrid>
      <w:tr w:rsidR="002C5D9C" w:rsidRPr="006264E7" w:rsidTr="000A52C9">
        <w:trPr>
          <w:trHeight w:val="255"/>
        </w:trPr>
        <w:tc>
          <w:tcPr>
            <w:tcW w:w="2476" w:type="dxa"/>
            <w:tcBorders>
              <w:top w:val="single" w:sz="4" w:space="0" w:color="auto"/>
              <w:left w:val="nil"/>
              <w:bottom w:val="single" w:sz="4" w:space="0" w:color="auto"/>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 </w:t>
            </w:r>
          </w:p>
        </w:tc>
        <w:tc>
          <w:tcPr>
            <w:tcW w:w="958" w:type="dxa"/>
            <w:tcBorders>
              <w:top w:val="single" w:sz="4" w:space="0" w:color="auto"/>
              <w:left w:val="nil"/>
              <w:bottom w:val="single" w:sz="4" w:space="0" w:color="auto"/>
              <w:right w:val="nil"/>
            </w:tcBorders>
            <w:shd w:val="clear" w:color="auto" w:fill="auto"/>
          </w:tcPr>
          <w:p w:rsidR="002C5D9C" w:rsidRPr="006264E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6264E7">
                  <w:rPr>
                    <w:rFonts w:ascii="Arial Narrow" w:hAnsi="Arial Narrow" w:cs="Arial"/>
                    <w:sz w:val="18"/>
                    <w:szCs w:val="18"/>
                    <w:lang w:val="en-GB"/>
                  </w:rPr>
                  <w:t>Denmark</w:t>
                </w:r>
              </w:smartTag>
            </w:smartTag>
          </w:p>
        </w:tc>
        <w:tc>
          <w:tcPr>
            <w:tcW w:w="955" w:type="dxa"/>
            <w:tcBorders>
              <w:top w:val="single" w:sz="4" w:space="0" w:color="auto"/>
              <w:left w:val="nil"/>
              <w:bottom w:val="single" w:sz="4" w:space="0" w:color="auto"/>
              <w:right w:val="nil"/>
            </w:tcBorders>
            <w:shd w:val="clear" w:color="auto" w:fill="auto"/>
          </w:tcPr>
          <w:p w:rsidR="002C5D9C" w:rsidRPr="006264E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6264E7">
                  <w:rPr>
                    <w:rFonts w:ascii="Arial Narrow" w:hAnsi="Arial Narrow" w:cs="Arial"/>
                    <w:sz w:val="18"/>
                    <w:szCs w:val="18"/>
                    <w:lang w:val="en-GB"/>
                  </w:rPr>
                  <w:t>Finland</w:t>
                </w:r>
              </w:smartTag>
            </w:smartTag>
          </w:p>
        </w:tc>
        <w:tc>
          <w:tcPr>
            <w:tcW w:w="955" w:type="dxa"/>
            <w:tcBorders>
              <w:top w:val="single" w:sz="4" w:space="0" w:color="auto"/>
              <w:left w:val="nil"/>
              <w:bottom w:val="single" w:sz="4" w:space="0" w:color="auto"/>
              <w:right w:val="nil"/>
            </w:tcBorders>
            <w:shd w:val="clear" w:color="auto" w:fill="auto"/>
          </w:tcPr>
          <w:p w:rsidR="002C5D9C" w:rsidRPr="006264E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6264E7">
                  <w:rPr>
                    <w:rFonts w:ascii="Arial Narrow" w:hAnsi="Arial Narrow" w:cs="Arial"/>
                    <w:sz w:val="18"/>
                    <w:szCs w:val="18"/>
                    <w:lang w:val="en-GB"/>
                  </w:rPr>
                  <w:t>Norway</w:t>
                </w:r>
              </w:smartTag>
            </w:smartTag>
          </w:p>
        </w:tc>
        <w:tc>
          <w:tcPr>
            <w:tcW w:w="956" w:type="dxa"/>
            <w:tcBorders>
              <w:top w:val="single" w:sz="4" w:space="0" w:color="auto"/>
              <w:left w:val="nil"/>
              <w:bottom w:val="single" w:sz="4" w:space="0" w:color="auto"/>
              <w:right w:val="nil"/>
            </w:tcBorders>
            <w:shd w:val="clear" w:color="auto" w:fill="auto"/>
          </w:tcPr>
          <w:p w:rsidR="002C5D9C" w:rsidRPr="006264E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6264E7">
                  <w:rPr>
                    <w:rFonts w:ascii="Arial Narrow" w:hAnsi="Arial Narrow" w:cs="Arial"/>
                    <w:sz w:val="18"/>
                    <w:szCs w:val="18"/>
                    <w:lang w:val="en-GB"/>
                  </w:rPr>
                  <w:t>Sweden</w:t>
                </w:r>
              </w:smartTag>
            </w:smartTag>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b/>
                <w:sz w:val="18"/>
                <w:szCs w:val="18"/>
                <w:lang w:val="en-GB"/>
              </w:rPr>
            </w:pPr>
            <w:r w:rsidRPr="006264E7">
              <w:rPr>
                <w:rFonts w:ascii="Arial Narrow" w:hAnsi="Arial Narrow" w:cs="Arial"/>
                <w:b/>
                <w:sz w:val="18"/>
                <w:szCs w:val="18"/>
                <w:lang w:val="en-GB"/>
              </w:rPr>
              <w:t>Household income quartile</w:t>
            </w:r>
          </w:p>
        </w:tc>
        <w:tc>
          <w:tcPr>
            <w:tcW w:w="958"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p>
        </w:tc>
        <w:tc>
          <w:tcPr>
            <w:tcW w:w="955"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p>
        </w:tc>
        <w:tc>
          <w:tcPr>
            <w:tcW w:w="955"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p>
        </w:tc>
        <w:tc>
          <w:tcPr>
            <w:tcW w:w="95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1</w:t>
            </w:r>
          </w:p>
        </w:tc>
        <w:tc>
          <w:tcPr>
            <w:tcW w:w="958"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18</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20</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14</w:t>
            </w:r>
          </w:p>
        </w:tc>
        <w:tc>
          <w:tcPr>
            <w:tcW w:w="956"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26</w:t>
            </w:r>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2</w:t>
            </w:r>
          </w:p>
        </w:tc>
        <w:tc>
          <w:tcPr>
            <w:tcW w:w="958"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7</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10</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7</w:t>
            </w:r>
          </w:p>
        </w:tc>
        <w:tc>
          <w:tcPr>
            <w:tcW w:w="956"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12</w:t>
            </w:r>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3</w:t>
            </w:r>
          </w:p>
        </w:tc>
        <w:tc>
          <w:tcPr>
            <w:tcW w:w="958"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6</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6</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5</w:t>
            </w:r>
          </w:p>
        </w:tc>
        <w:tc>
          <w:tcPr>
            <w:tcW w:w="956"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9</w:t>
            </w:r>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4</w:t>
            </w:r>
          </w:p>
        </w:tc>
        <w:tc>
          <w:tcPr>
            <w:tcW w:w="958"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3</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4</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3</w:t>
            </w:r>
          </w:p>
        </w:tc>
        <w:tc>
          <w:tcPr>
            <w:tcW w:w="956"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5</w:t>
            </w:r>
          </w:p>
        </w:tc>
      </w:tr>
      <w:tr w:rsidR="002C5D9C" w:rsidRPr="006264E7" w:rsidTr="000A52C9">
        <w:trPr>
          <w:trHeight w:val="255"/>
        </w:trPr>
        <w:tc>
          <w:tcPr>
            <w:tcW w:w="2476" w:type="dxa"/>
            <w:tcBorders>
              <w:top w:val="nil"/>
              <w:left w:val="nil"/>
              <w:bottom w:val="nil"/>
              <w:right w:val="nil"/>
            </w:tcBorders>
            <w:shd w:val="clear" w:color="auto" w:fill="auto"/>
            <w:noWrap/>
            <w:vAlign w:val="bottom"/>
          </w:tcPr>
          <w:p w:rsidR="002C5D9C" w:rsidRPr="006264E7" w:rsidRDefault="002C5D9C" w:rsidP="000A52C9">
            <w:pPr>
              <w:rPr>
                <w:rFonts w:ascii="Arial Narrow" w:hAnsi="Arial Narrow" w:cs="Arial"/>
                <w:sz w:val="18"/>
                <w:szCs w:val="18"/>
                <w:lang w:val="en-GB"/>
              </w:rPr>
            </w:pPr>
            <w:r w:rsidRPr="006264E7">
              <w:rPr>
                <w:rFonts w:ascii="Arial Narrow" w:hAnsi="Arial Narrow" w:cs="Arial"/>
                <w:sz w:val="18"/>
                <w:szCs w:val="18"/>
                <w:lang w:val="en-GB"/>
              </w:rPr>
              <w:t>All</w:t>
            </w:r>
          </w:p>
        </w:tc>
        <w:tc>
          <w:tcPr>
            <w:tcW w:w="958"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8</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10</w:t>
            </w:r>
          </w:p>
        </w:tc>
        <w:tc>
          <w:tcPr>
            <w:tcW w:w="955"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7</w:t>
            </w:r>
          </w:p>
        </w:tc>
        <w:tc>
          <w:tcPr>
            <w:tcW w:w="956" w:type="dxa"/>
            <w:tcBorders>
              <w:top w:val="nil"/>
              <w:left w:val="nil"/>
              <w:bottom w:val="nil"/>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13</w:t>
            </w:r>
          </w:p>
        </w:tc>
      </w:tr>
      <w:tr w:rsidR="002C5D9C" w:rsidRPr="006264E7" w:rsidTr="000A52C9">
        <w:trPr>
          <w:trHeight w:val="255"/>
        </w:trPr>
        <w:tc>
          <w:tcPr>
            <w:tcW w:w="2476" w:type="dxa"/>
            <w:tcBorders>
              <w:top w:val="single" w:sz="4" w:space="0" w:color="auto"/>
              <w:left w:val="nil"/>
              <w:bottom w:val="single" w:sz="4" w:space="0" w:color="auto"/>
              <w:right w:val="nil"/>
            </w:tcBorders>
            <w:shd w:val="clear" w:color="auto" w:fill="auto"/>
            <w:noWrap/>
            <w:vAlign w:val="bottom"/>
          </w:tcPr>
          <w:p w:rsidR="002C5D9C" w:rsidRPr="00AB2997" w:rsidRDefault="002C5D9C" w:rsidP="000A52C9">
            <w:pPr>
              <w:rPr>
                <w:rFonts w:ascii="Arial Narrow" w:hAnsi="Arial Narrow" w:cs="Arial"/>
                <w:b/>
                <w:sz w:val="18"/>
                <w:szCs w:val="18"/>
                <w:lang w:val="en-GB"/>
              </w:rPr>
            </w:pPr>
            <w:r w:rsidRPr="00AB2997">
              <w:rPr>
                <w:rFonts w:ascii="Arial Narrow" w:hAnsi="Arial Narrow" w:cs="Arial"/>
                <w:b/>
                <w:sz w:val="18"/>
                <w:szCs w:val="18"/>
                <w:lang w:val="en-GB"/>
              </w:rPr>
              <w:t>Index for income inequality</w:t>
            </w:r>
          </w:p>
        </w:tc>
        <w:tc>
          <w:tcPr>
            <w:tcW w:w="958" w:type="dxa"/>
            <w:tcBorders>
              <w:top w:val="single" w:sz="4" w:space="0" w:color="auto"/>
              <w:left w:val="nil"/>
              <w:bottom w:val="single" w:sz="4" w:space="0" w:color="auto"/>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19</w:t>
            </w:r>
          </w:p>
        </w:tc>
        <w:tc>
          <w:tcPr>
            <w:tcW w:w="955" w:type="dxa"/>
            <w:tcBorders>
              <w:top w:val="single" w:sz="4" w:space="0" w:color="auto"/>
              <w:left w:val="nil"/>
              <w:bottom w:val="single" w:sz="4" w:space="0" w:color="auto"/>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20</w:t>
            </w:r>
          </w:p>
        </w:tc>
        <w:tc>
          <w:tcPr>
            <w:tcW w:w="955" w:type="dxa"/>
            <w:tcBorders>
              <w:top w:val="single" w:sz="4" w:space="0" w:color="auto"/>
              <w:left w:val="nil"/>
              <w:bottom w:val="single" w:sz="4" w:space="0" w:color="auto"/>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14</w:t>
            </w:r>
          </w:p>
        </w:tc>
        <w:tc>
          <w:tcPr>
            <w:tcW w:w="956" w:type="dxa"/>
            <w:tcBorders>
              <w:top w:val="single" w:sz="4" w:space="0" w:color="auto"/>
              <w:left w:val="nil"/>
              <w:bottom w:val="single" w:sz="4" w:space="0" w:color="auto"/>
              <w:right w:val="nil"/>
            </w:tcBorders>
            <w:shd w:val="clear" w:color="auto" w:fill="auto"/>
            <w:noWrap/>
            <w:vAlign w:val="bottom"/>
          </w:tcPr>
          <w:p w:rsidR="002C5D9C" w:rsidRPr="006264E7" w:rsidRDefault="002C5D9C" w:rsidP="000A52C9">
            <w:pPr>
              <w:jc w:val="right"/>
              <w:rPr>
                <w:rFonts w:ascii="Arial Narrow" w:hAnsi="Arial Narrow" w:cs="Arial"/>
                <w:sz w:val="18"/>
                <w:szCs w:val="18"/>
                <w:lang w:val="en-GB"/>
              </w:rPr>
            </w:pPr>
            <w:r w:rsidRPr="006264E7">
              <w:rPr>
                <w:rFonts w:ascii="Arial Narrow" w:hAnsi="Arial Narrow" w:cs="Arial"/>
                <w:sz w:val="18"/>
                <w:szCs w:val="18"/>
                <w:lang w:val="en-GB"/>
              </w:rPr>
              <w:t>26</w:t>
            </w:r>
          </w:p>
        </w:tc>
      </w:tr>
    </w:tbl>
    <w:p w:rsidR="002C5D9C" w:rsidRPr="008C157E" w:rsidRDefault="002C5D9C" w:rsidP="002C5D9C">
      <w:pPr>
        <w:rPr>
          <w:rFonts w:ascii="Arial Narrow" w:hAnsi="Arial Narrow" w:cs="Plantin-Light"/>
          <w:sz w:val="18"/>
          <w:szCs w:val="18"/>
        </w:rPr>
      </w:pPr>
      <w:r w:rsidRPr="008C157E">
        <w:rPr>
          <w:rFonts w:ascii="Arial Narrow" w:hAnsi="Arial Narrow"/>
          <w:sz w:val="18"/>
          <w:szCs w:val="18"/>
        </w:rPr>
        <w:t>Source</w:t>
      </w:r>
      <w:r>
        <w:rPr>
          <w:rFonts w:ascii="Arial Narrow" w:hAnsi="Arial Narrow"/>
          <w:sz w:val="18"/>
          <w:szCs w:val="18"/>
        </w:rPr>
        <w:t>:</w:t>
      </w:r>
      <w:r w:rsidRPr="008C157E">
        <w:rPr>
          <w:rFonts w:ascii="Arial Narrow" w:hAnsi="Arial Narrow"/>
          <w:sz w:val="18"/>
          <w:szCs w:val="18"/>
        </w:rPr>
        <w:t xml:space="preserve"> </w:t>
      </w:r>
      <w:r w:rsidRPr="008C157E">
        <w:rPr>
          <w:rFonts w:ascii="Arial Narrow" w:hAnsi="Arial Narrow" w:cs="Plantin-Light"/>
          <w:sz w:val="18"/>
          <w:szCs w:val="18"/>
        </w:rPr>
        <w:t xml:space="preserve">Nordisk Socialstatistisk Komité </w:t>
      </w:r>
      <w:proofErr w:type="spellStart"/>
      <w:r w:rsidRPr="008C157E">
        <w:rPr>
          <w:rFonts w:ascii="Arial Narrow" w:hAnsi="Arial Narrow" w:cs="Plantin-Light"/>
          <w:sz w:val="18"/>
          <w:szCs w:val="18"/>
        </w:rPr>
        <w:t>cited</w:t>
      </w:r>
      <w:proofErr w:type="spellEnd"/>
      <w:r w:rsidRPr="008C157E">
        <w:rPr>
          <w:rFonts w:ascii="Arial Narrow" w:hAnsi="Arial Narrow" w:cs="Plantin-Light"/>
          <w:sz w:val="18"/>
          <w:szCs w:val="18"/>
        </w:rPr>
        <w:t xml:space="preserve"> in Norman et. al 2009</w:t>
      </w:r>
    </w:p>
    <w:p w:rsidR="002C5D9C" w:rsidRPr="00210089" w:rsidRDefault="002C5D9C" w:rsidP="002C5D9C">
      <w:pPr>
        <w:rPr>
          <w:rFonts w:ascii="Arial Narrow" w:hAnsi="Arial Narrow" w:cs="Plantin-Light"/>
          <w:sz w:val="18"/>
          <w:szCs w:val="18"/>
          <w:lang w:val="en-GB"/>
        </w:rPr>
      </w:pPr>
      <w:r w:rsidRPr="00210089">
        <w:rPr>
          <w:rFonts w:ascii="Arial Narrow" w:hAnsi="Arial Narrow" w:cs="Plantin-Light"/>
          <w:sz w:val="18"/>
          <w:szCs w:val="18"/>
          <w:lang w:val="en-GB"/>
        </w:rPr>
        <w:t xml:space="preserve">Index = </w:t>
      </w:r>
      <w:proofErr w:type="spellStart"/>
      <w:r w:rsidRPr="00210089">
        <w:rPr>
          <w:rFonts w:ascii="Arial Narrow" w:hAnsi="Arial Narrow" w:cs="Plantin-Light"/>
          <w:sz w:val="18"/>
          <w:szCs w:val="18"/>
          <w:lang w:val="en-GB"/>
        </w:rPr>
        <w:t>Sum</w:t>
      </w:r>
      <w:r w:rsidRPr="00210089">
        <w:rPr>
          <w:rFonts w:ascii="Arial Narrow" w:hAnsi="Arial Narrow" w:cs="Plantin-Light"/>
          <w:sz w:val="18"/>
          <w:szCs w:val="18"/>
          <w:vertAlign w:val="subscript"/>
          <w:lang w:val="en-GB"/>
        </w:rPr>
        <w:t>q</w:t>
      </w:r>
      <w:proofErr w:type="spellEnd"/>
      <w:r w:rsidRPr="00210089">
        <w:rPr>
          <w:rFonts w:ascii="Arial Narrow" w:hAnsi="Arial Narrow" w:cs="Plantin-Light"/>
          <w:sz w:val="18"/>
          <w:szCs w:val="18"/>
          <w:vertAlign w:val="subscript"/>
          <w:lang w:val="en-GB"/>
        </w:rPr>
        <w:t>=</w:t>
      </w:r>
      <w:r w:rsidRPr="00210089">
        <w:rPr>
          <w:rFonts w:ascii="Arial Narrow" w:hAnsi="Arial Narrow" w:cs="Plantin-Light"/>
          <w:sz w:val="18"/>
          <w:szCs w:val="18"/>
          <w:lang w:val="en-GB"/>
        </w:rPr>
        <w:t xml:space="preserve"> </w:t>
      </w:r>
      <w:r w:rsidRPr="00210089">
        <w:rPr>
          <w:rFonts w:ascii="Arial Narrow" w:hAnsi="Arial Narrow" w:cs="Plantin-Light"/>
          <w:sz w:val="18"/>
          <w:szCs w:val="18"/>
          <w:vertAlign w:val="subscript"/>
          <w:lang w:val="en-GB"/>
        </w:rPr>
        <w:t>1-4</w:t>
      </w:r>
      <w:proofErr w:type="gramStart"/>
      <w:r w:rsidRPr="00210089">
        <w:rPr>
          <w:rFonts w:ascii="Arial Narrow" w:hAnsi="Arial Narrow" w:cs="Plantin-Light"/>
          <w:sz w:val="18"/>
          <w:szCs w:val="18"/>
          <w:lang w:val="en-GB"/>
        </w:rPr>
        <w:t>( abs</w:t>
      </w:r>
      <w:proofErr w:type="gramEnd"/>
      <w:r w:rsidRPr="00210089">
        <w:rPr>
          <w:rFonts w:ascii="Arial Narrow" w:hAnsi="Arial Narrow" w:cs="Plantin-Light"/>
          <w:sz w:val="18"/>
          <w:szCs w:val="18"/>
          <w:lang w:val="en-GB"/>
        </w:rPr>
        <w:t>(</w:t>
      </w:r>
      <w:proofErr w:type="spellStart"/>
      <w:r w:rsidRPr="00210089">
        <w:rPr>
          <w:rFonts w:ascii="Arial Narrow" w:hAnsi="Arial Narrow" w:cs="Plantin-Light"/>
          <w:sz w:val="18"/>
          <w:szCs w:val="18"/>
          <w:lang w:val="en-GB"/>
        </w:rPr>
        <w:t>overcrowd</w:t>
      </w:r>
      <w:r w:rsidRPr="00210089">
        <w:rPr>
          <w:rFonts w:ascii="Arial Narrow" w:hAnsi="Arial Narrow" w:cs="Plantin-Light"/>
          <w:sz w:val="18"/>
          <w:szCs w:val="18"/>
          <w:vertAlign w:val="subscript"/>
          <w:lang w:val="en-GB"/>
        </w:rPr>
        <w:t>q</w:t>
      </w:r>
      <w:proofErr w:type="spellEnd"/>
      <w:r w:rsidRPr="00210089">
        <w:rPr>
          <w:rFonts w:ascii="Arial Narrow" w:hAnsi="Arial Narrow" w:cs="Plantin-Light"/>
          <w:sz w:val="18"/>
          <w:szCs w:val="18"/>
          <w:lang w:val="en-GB"/>
        </w:rPr>
        <w:t xml:space="preserve"> – </w:t>
      </w:r>
      <w:proofErr w:type="spellStart"/>
      <w:r w:rsidRPr="00210089">
        <w:rPr>
          <w:rFonts w:ascii="Arial Narrow" w:hAnsi="Arial Narrow" w:cs="Plantin-Light"/>
          <w:sz w:val="18"/>
          <w:szCs w:val="18"/>
          <w:lang w:val="en-GB"/>
        </w:rPr>
        <w:t>overcrowd</w:t>
      </w:r>
      <w:r w:rsidRPr="00210089">
        <w:rPr>
          <w:rFonts w:ascii="Arial Narrow" w:hAnsi="Arial Narrow" w:cs="Plantin-Light"/>
          <w:sz w:val="18"/>
          <w:szCs w:val="18"/>
          <w:vertAlign w:val="subscript"/>
          <w:lang w:val="en-GB"/>
        </w:rPr>
        <w:t>all</w:t>
      </w:r>
      <w:proofErr w:type="spellEnd"/>
      <w:r w:rsidRPr="00210089">
        <w:rPr>
          <w:rFonts w:ascii="Arial Narrow" w:hAnsi="Arial Narrow" w:cs="Plantin-Light"/>
          <w:sz w:val="18"/>
          <w:szCs w:val="18"/>
          <w:lang w:val="en-GB"/>
        </w:rPr>
        <w:t>))</w:t>
      </w:r>
    </w:p>
    <w:p w:rsidR="002C5D9C" w:rsidRDefault="002C5D9C" w:rsidP="002C5D9C">
      <w:pPr>
        <w:rPr>
          <w:lang w:val="en-GB"/>
        </w:rPr>
      </w:pPr>
    </w:p>
    <w:p w:rsidR="002C5D9C" w:rsidRPr="00065FC0" w:rsidRDefault="002C5D9C" w:rsidP="002C5D9C">
      <w:pPr>
        <w:pStyle w:val="Billedtekst"/>
        <w:rPr>
          <w:rFonts w:cs="Arial"/>
          <w:sz w:val="24"/>
          <w:szCs w:val="24"/>
          <w:lang w:val="en-GB"/>
        </w:rPr>
      </w:pPr>
      <w:bookmarkStart w:id="9" w:name="_Ref293996951"/>
      <w:proofErr w:type="gramStart"/>
      <w:r w:rsidRPr="00065FC0">
        <w:rPr>
          <w:lang w:val="en-GB"/>
        </w:rPr>
        <w:t>Table</w:t>
      </w:r>
      <w:bookmarkEnd w:id="9"/>
      <w:r>
        <w:rPr>
          <w:lang w:val="en-GB"/>
        </w:rPr>
        <w:t xml:space="preserve"> 7</w:t>
      </w:r>
      <w:r w:rsidRPr="00065FC0">
        <w:rPr>
          <w:lang w:val="en-GB"/>
        </w:rPr>
        <w:t>.</w:t>
      </w:r>
      <w:proofErr w:type="gramEnd"/>
      <w:r w:rsidRPr="00065FC0">
        <w:rPr>
          <w:lang w:val="en-GB"/>
        </w:rPr>
        <w:t xml:space="preserve"> Evaluation of</w:t>
      </w:r>
      <w:r>
        <w:rPr>
          <w:lang w:val="en-GB"/>
        </w:rPr>
        <w:t xml:space="preserve"> the ease of access for immigrants to different housing tenures in the Nordic countries*)</w:t>
      </w:r>
    </w:p>
    <w:tbl>
      <w:tblPr>
        <w:tblW w:w="5500" w:type="dxa"/>
        <w:tblInd w:w="60" w:type="dxa"/>
        <w:tblCellMar>
          <w:left w:w="70" w:type="dxa"/>
          <w:right w:w="70" w:type="dxa"/>
        </w:tblCellMar>
        <w:tblLook w:val="0000" w:firstRow="0" w:lastRow="0" w:firstColumn="0" w:lastColumn="0" w:noHBand="0" w:noVBand="0"/>
      </w:tblPr>
      <w:tblGrid>
        <w:gridCol w:w="1660"/>
        <w:gridCol w:w="960"/>
        <w:gridCol w:w="960"/>
        <w:gridCol w:w="960"/>
        <w:gridCol w:w="960"/>
      </w:tblGrid>
      <w:tr w:rsidR="002C5D9C" w:rsidRPr="00065FC0" w:rsidTr="000A52C9">
        <w:trPr>
          <w:trHeight w:val="255"/>
        </w:trPr>
        <w:tc>
          <w:tcPr>
            <w:tcW w:w="1660" w:type="dxa"/>
            <w:tcBorders>
              <w:top w:val="single" w:sz="4" w:space="0" w:color="auto"/>
              <w:left w:val="nil"/>
              <w:bottom w:val="single" w:sz="4" w:space="0" w:color="auto"/>
              <w:right w:val="nil"/>
            </w:tcBorders>
            <w:shd w:val="clear" w:color="auto" w:fill="auto"/>
            <w:noWrap/>
            <w:vAlign w:val="bottom"/>
          </w:tcPr>
          <w:p w:rsidR="002C5D9C" w:rsidRPr="00065FC0" w:rsidRDefault="002C5D9C" w:rsidP="000A52C9">
            <w:pPr>
              <w:rPr>
                <w:rFonts w:cs="Arial"/>
                <w:sz w:val="18"/>
                <w:szCs w:val="18"/>
                <w:lang w:val="en-GB"/>
              </w:rPr>
            </w:pPr>
            <w:r w:rsidRPr="00065FC0">
              <w:rPr>
                <w:rFonts w:cs="Arial"/>
                <w:sz w:val="18"/>
                <w:szCs w:val="18"/>
                <w:lang w:val="en-GB"/>
              </w:rPr>
              <w:t> </w:t>
            </w:r>
          </w:p>
        </w:tc>
        <w:tc>
          <w:tcPr>
            <w:tcW w:w="960" w:type="dxa"/>
            <w:tcBorders>
              <w:top w:val="single" w:sz="4" w:space="0" w:color="auto"/>
              <w:left w:val="nil"/>
              <w:bottom w:val="single" w:sz="4" w:space="0" w:color="auto"/>
              <w:right w:val="nil"/>
            </w:tcBorders>
            <w:shd w:val="clear" w:color="auto" w:fill="auto"/>
            <w:noWrap/>
            <w:vAlign w:val="bottom"/>
          </w:tcPr>
          <w:p w:rsidR="002C5D9C" w:rsidRPr="00065FC0" w:rsidRDefault="002C5D9C" w:rsidP="000A52C9">
            <w:pPr>
              <w:jc w:val="center"/>
              <w:rPr>
                <w:rFonts w:cs="Arial"/>
                <w:sz w:val="18"/>
                <w:szCs w:val="18"/>
                <w:lang w:val="en-GB"/>
              </w:rPr>
            </w:pPr>
            <w:smartTag w:uri="urn:schemas-microsoft-com:office:smarttags" w:element="place">
              <w:smartTag w:uri="urn:schemas-microsoft-com:office:smarttags" w:element="country-region">
                <w:r w:rsidRPr="00065FC0">
                  <w:rPr>
                    <w:rFonts w:cs="Arial"/>
                    <w:sz w:val="18"/>
                    <w:szCs w:val="18"/>
                    <w:lang w:val="en-GB"/>
                  </w:rPr>
                  <w:t>Denmark</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065FC0" w:rsidRDefault="002C5D9C" w:rsidP="000A52C9">
            <w:pPr>
              <w:jc w:val="center"/>
              <w:rPr>
                <w:rFonts w:cs="Arial"/>
                <w:sz w:val="18"/>
                <w:szCs w:val="18"/>
                <w:lang w:val="en-GB"/>
              </w:rPr>
            </w:pPr>
            <w:smartTag w:uri="urn:schemas-microsoft-com:office:smarttags" w:element="place">
              <w:smartTag w:uri="urn:schemas-microsoft-com:office:smarttags" w:element="country-region">
                <w:r w:rsidRPr="00065FC0">
                  <w:rPr>
                    <w:rFonts w:cs="Arial"/>
                    <w:sz w:val="18"/>
                    <w:szCs w:val="18"/>
                    <w:lang w:val="en-GB"/>
                  </w:rPr>
                  <w:t>Finland</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065FC0" w:rsidRDefault="002C5D9C" w:rsidP="000A52C9">
            <w:pPr>
              <w:jc w:val="center"/>
              <w:rPr>
                <w:rFonts w:cs="Arial"/>
                <w:sz w:val="18"/>
                <w:szCs w:val="18"/>
                <w:lang w:val="en-GB"/>
              </w:rPr>
            </w:pPr>
            <w:smartTag w:uri="urn:schemas-microsoft-com:office:smarttags" w:element="place">
              <w:smartTag w:uri="urn:schemas-microsoft-com:office:smarttags" w:element="country-region">
                <w:r w:rsidRPr="00065FC0">
                  <w:rPr>
                    <w:rFonts w:cs="Arial"/>
                    <w:sz w:val="18"/>
                    <w:szCs w:val="18"/>
                    <w:lang w:val="en-GB"/>
                  </w:rPr>
                  <w:t>Norway</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065FC0" w:rsidRDefault="002C5D9C" w:rsidP="000A52C9">
            <w:pPr>
              <w:jc w:val="center"/>
              <w:rPr>
                <w:rFonts w:cs="Arial"/>
                <w:sz w:val="18"/>
                <w:szCs w:val="18"/>
                <w:lang w:val="en-GB"/>
              </w:rPr>
            </w:pPr>
            <w:smartTag w:uri="urn:schemas-microsoft-com:office:smarttags" w:element="place">
              <w:smartTag w:uri="urn:schemas-microsoft-com:office:smarttags" w:element="country-region">
                <w:r w:rsidRPr="00065FC0">
                  <w:rPr>
                    <w:rFonts w:cs="Arial"/>
                    <w:sz w:val="18"/>
                    <w:szCs w:val="18"/>
                    <w:lang w:val="en-GB"/>
                  </w:rPr>
                  <w:t>Sweden</w:t>
                </w:r>
              </w:smartTag>
            </w:smartTag>
          </w:p>
        </w:tc>
      </w:tr>
      <w:tr w:rsidR="002C5D9C" w:rsidRPr="00065FC0" w:rsidTr="000A52C9">
        <w:trPr>
          <w:trHeight w:val="255"/>
        </w:trPr>
        <w:tc>
          <w:tcPr>
            <w:tcW w:w="1660" w:type="dxa"/>
            <w:tcBorders>
              <w:top w:val="nil"/>
              <w:left w:val="nil"/>
              <w:bottom w:val="nil"/>
              <w:right w:val="nil"/>
            </w:tcBorders>
            <w:shd w:val="clear" w:color="auto" w:fill="auto"/>
            <w:noWrap/>
            <w:vAlign w:val="bottom"/>
          </w:tcPr>
          <w:p w:rsidR="002C5D9C" w:rsidRPr="00065FC0" w:rsidRDefault="002C5D9C" w:rsidP="000A52C9">
            <w:pPr>
              <w:rPr>
                <w:rFonts w:cs="Arial"/>
                <w:b/>
                <w:bCs/>
                <w:sz w:val="18"/>
                <w:szCs w:val="18"/>
                <w:lang w:val="en-GB"/>
              </w:rPr>
            </w:pPr>
            <w:r>
              <w:rPr>
                <w:rFonts w:cs="Arial"/>
                <w:b/>
                <w:bCs/>
                <w:sz w:val="18"/>
                <w:szCs w:val="18"/>
                <w:lang w:val="en-GB"/>
              </w:rPr>
              <w:t>Tenure</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p>
        </w:tc>
      </w:tr>
      <w:tr w:rsidR="002C5D9C" w:rsidRPr="00065FC0" w:rsidTr="000A52C9">
        <w:trPr>
          <w:trHeight w:val="255"/>
        </w:trPr>
        <w:tc>
          <w:tcPr>
            <w:tcW w:w="1660" w:type="dxa"/>
            <w:tcBorders>
              <w:top w:val="nil"/>
              <w:left w:val="nil"/>
              <w:bottom w:val="nil"/>
              <w:right w:val="nil"/>
            </w:tcBorders>
            <w:shd w:val="clear" w:color="auto" w:fill="auto"/>
          </w:tcPr>
          <w:p w:rsidR="002C5D9C" w:rsidRPr="00065FC0" w:rsidRDefault="002C5D9C" w:rsidP="000A52C9">
            <w:pPr>
              <w:rPr>
                <w:rFonts w:cs="Arial"/>
                <w:sz w:val="18"/>
                <w:szCs w:val="18"/>
                <w:lang w:val="en-GB"/>
              </w:rPr>
            </w:pPr>
            <w:r w:rsidRPr="00065FC0">
              <w:rPr>
                <w:rFonts w:cs="Arial"/>
                <w:sz w:val="18"/>
                <w:szCs w:val="18"/>
                <w:lang w:val="en-GB"/>
              </w:rPr>
              <w:t>Social housing</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Pr>
                <w:rFonts w:cs="Arial"/>
                <w:sz w:val="18"/>
                <w:szCs w:val="18"/>
                <w:lang w:val="en-GB"/>
              </w:rPr>
              <w:t>++</w:t>
            </w:r>
          </w:p>
        </w:tc>
      </w:tr>
      <w:tr w:rsidR="002C5D9C" w:rsidRPr="00065FC0" w:rsidTr="000A52C9">
        <w:trPr>
          <w:trHeight w:val="255"/>
        </w:trPr>
        <w:tc>
          <w:tcPr>
            <w:tcW w:w="1660" w:type="dxa"/>
            <w:tcBorders>
              <w:top w:val="nil"/>
              <w:left w:val="nil"/>
              <w:bottom w:val="nil"/>
              <w:right w:val="nil"/>
            </w:tcBorders>
            <w:shd w:val="clear" w:color="auto" w:fill="auto"/>
          </w:tcPr>
          <w:p w:rsidR="002C5D9C" w:rsidRPr="00065FC0" w:rsidRDefault="002C5D9C" w:rsidP="000A52C9">
            <w:pPr>
              <w:rPr>
                <w:rFonts w:cs="Arial"/>
                <w:sz w:val="18"/>
                <w:szCs w:val="18"/>
                <w:lang w:val="en-GB"/>
              </w:rPr>
            </w:pPr>
            <w:r w:rsidRPr="00065FC0">
              <w:rPr>
                <w:rFonts w:cs="Arial"/>
                <w:sz w:val="18"/>
                <w:szCs w:val="18"/>
                <w:lang w:val="en-GB"/>
              </w:rPr>
              <w:t>Private renting</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r>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bottom w:val="nil"/>
              <w:right w:val="nil"/>
            </w:tcBorders>
            <w:shd w:val="clear" w:color="auto" w:fill="auto"/>
            <w:noWrap/>
            <w:vAlign w:val="bottom"/>
          </w:tcPr>
          <w:p w:rsidR="002C5D9C" w:rsidRPr="00065FC0" w:rsidRDefault="002C5D9C" w:rsidP="000A52C9">
            <w:pPr>
              <w:jc w:val="center"/>
              <w:rPr>
                <w:rFonts w:cs="Arial"/>
                <w:sz w:val="18"/>
                <w:szCs w:val="18"/>
                <w:lang w:val="en-GB"/>
              </w:rPr>
            </w:pPr>
            <w:r>
              <w:rPr>
                <w:rFonts w:cs="Arial"/>
                <w:sz w:val="18"/>
                <w:szCs w:val="18"/>
                <w:lang w:val="en-GB"/>
              </w:rPr>
              <w:t>++</w:t>
            </w:r>
          </w:p>
        </w:tc>
      </w:tr>
      <w:tr w:rsidR="002C5D9C" w:rsidRPr="00065FC0" w:rsidTr="000A52C9">
        <w:trPr>
          <w:trHeight w:val="255"/>
        </w:trPr>
        <w:tc>
          <w:tcPr>
            <w:tcW w:w="1660" w:type="dxa"/>
            <w:tcBorders>
              <w:top w:val="nil"/>
              <w:left w:val="nil"/>
              <w:right w:val="nil"/>
            </w:tcBorders>
            <w:shd w:val="clear" w:color="auto" w:fill="auto"/>
          </w:tcPr>
          <w:p w:rsidR="002C5D9C" w:rsidRPr="00065FC0" w:rsidRDefault="002C5D9C" w:rsidP="000A52C9">
            <w:pPr>
              <w:rPr>
                <w:rFonts w:cs="Arial"/>
                <w:sz w:val="18"/>
                <w:szCs w:val="18"/>
                <w:lang w:val="en-GB"/>
              </w:rPr>
            </w:pPr>
            <w:r w:rsidRPr="00065FC0">
              <w:rPr>
                <w:rFonts w:cs="Arial"/>
                <w:sz w:val="18"/>
                <w:szCs w:val="18"/>
                <w:lang w:val="en-GB"/>
              </w:rPr>
              <w:t>Cooperatives etc</w:t>
            </w:r>
            <w:r>
              <w:rPr>
                <w:rFonts w:cs="Arial"/>
                <w:sz w:val="18"/>
                <w:szCs w:val="18"/>
                <w:lang w:val="en-GB"/>
              </w:rPr>
              <w:t>.</w:t>
            </w:r>
          </w:p>
        </w:tc>
        <w:tc>
          <w:tcPr>
            <w:tcW w:w="960" w:type="dxa"/>
            <w:tcBorders>
              <w:top w:val="nil"/>
              <w:left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c>
          <w:tcPr>
            <w:tcW w:w="960" w:type="dxa"/>
            <w:tcBorders>
              <w:top w:val="nil"/>
              <w:left w:val="nil"/>
              <w:right w:val="nil"/>
            </w:tcBorders>
            <w:shd w:val="clear" w:color="auto" w:fill="auto"/>
            <w:noWrap/>
            <w:vAlign w:val="bottom"/>
          </w:tcPr>
          <w:p w:rsidR="002C5D9C" w:rsidRPr="00065FC0" w:rsidRDefault="002C5D9C" w:rsidP="000A52C9">
            <w:pPr>
              <w:jc w:val="center"/>
              <w:rPr>
                <w:rFonts w:cs="Arial"/>
                <w:sz w:val="18"/>
                <w:szCs w:val="18"/>
                <w:lang w:val="en-GB"/>
              </w:rPr>
            </w:pPr>
          </w:p>
        </w:tc>
        <w:tc>
          <w:tcPr>
            <w:tcW w:w="960" w:type="dxa"/>
            <w:tcBorders>
              <w:top w:val="nil"/>
              <w:left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r>
              <w:rPr>
                <w:rFonts w:cs="Arial"/>
                <w:sz w:val="18"/>
                <w:szCs w:val="18"/>
                <w:lang w:val="en-GB"/>
              </w:rPr>
              <w:t>+</w:t>
            </w:r>
          </w:p>
        </w:tc>
        <w:tc>
          <w:tcPr>
            <w:tcW w:w="960" w:type="dxa"/>
            <w:tcBorders>
              <w:top w:val="nil"/>
              <w:left w:val="nil"/>
              <w:right w:val="nil"/>
            </w:tcBorders>
            <w:shd w:val="clear" w:color="auto" w:fill="auto"/>
            <w:noWrap/>
            <w:vAlign w:val="bottom"/>
          </w:tcPr>
          <w:p w:rsidR="002C5D9C" w:rsidRPr="00065FC0" w:rsidRDefault="002C5D9C" w:rsidP="000A52C9">
            <w:pPr>
              <w:jc w:val="center"/>
              <w:rPr>
                <w:rFonts w:cs="Arial"/>
                <w:sz w:val="18"/>
                <w:szCs w:val="18"/>
                <w:lang w:val="en-GB"/>
              </w:rPr>
            </w:pPr>
            <w:r w:rsidRPr="00065FC0">
              <w:rPr>
                <w:rFonts w:cs="Arial"/>
                <w:sz w:val="18"/>
                <w:szCs w:val="18"/>
                <w:lang w:val="en-GB"/>
              </w:rPr>
              <w:t>+++</w:t>
            </w:r>
          </w:p>
        </w:tc>
      </w:tr>
      <w:tr w:rsidR="002C5D9C" w:rsidRPr="003C7A07" w:rsidTr="000A52C9">
        <w:trPr>
          <w:trHeight w:val="255"/>
        </w:trPr>
        <w:tc>
          <w:tcPr>
            <w:tcW w:w="1660" w:type="dxa"/>
            <w:tcBorders>
              <w:top w:val="nil"/>
              <w:left w:val="nil"/>
              <w:bottom w:val="single" w:sz="4" w:space="0" w:color="auto"/>
              <w:right w:val="nil"/>
            </w:tcBorders>
            <w:shd w:val="clear" w:color="auto" w:fill="auto"/>
          </w:tcPr>
          <w:p w:rsidR="002C5D9C" w:rsidRPr="003C7A07" w:rsidRDefault="002C5D9C" w:rsidP="000A52C9">
            <w:pPr>
              <w:rPr>
                <w:rFonts w:cs="Arial"/>
                <w:sz w:val="18"/>
                <w:szCs w:val="18"/>
                <w:lang w:val="en-US"/>
              </w:rPr>
            </w:pPr>
            <w:r w:rsidRPr="003C7A07">
              <w:rPr>
                <w:rFonts w:cs="Arial"/>
                <w:sz w:val="18"/>
                <w:szCs w:val="18"/>
                <w:lang w:val="en-US"/>
              </w:rPr>
              <w:t>Owner-occupied</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c>
          <w:tcPr>
            <w:tcW w:w="960" w:type="dxa"/>
            <w:tcBorders>
              <w:top w:val="nil"/>
              <w:left w:val="nil"/>
              <w:bottom w:val="single" w:sz="4" w:space="0" w:color="auto"/>
              <w:right w:val="nil"/>
            </w:tcBorders>
            <w:shd w:val="clear" w:color="auto" w:fill="auto"/>
            <w:noWrap/>
            <w:vAlign w:val="bottom"/>
          </w:tcPr>
          <w:p w:rsidR="002C5D9C" w:rsidRPr="003C7A07" w:rsidRDefault="002C5D9C" w:rsidP="000A52C9">
            <w:pPr>
              <w:jc w:val="center"/>
              <w:rPr>
                <w:rFonts w:cs="Arial"/>
                <w:sz w:val="18"/>
                <w:szCs w:val="18"/>
                <w:lang w:val="en-US"/>
              </w:rPr>
            </w:pPr>
            <w:r w:rsidRPr="003C7A07">
              <w:rPr>
                <w:rFonts w:cs="Arial"/>
                <w:sz w:val="18"/>
                <w:szCs w:val="18"/>
                <w:lang w:val="en-US"/>
              </w:rPr>
              <w:t>+++</w:t>
            </w:r>
          </w:p>
        </w:tc>
      </w:tr>
    </w:tbl>
    <w:p w:rsidR="002C5D9C" w:rsidRDefault="002C5D9C" w:rsidP="002C5D9C">
      <w:pPr>
        <w:rPr>
          <w:rFonts w:ascii="Arial Narrow" w:hAnsi="Arial Narrow" w:cs="Arial"/>
          <w:sz w:val="18"/>
          <w:szCs w:val="18"/>
          <w:lang w:val="en-GB"/>
        </w:rPr>
      </w:pPr>
      <w:r>
        <w:rPr>
          <w:rFonts w:ascii="Arial Narrow" w:hAnsi="Arial Narrow" w:cs="Arial"/>
          <w:sz w:val="18"/>
          <w:szCs w:val="18"/>
          <w:lang w:val="en-GB"/>
        </w:rPr>
        <w:t>Easy access: +++</w:t>
      </w:r>
    </w:p>
    <w:p w:rsidR="002C5D9C" w:rsidRDefault="002C5D9C" w:rsidP="002C5D9C">
      <w:pPr>
        <w:rPr>
          <w:rFonts w:ascii="Arial Narrow" w:hAnsi="Arial Narrow" w:cs="Arial"/>
          <w:sz w:val="18"/>
          <w:szCs w:val="18"/>
          <w:lang w:val="en-GB"/>
        </w:rPr>
      </w:pPr>
      <w:r>
        <w:rPr>
          <w:rFonts w:ascii="Arial Narrow" w:hAnsi="Arial Narrow" w:cs="Arial"/>
          <w:sz w:val="18"/>
          <w:szCs w:val="18"/>
          <w:lang w:val="en-GB"/>
        </w:rPr>
        <w:t>Greater obstacles: --</w:t>
      </w:r>
    </w:p>
    <w:p w:rsidR="002C5D9C" w:rsidRPr="00065FC0" w:rsidRDefault="002C5D9C" w:rsidP="002C5D9C">
      <w:pPr>
        <w:rPr>
          <w:rFonts w:ascii="Arial Narrow" w:hAnsi="Arial Narrow" w:cs="Arial"/>
          <w:sz w:val="18"/>
          <w:szCs w:val="18"/>
          <w:lang w:val="en-GB"/>
        </w:rPr>
      </w:pPr>
      <w:r>
        <w:rPr>
          <w:rFonts w:ascii="Arial Narrow" w:hAnsi="Arial Narrow" w:cs="Arial"/>
          <w:sz w:val="18"/>
          <w:szCs w:val="18"/>
          <w:lang w:val="en-GB"/>
        </w:rPr>
        <w:t xml:space="preserve">*) The evaluation of the ease of access is based on a combination of available housing and factors which especially hamper the options of immigrants  </w:t>
      </w:r>
    </w:p>
    <w:p w:rsidR="002C5D9C" w:rsidRPr="00B56E59" w:rsidRDefault="002C5D9C" w:rsidP="002C5D9C">
      <w:pPr>
        <w:rPr>
          <w:sz w:val="24"/>
          <w:szCs w:val="24"/>
          <w:lang w:val="en-GB"/>
        </w:rPr>
      </w:pPr>
    </w:p>
    <w:p w:rsidR="002C5D9C" w:rsidRPr="007E393E" w:rsidRDefault="002C5D9C" w:rsidP="002C5D9C">
      <w:pPr>
        <w:pStyle w:val="Billedtekst"/>
        <w:rPr>
          <w:rFonts w:ascii="Arial Narrow" w:hAnsi="Arial Narrow"/>
          <w:lang w:val="en-GB"/>
        </w:rPr>
      </w:pPr>
      <w:bookmarkStart w:id="10" w:name="_Ref293573614"/>
      <w:r>
        <w:rPr>
          <w:lang w:val="en-GB"/>
        </w:rPr>
        <w:br w:type="page"/>
      </w:r>
      <w:proofErr w:type="gramStart"/>
      <w:r w:rsidRPr="00450822">
        <w:rPr>
          <w:lang w:val="en-GB"/>
        </w:rPr>
        <w:lastRenderedPageBreak/>
        <w:t>Table</w:t>
      </w:r>
      <w:bookmarkEnd w:id="10"/>
      <w:r w:rsidRPr="00105EAA">
        <w:rPr>
          <w:lang w:val="en-US"/>
        </w:rPr>
        <w:t xml:space="preserve"> 8</w:t>
      </w:r>
      <w:r w:rsidRPr="004772DE">
        <w:rPr>
          <w:lang w:val="en-GB"/>
        </w:rPr>
        <w:t>.</w:t>
      </w:r>
      <w:proofErr w:type="gramEnd"/>
      <w:r w:rsidRPr="00450822">
        <w:rPr>
          <w:lang w:val="en-GB"/>
        </w:rPr>
        <w:t xml:space="preserve"> </w:t>
      </w:r>
      <w:r w:rsidRPr="007E393E">
        <w:rPr>
          <w:rFonts w:ascii="Arial Narrow" w:hAnsi="Arial Narrow"/>
          <w:lang w:val="en-GB"/>
        </w:rPr>
        <w:t xml:space="preserve">Immigrants and the whole populations distributed on tenures in </w:t>
      </w:r>
      <w:r>
        <w:rPr>
          <w:rFonts w:ascii="Arial Narrow" w:hAnsi="Arial Narrow"/>
          <w:lang w:val="en-GB"/>
        </w:rPr>
        <w:t>four</w:t>
      </w:r>
      <w:r w:rsidRPr="007E393E">
        <w:rPr>
          <w:rFonts w:ascii="Arial Narrow" w:hAnsi="Arial Narrow"/>
          <w:lang w:val="en-GB"/>
        </w:rPr>
        <w:t xml:space="preserve"> Nordic countries (</w:t>
      </w:r>
      <w:r>
        <w:rPr>
          <w:rFonts w:ascii="Arial Narrow" w:hAnsi="Arial Narrow"/>
          <w:lang w:val="en-GB"/>
        </w:rPr>
        <w:t>%</w:t>
      </w:r>
      <w:r w:rsidRPr="007E393E">
        <w:rPr>
          <w:rFonts w:ascii="Arial Narrow" w:hAnsi="Arial Narrow"/>
          <w:lang w:val="en-GB"/>
        </w:rPr>
        <w:t>)</w:t>
      </w:r>
    </w:p>
    <w:tbl>
      <w:tblPr>
        <w:tblW w:w="6320" w:type="dxa"/>
        <w:tblInd w:w="70" w:type="dxa"/>
        <w:tblCellMar>
          <w:left w:w="70" w:type="dxa"/>
          <w:right w:w="70" w:type="dxa"/>
        </w:tblCellMar>
        <w:tblLook w:val="0000" w:firstRow="0" w:lastRow="0" w:firstColumn="0" w:lastColumn="0" w:noHBand="0" w:noVBand="0"/>
      </w:tblPr>
      <w:tblGrid>
        <w:gridCol w:w="2496"/>
        <w:gridCol w:w="958"/>
        <w:gridCol w:w="955"/>
        <w:gridCol w:w="955"/>
        <w:gridCol w:w="956"/>
      </w:tblGrid>
      <w:tr w:rsidR="002C5D9C" w:rsidRPr="007E393E" w:rsidTr="000A52C9">
        <w:trPr>
          <w:trHeight w:val="255"/>
        </w:trPr>
        <w:tc>
          <w:tcPr>
            <w:tcW w:w="2496" w:type="dxa"/>
            <w:tcBorders>
              <w:top w:val="single" w:sz="4" w:space="0" w:color="auto"/>
              <w:left w:val="nil"/>
              <w:bottom w:val="single" w:sz="4" w:space="0" w:color="auto"/>
              <w:right w:val="nil"/>
            </w:tcBorders>
            <w:shd w:val="clear" w:color="auto" w:fill="auto"/>
            <w:noWrap/>
            <w:vAlign w:val="bottom"/>
          </w:tcPr>
          <w:p w:rsidR="002C5D9C" w:rsidRPr="007E393E" w:rsidRDefault="002C5D9C" w:rsidP="000A52C9">
            <w:pPr>
              <w:rPr>
                <w:rFonts w:ascii="Arial Narrow" w:hAnsi="Arial Narrow" w:cs="Arial"/>
                <w:sz w:val="18"/>
                <w:szCs w:val="18"/>
                <w:lang w:val="en-GB"/>
              </w:rPr>
            </w:pPr>
            <w:r w:rsidRPr="007E393E">
              <w:rPr>
                <w:rFonts w:ascii="Arial Narrow" w:hAnsi="Arial Narrow" w:cs="Arial"/>
                <w:sz w:val="18"/>
                <w:szCs w:val="18"/>
                <w:lang w:val="en-GB"/>
              </w:rPr>
              <w:t> </w:t>
            </w:r>
          </w:p>
        </w:tc>
        <w:tc>
          <w:tcPr>
            <w:tcW w:w="958" w:type="dxa"/>
            <w:tcBorders>
              <w:top w:val="single" w:sz="4" w:space="0" w:color="auto"/>
              <w:left w:val="nil"/>
              <w:bottom w:val="single" w:sz="4" w:space="0" w:color="auto"/>
              <w:right w:val="nil"/>
            </w:tcBorders>
            <w:shd w:val="clear" w:color="auto" w:fill="auto"/>
          </w:tcPr>
          <w:p w:rsidR="002C5D9C" w:rsidRPr="007E393E"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7E393E">
                  <w:rPr>
                    <w:rFonts w:ascii="Arial Narrow" w:hAnsi="Arial Narrow" w:cs="Arial"/>
                    <w:sz w:val="18"/>
                    <w:szCs w:val="18"/>
                    <w:lang w:val="en-GB"/>
                  </w:rPr>
                  <w:t>Denmark</w:t>
                </w:r>
              </w:smartTag>
            </w:smartTag>
          </w:p>
        </w:tc>
        <w:tc>
          <w:tcPr>
            <w:tcW w:w="955" w:type="dxa"/>
            <w:tcBorders>
              <w:top w:val="single" w:sz="4" w:space="0" w:color="auto"/>
              <w:left w:val="nil"/>
              <w:bottom w:val="single" w:sz="4" w:space="0" w:color="auto"/>
              <w:right w:val="nil"/>
            </w:tcBorders>
            <w:shd w:val="clear" w:color="auto" w:fill="auto"/>
          </w:tcPr>
          <w:p w:rsidR="002C5D9C" w:rsidRPr="007E393E"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7E393E">
                  <w:rPr>
                    <w:rFonts w:ascii="Arial Narrow" w:hAnsi="Arial Narrow" w:cs="Arial"/>
                    <w:sz w:val="18"/>
                    <w:szCs w:val="18"/>
                    <w:lang w:val="en-GB"/>
                  </w:rPr>
                  <w:t>Finland</w:t>
                </w:r>
              </w:smartTag>
            </w:smartTag>
          </w:p>
        </w:tc>
        <w:tc>
          <w:tcPr>
            <w:tcW w:w="955" w:type="dxa"/>
            <w:tcBorders>
              <w:top w:val="single" w:sz="4" w:space="0" w:color="auto"/>
              <w:left w:val="nil"/>
              <w:bottom w:val="single" w:sz="4" w:space="0" w:color="auto"/>
              <w:right w:val="nil"/>
            </w:tcBorders>
            <w:shd w:val="clear" w:color="auto" w:fill="auto"/>
          </w:tcPr>
          <w:p w:rsidR="002C5D9C" w:rsidRPr="007E393E"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7E393E">
                  <w:rPr>
                    <w:rFonts w:ascii="Arial Narrow" w:hAnsi="Arial Narrow" w:cs="Arial"/>
                    <w:sz w:val="18"/>
                    <w:szCs w:val="18"/>
                    <w:lang w:val="en-GB"/>
                  </w:rPr>
                  <w:t>Norway</w:t>
                </w:r>
              </w:smartTag>
            </w:smartTag>
          </w:p>
        </w:tc>
        <w:tc>
          <w:tcPr>
            <w:tcW w:w="956" w:type="dxa"/>
            <w:tcBorders>
              <w:top w:val="single" w:sz="4" w:space="0" w:color="auto"/>
              <w:left w:val="nil"/>
              <w:bottom w:val="single" w:sz="4" w:space="0" w:color="auto"/>
              <w:right w:val="nil"/>
            </w:tcBorders>
            <w:shd w:val="clear" w:color="auto" w:fill="auto"/>
          </w:tcPr>
          <w:p w:rsidR="002C5D9C" w:rsidRPr="007E393E"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7E393E">
                  <w:rPr>
                    <w:rFonts w:ascii="Arial Narrow" w:hAnsi="Arial Narrow" w:cs="Arial"/>
                    <w:sz w:val="18"/>
                    <w:szCs w:val="18"/>
                    <w:lang w:val="en-GB"/>
                  </w:rPr>
                  <w:t>Sweden</w:t>
                </w:r>
              </w:smartTag>
            </w:smartTag>
          </w:p>
        </w:tc>
      </w:tr>
      <w:tr w:rsidR="002C5D9C" w:rsidRPr="007E393E" w:rsidTr="000A52C9">
        <w:trPr>
          <w:trHeight w:val="255"/>
        </w:trPr>
        <w:tc>
          <w:tcPr>
            <w:tcW w:w="2496" w:type="dxa"/>
            <w:tcBorders>
              <w:top w:val="single" w:sz="4" w:space="0" w:color="auto"/>
              <w:left w:val="nil"/>
              <w:right w:val="nil"/>
            </w:tcBorders>
            <w:shd w:val="clear" w:color="auto" w:fill="auto"/>
            <w:noWrap/>
            <w:vAlign w:val="bottom"/>
          </w:tcPr>
          <w:p w:rsidR="002C5D9C" w:rsidRPr="007E393E" w:rsidRDefault="002C5D9C" w:rsidP="000A52C9">
            <w:pPr>
              <w:rPr>
                <w:rFonts w:ascii="Arial Narrow" w:hAnsi="Arial Narrow" w:cs="Arial"/>
                <w:b/>
                <w:sz w:val="18"/>
                <w:szCs w:val="18"/>
                <w:lang w:val="en-GB"/>
              </w:rPr>
            </w:pPr>
            <w:r w:rsidRPr="007E393E">
              <w:rPr>
                <w:rFonts w:ascii="Arial Narrow" w:hAnsi="Arial Narrow" w:cs="Arial"/>
                <w:b/>
                <w:sz w:val="18"/>
                <w:szCs w:val="18"/>
                <w:lang w:val="en-GB"/>
              </w:rPr>
              <w:t>Immigrants</w:t>
            </w:r>
          </w:p>
        </w:tc>
        <w:tc>
          <w:tcPr>
            <w:tcW w:w="958" w:type="dxa"/>
            <w:tcBorders>
              <w:top w:val="single" w:sz="4" w:space="0" w:color="auto"/>
              <w:left w:val="nil"/>
              <w:right w:val="nil"/>
            </w:tcBorders>
            <w:shd w:val="clear" w:color="auto" w:fill="auto"/>
          </w:tcPr>
          <w:p w:rsidR="002C5D9C" w:rsidRPr="007E393E" w:rsidRDefault="002C5D9C" w:rsidP="000A52C9">
            <w:pPr>
              <w:jc w:val="right"/>
              <w:rPr>
                <w:rFonts w:ascii="Arial Narrow" w:hAnsi="Arial Narrow" w:cs="Arial"/>
                <w:sz w:val="18"/>
                <w:szCs w:val="18"/>
                <w:lang w:val="en-GB"/>
              </w:rPr>
            </w:pPr>
          </w:p>
        </w:tc>
        <w:tc>
          <w:tcPr>
            <w:tcW w:w="955" w:type="dxa"/>
            <w:tcBorders>
              <w:top w:val="single" w:sz="4" w:space="0" w:color="auto"/>
              <w:left w:val="nil"/>
              <w:right w:val="nil"/>
            </w:tcBorders>
            <w:shd w:val="clear" w:color="auto" w:fill="auto"/>
          </w:tcPr>
          <w:p w:rsidR="002C5D9C" w:rsidRPr="007E393E" w:rsidRDefault="002C5D9C" w:rsidP="000A52C9">
            <w:pPr>
              <w:jc w:val="right"/>
              <w:rPr>
                <w:rFonts w:ascii="Arial Narrow" w:hAnsi="Arial Narrow" w:cs="Arial"/>
                <w:sz w:val="18"/>
                <w:szCs w:val="18"/>
                <w:lang w:val="en-GB"/>
              </w:rPr>
            </w:pPr>
          </w:p>
        </w:tc>
        <w:tc>
          <w:tcPr>
            <w:tcW w:w="955" w:type="dxa"/>
            <w:tcBorders>
              <w:top w:val="single" w:sz="4" w:space="0" w:color="auto"/>
              <w:left w:val="nil"/>
              <w:right w:val="nil"/>
            </w:tcBorders>
            <w:shd w:val="clear" w:color="auto" w:fill="auto"/>
          </w:tcPr>
          <w:p w:rsidR="002C5D9C" w:rsidRPr="007E393E" w:rsidRDefault="002C5D9C" w:rsidP="000A52C9">
            <w:pPr>
              <w:jc w:val="right"/>
              <w:rPr>
                <w:rFonts w:ascii="Arial Narrow" w:hAnsi="Arial Narrow" w:cs="Arial"/>
                <w:sz w:val="18"/>
                <w:szCs w:val="18"/>
                <w:lang w:val="en-GB"/>
              </w:rPr>
            </w:pPr>
          </w:p>
        </w:tc>
        <w:tc>
          <w:tcPr>
            <w:tcW w:w="956" w:type="dxa"/>
            <w:tcBorders>
              <w:top w:val="single" w:sz="4" w:space="0" w:color="auto"/>
              <w:left w:val="nil"/>
              <w:right w:val="nil"/>
            </w:tcBorders>
            <w:shd w:val="clear" w:color="auto" w:fill="auto"/>
          </w:tcPr>
          <w:p w:rsidR="002C5D9C" w:rsidRPr="007E393E" w:rsidRDefault="002C5D9C" w:rsidP="000A52C9">
            <w:pPr>
              <w:jc w:val="right"/>
              <w:rPr>
                <w:rFonts w:ascii="Arial Narrow" w:hAnsi="Arial Narrow" w:cs="Arial"/>
                <w:sz w:val="18"/>
                <w:szCs w:val="18"/>
                <w:lang w:val="en-GB"/>
              </w:rPr>
            </w:pPr>
          </w:p>
        </w:tc>
      </w:tr>
      <w:tr w:rsidR="002C5D9C" w:rsidRPr="007E393E" w:rsidTr="000A52C9">
        <w:trPr>
          <w:trHeight w:val="255"/>
        </w:trPr>
        <w:tc>
          <w:tcPr>
            <w:tcW w:w="2496" w:type="dxa"/>
            <w:tcBorders>
              <w:top w:val="nil"/>
              <w:left w:val="nil"/>
              <w:bottom w:val="nil"/>
              <w:right w:val="nil"/>
            </w:tcBorders>
            <w:shd w:val="clear" w:color="auto" w:fill="auto"/>
          </w:tcPr>
          <w:p w:rsidR="002C5D9C" w:rsidRPr="007E393E" w:rsidRDefault="002C5D9C" w:rsidP="000A52C9">
            <w:pPr>
              <w:rPr>
                <w:rFonts w:ascii="Arial Narrow" w:hAnsi="Arial Narrow" w:cs="Arial"/>
                <w:sz w:val="18"/>
                <w:szCs w:val="18"/>
                <w:lang w:val="en-GB"/>
              </w:rPr>
            </w:pPr>
            <w:r w:rsidRPr="007E393E">
              <w:rPr>
                <w:rFonts w:ascii="Arial Narrow" w:hAnsi="Arial Narrow" w:cs="Arial"/>
                <w:sz w:val="18"/>
                <w:szCs w:val="18"/>
                <w:lang w:val="en-GB"/>
              </w:rPr>
              <w:t>Owner-occupied</w:t>
            </w:r>
          </w:p>
        </w:tc>
        <w:tc>
          <w:tcPr>
            <w:tcW w:w="958"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30</w:t>
            </w:r>
          </w:p>
        </w:tc>
        <w:tc>
          <w:tcPr>
            <w:tcW w:w="955"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31</w:t>
            </w:r>
          </w:p>
        </w:tc>
        <w:tc>
          <w:tcPr>
            <w:tcW w:w="955"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45</w:t>
            </w:r>
          </w:p>
        </w:tc>
        <w:tc>
          <w:tcPr>
            <w:tcW w:w="956"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30</w:t>
            </w:r>
          </w:p>
        </w:tc>
      </w:tr>
      <w:tr w:rsidR="002C5D9C" w:rsidRPr="007E393E" w:rsidTr="000A52C9">
        <w:trPr>
          <w:trHeight w:val="255"/>
        </w:trPr>
        <w:tc>
          <w:tcPr>
            <w:tcW w:w="2496" w:type="dxa"/>
            <w:tcBorders>
              <w:top w:val="nil"/>
              <w:left w:val="nil"/>
              <w:bottom w:val="nil"/>
              <w:right w:val="nil"/>
            </w:tcBorders>
            <w:shd w:val="clear" w:color="auto" w:fill="auto"/>
          </w:tcPr>
          <w:p w:rsidR="002C5D9C" w:rsidRPr="007E393E" w:rsidRDefault="002C5D9C" w:rsidP="000A52C9">
            <w:pPr>
              <w:rPr>
                <w:rFonts w:ascii="Arial Narrow" w:hAnsi="Arial Narrow" w:cs="Arial"/>
                <w:sz w:val="18"/>
                <w:szCs w:val="18"/>
                <w:lang w:val="en-GB"/>
              </w:rPr>
            </w:pPr>
            <w:r w:rsidRPr="007E393E">
              <w:rPr>
                <w:rFonts w:ascii="Arial Narrow" w:hAnsi="Arial Narrow" w:cs="Arial"/>
                <w:sz w:val="18"/>
                <w:szCs w:val="18"/>
                <w:lang w:val="en-GB"/>
              </w:rPr>
              <w:t>Cooperatives</w:t>
            </w:r>
          </w:p>
        </w:tc>
        <w:tc>
          <w:tcPr>
            <w:tcW w:w="958"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6</w:t>
            </w:r>
          </w:p>
        </w:tc>
        <w:tc>
          <w:tcPr>
            <w:tcW w:w="955" w:type="dxa"/>
            <w:tcBorders>
              <w:top w:val="nil"/>
              <w:left w:val="nil"/>
              <w:bottom w:val="nil"/>
              <w:right w:val="nil"/>
            </w:tcBorders>
            <w:shd w:val="clear" w:color="auto" w:fill="auto"/>
            <w:noWrap/>
            <w:vAlign w:val="bottom"/>
          </w:tcPr>
          <w:p w:rsidR="002C5D9C" w:rsidRPr="007E393E" w:rsidRDefault="002C5D9C" w:rsidP="000A52C9">
            <w:pPr>
              <w:rPr>
                <w:rFonts w:ascii="Arial Narrow" w:hAnsi="Arial Narrow" w:cs="Arial"/>
                <w:sz w:val="18"/>
                <w:szCs w:val="18"/>
                <w:lang w:val="en-GB"/>
              </w:rPr>
            </w:pPr>
          </w:p>
        </w:tc>
        <w:tc>
          <w:tcPr>
            <w:tcW w:w="955"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18</w:t>
            </w:r>
          </w:p>
        </w:tc>
        <w:tc>
          <w:tcPr>
            <w:tcW w:w="956" w:type="dxa"/>
            <w:tcBorders>
              <w:top w:val="nil"/>
              <w:left w:val="nil"/>
              <w:bottom w:val="nil"/>
              <w:right w:val="nil"/>
            </w:tcBorders>
            <w:shd w:val="clear" w:color="auto" w:fill="auto"/>
            <w:noWrap/>
            <w:vAlign w:val="bottom"/>
          </w:tcPr>
          <w:p w:rsidR="002C5D9C" w:rsidRPr="007E393E" w:rsidRDefault="002C5D9C" w:rsidP="000A52C9">
            <w:pPr>
              <w:jc w:val="right"/>
              <w:rPr>
                <w:rFonts w:ascii="Arial Narrow" w:hAnsi="Arial Narrow" w:cs="Arial"/>
                <w:sz w:val="18"/>
                <w:szCs w:val="18"/>
                <w:lang w:val="en-GB"/>
              </w:rPr>
            </w:pPr>
            <w:r w:rsidRPr="007E393E">
              <w:rPr>
                <w:rFonts w:ascii="Arial Narrow" w:hAnsi="Arial Narrow" w:cs="Arial"/>
                <w:sz w:val="18"/>
                <w:szCs w:val="18"/>
                <w:lang w:val="en-GB"/>
              </w:rPr>
              <w:t>23</w:t>
            </w:r>
          </w:p>
        </w:tc>
      </w:tr>
      <w:tr w:rsidR="002C5D9C" w:rsidRPr="00BD0B47" w:rsidTr="000A52C9">
        <w:trPr>
          <w:trHeight w:val="255"/>
        </w:trPr>
        <w:tc>
          <w:tcPr>
            <w:tcW w:w="2496" w:type="dxa"/>
            <w:tcBorders>
              <w:top w:val="nil"/>
              <w:left w:val="nil"/>
              <w:bottom w:val="nil"/>
              <w:right w:val="nil"/>
            </w:tcBorders>
            <w:shd w:val="clear" w:color="auto" w:fill="auto"/>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Private renting</w:t>
            </w:r>
          </w:p>
        </w:tc>
        <w:tc>
          <w:tcPr>
            <w:tcW w:w="958"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16</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21</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24</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26</w:t>
            </w:r>
          </w:p>
        </w:tc>
      </w:tr>
      <w:tr w:rsidR="002C5D9C" w:rsidRPr="00BD0B47" w:rsidTr="000A52C9">
        <w:trPr>
          <w:trHeight w:val="255"/>
        </w:trPr>
        <w:tc>
          <w:tcPr>
            <w:tcW w:w="2496" w:type="dxa"/>
            <w:tcBorders>
              <w:top w:val="nil"/>
              <w:left w:val="nil"/>
              <w:bottom w:val="nil"/>
              <w:right w:val="nil"/>
            </w:tcBorders>
            <w:shd w:val="clear" w:color="auto" w:fill="auto"/>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Social/public housing</w:t>
            </w:r>
          </w:p>
        </w:tc>
        <w:tc>
          <w:tcPr>
            <w:tcW w:w="958"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45</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43</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13</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20</w:t>
            </w:r>
          </w:p>
        </w:tc>
      </w:tr>
      <w:tr w:rsidR="002C5D9C" w:rsidRPr="00BD0B47" w:rsidTr="000A52C9">
        <w:trPr>
          <w:trHeight w:val="255"/>
        </w:trPr>
        <w:tc>
          <w:tcPr>
            <w:tcW w:w="2496" w:type="dxa"/>
            <w:tcBorders>
              <w:top w:val="nil"/>
              <w:left w:val="nil"/>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Other</w:t>
            </w:r>
          </w:p>
        </w:tc>
        <w:tc>
          <w:tcPr>
            <w:tcW w:w="958" w:type="dxa"/>
            <w:tcBorders>
              <w:top w:val="nil"/>
              <w:left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w:t>
            </w:r>
          </w:p>
        </w:tc>
        <w:tc>
          <w:tcPr>
            <w:tcW w:w="955" w:type="dxa"/>
            <w:tcBorders>
              <w:top w:val="nil"/>
              <w:left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5</w:t>
            </w:r>
          </w:p>
        </w:tc>
        <w:tc>
          <w:tcPr>
            <w:tcW w:w="955" w:type="dxa"/>
            <w:tcBorders>
              <w:top w:val="nil"/>
              <w:left w:val="nil"/>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p>
        </w:tc>
        <w:tc>
          <w:tcPr>
            <w:tcW w:w="956" w:type="dxa"/>
            <w:tcBorders>
              <w:top w:val="nil"/>
              <w:left w:val="nil"/>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p>
        </w:tc>
      </w:tr>
      <w:tr w:rsidR="002C5D9C" w:rsidRPr="00BD0B47" w:rsidTr="000A52C9">
        <w:trPr>
          <w:trHeight w:val="255"/>
        </w:trPr>
        <w:tc>
          <w:tcPr>
            <w:tcW w:w="2496" w:type="dxa"/>
            <w:tcBorders>
              <w:top w:val="nil"/>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Total</w:t>
            </w:r>
          </w:p>
        </w:tc>
        <w:tc>
          <w:tcPr>
            <w:tcW w:w="958"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6"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r>
      <w:tr w:rsidR="002C5D9C" w:rsidRPr="00BD0B47" w:rsidTr="000A52C9">
        <w:trPr>
          <w:trHeight w:val="255"/>
        </w:trPr>
        <w:tc>
          <w:tcPr>
            <w:tcW w:w="2496" w:type="dxa"/>
            <w:tcBorders>
              <w:top w:val="single" w:sz="4" w:space="0" w:color="auto"/>
              <w:left w:val="nil"/>
              <w:bottom w:val="nil"/>
              <w:right w:val="nil"/>
            </w:tcBorders>
            <w:shd w:val="clear" w:color="auto" w:fill="auto"/>
            <w:noWrap/>
            <w:vAlign w:val="bottom"/>
          </w:tcPr>
          <w:p w:rsidR="002C5D9C" w:rsidRPr="00BD0B47" w:rsidRDefault="002C5D9C" w:rsidP="000A52C9">
            <w:pPr>
              <w:rPr>
                <w:rFonts w:ascii="Arial Narrow" w:hAnsi="Arial Narrow" w:cs="Arial"/>
                <w:b/>
                <w:sz w:val="18"/>
                <w:szCs w:val="18"/>
                <w:lang w:val="en-GB"/>
              </w:rPr>
            </w:pPr>
            <w:r w:rsidRPr="00BD0B47">
              <w:rPr>
                <w:rFonts w:ascii="Arial Narrow" w:hAnsi="Arial Narrow" w:cs="Arial"/>
                <w:b/>
                <w:sz w:val="18"/>
                <w:szCs w:val="18"/>
                <w:lang w:val="en-GB"/>
              </w:rPr>
              <w:t>Total population</w:t>
            </w:r>
          </w:p>
        </w:tc>
        <w:tc>
          <w:tcPr>
            <w:tcW w:w="958" w:type="dxa"/>
            <w:tcBorders>
              <w:top w:val="single" w:sz="4" w:space="0" w:color="auto"/>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p>
        </w:tc>
        <w:tc>
          <w:tcPr>
            <w:tcW w:w="955" w:type="dxa"/>
            <w:tcBorders>
              <w:top w:val="single" w:sz="4" w:space="0" w:color="auto"/>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p>
        </w:tc>
        <w:tc>
          <w:tcPr>
            <w:tcW w:w="955" w:type="dxa"/>
            <w:tcBorders>
              <w:top w:val="single" w:sz="4" w:space="0" w:color="auto"/>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p>
        </w:tc>
        <w:tc>
          <w:tcPr>
            <w:tcW w:w="956" w:type="dxa"/>
            <w:tcBorders>
              <w:top w:val="single" w:sz="4" w:space="0" w:color="auto"/>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p>
        </w:tc>
      </w:tr>
      <w:tr w:rsidR="002C5D9C" w:rsidRPr="00BD0B47" w:rsidTr="000A52C9">
        <w:trPr>
          <w:trHeight w:val="255"/>
        </w:trPr>
        <w:tc>
          <w:tcPr>
            <w:tcW w:w="2496" w:type="dxa"/>
            <w:tcBorders>
              <w:top w:val="nil"/>
              <w:left w:val="nil"/>
              <w:bottom w:val="nil"/>
              <w:right w:val="nil"/>
            </w:tcBorders>
            <w:shd w:val="clear" w:color="auto" w:fill="auto"/>
            <w:noWrap/>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Owner-occupied</w:t>
            </w:r>
          </w:p>
        </w:tc>
        <w:tc>
          <w:tcPr>
            <w:tcW w:w="958"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62</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72</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62</w:t>
            </w:r>
          </w:p>
        </w:tc>
        <w:tc>
          <w:tcPr>
            <w:tcW w:w="956"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55</w:t>
            </w:r>
          </w:p>
        </w:tc>
      </w:tr>
      <w:tr w:rsidR="002C5D9C" w:rsidRPr="00BD0B47" w:rsidTr="000A52C9">
        <w:trPr>
          <w:trHeight w:val="255"/>
        </w:trPr>
        <w:tc>
          <w:tcPr>
            <w:tcW w:w="2496" w:type="dxa"/>
            <w:tcBorders>
              <w:top w:val="nil"/>
              <w:left w:val="nil"/>
              <w:bottom w:val="nil"/>
              <w:right w:val="nil"/>
            </w:tcBorders>
            <w:shd w:val="clear" w:color="auto" w:fill="auto"/>
            <w:noWrap/>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Cooperatives</w:t>
            </w:r>
          </w:p>
        </w:tc>
        <w:tc>
          <w:tcPr>
            <w:tcW w:w="958"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6</w:t>
            </w:r>
          </w:p>
        </w:tc>
        <w:tc>
          <w:tcPr>
            <w:tcW w:w="955" w:type="dxa"/>
            <w:tcBorders>
              <w:top w:val="nil"/>
              <w:left w:val="nil"/>
              <w:bottom w:val="nil"/>
              <w:right w:val="nil"/>
            </w:tcBorders>
            <w:shd w:val="clear" w:color="auto" w:fill="auto"/>
            <w:noWrap/>
            <w:vAlign w:val="bottom"/>
          </w:tcPr>
          <w:p w:rsidR="002C5D9C" w:rsidRDefault="002C5D9C" w:rsidP="000A52C9">
            <w:pPr>
              <w:rPr>
                <w:rFonts w:ascii="Arial Narrow" w:hAnsi="Arial Narrow" w:cs="Arial"/>
                <w:sz w:val="18"/>
                <w:szCs w:val="18"/>
              </w:rPr>
            </w:pP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14</w:t>
            </w:r>
          </w:p>
        </w:tc>
        <w:tc>
          <w:tcPr>
            <w:tcW w:w="956"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17</w:t>
            </w:r>
          </w:p>
        </w:tc>
      </w:tr>
      <w:tr w:rsidR="002C5D9C" w:rsidRPr="00BD0B47" w:rsidTr="000A52C9">
        <w:trPr>
          <w:trHeight w:val="255"/>
        </w:trPr>
        <w:tc>
          <w:tcPr>
            <w:tcW w:w="2496" w:type="dxa"/>
            <w:tcBorders>
              <w:top w:val="nil"/>
              <w:left w:val="nil"/>
              <w:bottom w:val="nil"/>
              <w:right w:val="nil"/>
            </w:tcBorders>
            <w:shd w:val="clear" w:color="auto" w:fill="auto"/>
            <w:noWrap/>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Private renting</w:t>
            </w:r>
          </w:p>
        </w:tc>
        <w:tc>
          <w:tcPr>
            <w:tcW w:w="958"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14</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11</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19</w:t>
            </w:r>
          </w:p>
        </w:tc>
        <w:tc>
          <w:tcPr>
            <w:tcW w:w="956"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14</w:t>
            </w:r>
          </w:p>
        </w:tc>
      </w:tr>
      <w:tr w:rsidR="002C5D9C" w:rsidRPr="00BD0B47" w:rsidTr="000A52C9">
        <w:trPr>
          <w:trHeight w:val="255"/>
        </w:trPr>
        <w:tc>
          <w:tcPr>
            <w:tcW w:w="2496" w:type="dxa"/>
            <w:tcBorders>
              <w:top w:val="nil"/>
              <w:left w:val="nil"/>
              <w:bottom w:val="nil"/>
              <w:right w:val="nil"/>
            </w:tcBorders>
            <w:shd w:val="clear" w:color="auto" w:fill="auto"/>
            <w:noWrap/>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Social/public housing</w:t>
            </w:r>
          </w:p>
        </w:tc>
        <w:tc>
          <w:tcPr>
            <w:tcW w:w="958"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17</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13</w:t>
            </w:r>
          </w:p>
        </w:tc>
        <w:tc>
          <w:tcPr>
            <w:tcW w:w="955"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5</w:t>
            </w:r>
          </w:p>
        </w:tc>
        <w:tc>
          <w:tcPr>
            <w:tcW w:w="956" w:type="dxa"/>
            <w:tcBorders>
              <w:top w:val="nil"/>
              <w:left w:val="nil"/>
              <w:bottom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14</w:t>
            </w:r>
          </w:p>
        </w:tc>
      </w:tr>
      <w:tr w:rsidR="002C5D9C" w:rsidRPr="00BD0B47" w:rsidTr="000A52C9">
        <w:trPr>
          <w:trHeight w:val="255"/>
        </w:trPr>
        <w:tc>
          <w:tcPr>
            <w:tcW w:w="2496" w:type="dxa"/>
            <w:tcBorders>
              <w:top w:val="nil"/>
              <w:left w:val="nil"/>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Other</w:t>
            </w:r>
          </w:p>
        </w:tc>
        <w:tc>
          <w:tcPr>
            <w:tcW w:w="958"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1</w:t>
            </w:r>
          </w:p>
        </w:tc>
        <w:tc>
          <w:tcPr>
            <w:tcW w:w="955" w:type="dxa"/>
            <w:tcBorders>
              <w:top w:val="nil"/>
              <w:left w:val="nil"/>
              <w:right w:val="nil"/>
            </w:tcBorders>
            <w:shd w:val="clear" w:color="auto" w:fill="auto"/>
            <w:noWrap/>
            <w:vAlign w:val="bottom"/>
          </w:tcPr>
          <w:p w:rsidR="002C5D9C" w:rsidRDefault="002C5D9C" w:rsidP="000A52C9">
            <w:pPr>
              <w:jc w:val="right"/>
              <w:rPr>
                <w:rFonts w:ascii="Arial Narrow" w:hAnsi="Arial Narrow" w:cs="Arial"/>
                <w:sz w:val="18"/>
                <w:szCs w:val="18"/>
              </w:rPr>
            </w:pPr>
            <w:r>
              <w:rPr>
                <w:rFonts w:ascii="Arial Narrow" w:hAnsi="Arial Narrow" w:cs="Arial"/>
                <w:sz w:val="18"/>
                <w:szCs w:val="18"/>
              </w:rPr>
              <w:t>4</w:t>
            </w:r>
          </w:p>
        </w:tc>
        <w:tc>
          <w:tcPr>
            <w:tcW w:w="955" w:type="dxa"/>
            <w:tcBorders>
              <w:top w:val="nil"/>
              <w:left w:val="nil"/>
              <w:right w:val="nil"/>
            </w:tcBorders>
            <w:shd w:val="clear" w:color="auto" w:fill="auto"/>
            <w:noWrap/>
            <w:vAlign w:val="bottom"/>
          </w:tcPr>
          <w:p w:rsidR="002C5D9C" w:rsidRDefault="002C5D9C" w:rsidP="000A52C9">
            <w:pPr>
              <w:rPr>
                <w:rFonts w:ascii="Arial Narrow" w:hAnsi="Arial Narrow" w:cs="Arial"/>
                <w:sz w:val="18"/>
                <w:szCs w:val="18"/>
              </w:rPr>
            </w:pPr>
          </w:p>
        </w:tc>
        <w:tc>
          <w:tcPr>
            <w:tcW w:w="956" w:type="dxa"/>
            <w:tcBorders>
              <w:top w:val="nil"/>
              <w:left w:val="nil"/>
              <w:right w:val="nil"/>
            </w:tcBorders>
            <w:shd w:val="clear" w:color="auto" w:fill="auto"/>
            <w:noWrap/>
            <w:vAlign w:val="bottom"/>
          </w:tcPr>
          <w:p w:rsidR="002C5D9C" w:rsidRDefault="002C5D9C" w:rsidP="000A52C9">
            <w:pPr>
              <w:rPr>
                <w:rFonts w:ascii="Arial Narrow" w:hAnsi="Arial Narrow" w:cs="Arial"/>
                <w:sz w:val="18"/>
                <w:szCs w:val="18"/>
              </w:rPr>
            </w:pPr>
          </w:p>
        </w:tc>
      </w:tr>
      <w:tr w:rsidR="002C5D9C" w:rsidRPr="00BD0B47" w:rsidTr="000A52C9">
        <w:trPr>
          <w:trHeight w:val="255"/>
        </w:trPr>
        <w:tc>
          <w:tcPr>
            <w:tcW w:w="2496" w:type="dxa"/>
            <w:tcBorders>
              <w:top w:val="nil"/>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Total</w:t>
            </w:r>
          </w:p>
        </w:tc>
        <w:tc>
          <w:tcPr>
            <w:tcW w:w="958"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c>
          <w:tcPr>
            <w:tcW w:w="956"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100</w:t>
            </w:r>
          </w:p>
        </w:tc>
      </w:tr>
    </w:tbl>
    <w:p w:rsidR="002C5D9C" w:rsidRPr="00BD0B47" w:rsidRDefault="002C5D9C" w:rsidP="002C5D9C">
      <w:pPr>
        <w:rPr>
          <w:rFonts w:ascii="Arial Narrow" w:hAnsi="Arial Narrow" w:cs="Arial"/>
          <w:sz w:val="18"/>
          <w:szCs w:val="18"/>
          <w:lang w:val="en-GB"/>
        </w:rPr>
      </w:pPr>
      <w:r w:rsidRPr="00BD0B47">
        <w:rPr>
          <w:rFonts w:ascii="Arial Narrow" w:hAnsi="Arial Narrow" w:cs="Arial"/>
          <w:b/>
          <w:sz w:val="18"/>
          <w:szCs w:val="18"/>
          <w:lang w:val="en-GB"/>
        </w:rPr>
        <w:t>Year and sources</w:t>
      </w:r>
      <w:r w:rsidRPr="00BD0B47">
        <w:rPr>
          <w:rFonts w:ascii="Arial Narrow" w:hAnsi="Arial Narrow" w:cs="Arial"/>
          <w:sz w:val="18"/>
          <w:szCs w:val="18"/>
          <w:lang w:val="en-GB"/>
        </w:rPr>
        <w:t>:</w:t>
      </w:r>
    </w:p>
    <w:p w:rsidR="002C5D9C" w:rsidRPr="00BD0B47" w:rsidRDefault="002C5D9C" w:rsidP="002C5D9C">
      <w:pPr>
        <w:rPr>
          <w:rFonts w:ascii="Arial Narrow" w:hAnsi="Arial Narrow" w:cs="Arial"/>
          <w:sz w:val="18"/>
          <w:szCs w:val="18"/>
          <w:lang w:val="en-GB"/>
        </w:rPr>
      </w:pPr>
      <w:r w:rsidRPr="00BD0B47">
        <w:rPr>
          <w:rFonts w:ascii="Arial Narrow" w:hAnsi="Arial Narrow" w:cs="Arial"/>
          <w:sz w:val="18"/>
          <w:szCs w:val="18"/>
          <w:lang w:val="en-GB"/>
        </w:rPr>
        <w:t>Denmark</w:t>
      </w:r>
      <w:r>
        <w:rPr>
          <w:rFonts w:ascii="Arial Narrow" w:hAnsi="Arial Narrow" w:cs="Arial"/>
          <w:sz w:val="18"/>
          <w:szCs w:val="18"/>
          <w:lang w:val="en-GB"/>
        </w:rPr>
        <w:t>:</w:t>
      </w:r>
      <w:r w:rsidRPr="00BD0B47">
        <w:rPr>
          <w:rFonts w:ascii="Arial Narrow" w:hAnsi="Arial Narrow" w:cs="Arial"/>
          <w:sz w:val="18"/>
          <w:szCs w:val="18"/>
          <w:lang w:val="en-GB"/>
        </w:rPr>
        <w:t xml:space="preserve"> 2008</w:t>
      </w:r>
      <w:r>
        <w:rPr>
          <w:rFonts w:ascii="Arial Narrow" w:hAnsi="Arial Narrow" w:cs="Arial"/>
          <w:sz w:val="18"/>
          <w:szCs w:val="18"/>
          <w:lang w:val="en-GB"/>
        </w:rPr>
        <w:t>,</w:t>
      </w:r>
      <w:r w:rsidRPr="00BD0B47">
        <w:rPr>
          <w:rFonts w:ascii="Arial Narrow" w:hAnsi="Arial Narrow" w:cs="Arial"/>
          <w:sz w:val="18"/>
          <w:szCs w:val="18"/>
          <w:lang w:val="en-GB"/>
        </w:rPr>
        <w:t xml:space="preserve"> Database at </w:t>
      </w:r>
      <w:r>
        <w:rPr>
          <w:rFonts w:ascii="Arial Narrow" w:hAnsi="Arial Narrow" w:cs="Arial"/>
          <w:sz w:val="18"/>
          <w:szCs w:val="18"/>
          <w:lang w:val="en-GB"/>
        </w:rPr>
        <w:t xml:space="preserve">the </w:t>
      </w:r>
      <w:r w:rsidRPr="00BD0B47">
        <w:rPr>
          <w:rFonts w:ascii="Arial Narrow" w:hAnsi="Arial Narrow" w:cs="Arial"/>
          <w:sz w:val="18"/>
          <w:szCs w:val="18"/>
          <w:lang w:val="en-GB"/>
        </w:rPr>
        <w:t>Danish Building Research Institute</w:t>
      </w:r>
      <w:r>
        <w:rPr>
          <w:rFonts w:ascii="Arial Narrow" w:hAnsi="Arial Narrow" w:cs="Arial"/>
          <w:sz w:val="18"/>
          <w:szCs w:val="18"/>
          <w:lang w:val="en-GB"/>
        </w:rPr>
        <w:t xml:space="preserve"> based on data from Statistics</w:t>
      </w:r>
      <w:r w:rsidRPr="009B33A3">
        <w:rPr>
          <w:rFonts w:ascii="Arial Narrow" w:hAnsi="Arial Narrow" w:cs="Arial"/>
          <w:sz w:val="18"/>
          <w:szCs w:val="18"/>
          <w:lang w:val="en-GB"/>
        </w:rPr>
        <w:t xml:space="preserve"> </w:t>
      </w:r>
      <w:r>
        <w:rPr>
          <w:rFonts w:ascii="Arial Narrow" w:hAnsi="Arial Narrow" w:cs="Arial"/>
          <w:sz w:val="18"/>
          <w:szCs w:val="18"/>
          <w:lang w:val="en-GB"/>
        </w:rPr>
        <w:t>Denmark</w:t>
      </w:r>
    </w:p>
    <w:p w:rsidR="002C5D9C" w:rsidRPr="00BD0B47" w:rsidRDefault="002C5D9C" w:rsidP="002C5D9C">
      <w:pPr>
        <w:rPr>
          <w:rFonts w:ascii="Arial Narrow" w:hAnsi="Arial Narrow" w:cs="Arial"/>
          <w:sz w:val="18"/>
          <w:szCs w:val="18"/>
          <w:lang w:val="en-GB"/>
        </w:rPr>
      </w:pPr>
      <w:smartTag w:uri="urn:schemas-microsoft-com:office:smarttags" w:element="country-region">
        <w:r w:rsidRPr="00BD0B47">
          <w:rPr>
            <w:rFonts w:ascii="Arial Narrow" w:hAnsi="Arial Narrow" w:cs="Arial"/>
            <w:sz w:val="18"/>
            <w:szCs w:val="18"/>
            <w:lang w:val="en-GB"/>
          </w:rPr>
          <w:t>Finland</w:t>
        </w:r>
      </w:smartTag>
      <w:r w:rsidRPr="00BD0B47">
        <w:rPr>
          <w:rFonts w:ascii="Arial Narrow" w:hAnsi="Arial Narrow" w:cs="Arial"/>
          <w:sz w:val="18"/>
          <w:szCs w:val="18"/>
          <w:lang w:val="en-GB"/>
        </w:rPr>
        <w:t xml:space="preserve">: 2010, Statistics </w:t>
      </w:r>
      <w:smartTag w:uri="urn:schemas-microsoft-com:office:smarttags" w:element="place">
        <w:smartTag w:uri="urn:schemas-microsoft-com:office:smarttags" w:element="country-region">
          <w:r w:rsidRPr="00BD0B47">
            <w:rPr>
              <w:rFonts w:ascii="Arial Narrow" w:hAnsi="Arial Narrow" w:cs="Arial"/>
              <w:sz w:val="18"/>
              <w:szCs w:val="18"/>
              <w:lang w:val="en-GB"/>
            </w:rPr>
            <w:t>Finland</w:t>
          </w:r>
        </w:smartTag>
      </w:smartTag>
    </w:p>
    <w:p w:rsidR="002C5D9C" w:rsidRPr="00253A76" w:rsidRDefault="002C5D9C" w:rsidP="002C5D9C">
      <w:pPr>
        <w:rPr>
          <w:rFonts w:ascii="Arial Narrow" w:hAnsi="Arial Narrow" w:cs="Arial"/>
          <w:sz w:val="18"/>
          <w:szCs w:val="18"/>
          <w:lang w:val="en-GB"/>
        </w:rPr>
      </w:pPr>
      <w:smartTag w:uri="urn:schemas-microsoft-com:office:smarttags" w:element="country-region">
        <w:smartTag w:uri="urn:schemas-microsoft-com:office:smarttags" w:element="place">
          <w:r w:rsidRPr="00253A76">
            <w:rPr>
              <w:rFonts w:ascii="Arial Narrow" w:hAnsi="Arial Narrow" w:cs="Arial"/>
              <w:sz w:val="18"/>
              <w:szCs w:val="18"/>
              <w:lang w:val="en-GB"/>
            </w:rPr>
            <w:t>Norway</w:t>
          </w:r>
        </w:smartTag>
      </w:smartTag>
      <w:r w:rsidRPr="00253A76">
        <w:rPr>
          <w:rFonts w:ascii="Arial Narrow" w:hAnsi="Arial Narrow" w:cs="Arial"/>
          <w:sz w:val="18"/>
          <w:szCs w:val="18"/>
          <w:lang w:val="en-GB"/>
        </w:rPr>
        <w:t xml:space="preserve">: </w:t>
      </w:r>
      <w:r w:rsidRPr="00253A76">
        <w:rPr>
          <w:rFonts w:ascii="Arial Narrow" w:hAnsi="Arial Narrow" w:cs="Courier New"/>
          <w:sz w:val="18"/>
          <w:szCs w:val="18"/>
          <w:lang w:val="en-GB"/>
        </w:rPr>
        <w:t xml:space="preserve">Living conditions among immigrants in Norway 2005/2006 and </w:t>
      </w:r>
      <w:r>
        <w:rPr>
          <w:rFonts w:ascii="Arial Narrow" w:hAnsi="Arial Narrow" w:cs="Courier New"/>
          <w:sz w:val="18"/>
          <w:szCs w:val="18"/>
          <w:lang w:val="en-GB"/>
        </w:rPr>
        <w:t>l</w:t>
      </w:r>
      <w:r w:rsidRPr="00253A76">
        <w:rPr>
          <w:rFonts w:ascii="Arial Narrow" w:hAnsi="Arial Narrow" w:cs="Courier New"/>
          <w:sz w:val="18"/>
          <w:szCs w:val="18"/>
          <w:lang w:val="en-GB"/>
        </w:rPr>
        <w:t>iving conditions among the whole population 2007, survey data Statistics Norway</w:t>
      </w:r>
    </w:p>
    <w:p w:rsidR="002C5D9C" w:rsidRPr="00BD0B47" w:rsidRDefault="002C5D9C" w:rsidP="002C5D9C">
      <w:pPr>
        <w:rPr>
          <w:rFonts w:cs="Arial"/>
          <w:lang w:val="en-GB"/>
        </w:rPr>
      </w:pPr>
      <w:smartTag w:uri="urn:schemas-microsoft-com:office:smarttags" w:element="place">
        <w:smartTag w:uri="urn:schemas-microsoft-com:office:smarttags" w:element="country-region">
          <w:r w:rsidRPr="00BD0B47">
            <w:rPr>
              <w:rFonts w:ascii="Arial Narrow" w:hAnsi="Arial Narrow" w:cs="Arial"/>
              <w:sz w:val="18"/>
              <w:szCs w:val="18"/>
              <w:lang w:val="en-GB"/>
            </w:rPr>
            <w:t>Sweden</w:t>
          </w:r>
        </w:smartTag>
      </w:smartTag>
      <w:r>
        <w:rPr>
          <w:rFonts w:ascii="Arial Narrow" w:hAnsi="Arial Narrow" w:cs="Arial"/>
          <w:sz w:val="18"/>
          <w:szCs w:val="18"/>
          <w:lang w:val="en-GB"/>
        </w:rPr>
        <w:t xml:space="preserve"> </w:t>
      </w:r>
      <w:proofErr w:type="spellStart"/>
      <w:r>
        <w:rPr>
          <w:rFonts w:ascii="Arial Narrow" w:hAnsi="Arial Narrow" w:cs="Arial"/>
          <w:sz w:val="18"/>
          <w:szCs w:val="18"/>
          <w:lang w:val="en-GB"/>
        </w:rPr>
        <w:t>GeoSweden</w:t>
      </w:r>
      <w:proofErr w:type="spellEnd"/>
      <w:r>
        <w:rPr>
          <w:rFonts w:ascii="Arial Narrow" w:hAnsi="Arial Narrow" w:cs="Arial"/>
          <w:sz w:val="18"/>
          <w:szCs w:val="18"/>
          <w:lang w:val="en-GB"/>
        </w:rPr>
        <w:t xml:space="preserve"> 2008</w:t>
      </w:r>
    </w:p>
    <w:p w:rsidR="002C5D9C" w:rsidRPr="00BD0B47" w:rsidRDefault="002C5D9C" w:rsidP="002C5D9C">
      <w:pPr>
        <w:rPr>
          <w:rFonts w:cs="Arial"/>
          <w:lang w:val="en-GB"/>
        </w:rPr>
      </w:pPr>
    </w:p>
    <w:p w:rsidR="002C5D9C" w:rsidRPr="00BD0B47" w:rsidRDefault="002C5D9C" w:rsidP="002C5D9C">
      <w:pPr>
        <w:pStyle w:val="Billedtekst"/>
        <w:rPr>
          <w:rFonts w:ascii="Arial Narrow" w:hAnsi="Arial Narrow" w:cs="Arial"/>
          <w:lang w:val="en-GB"/>
        </w:rPr>
      </w:pPr>
      <w:proofErr w:type="gramStart"/>
      <w:r w:rsidRPr="00450822">
        <w:rPr>
          <w:lang w:val="en-GB"/>
        </w:rPr>
        <w:t>Table</w:t>
      </w:r>
      <w:r w:rsidRPr="00105EAA">
        <w:rPr>
          <w:lang w:val="en-US"/>
        </w:rPr>
        <w:t xml:space="preserve"> 9</w:t>
      </w:r>
      <w:r w:rsidRPr="004772DE">
        <w:rPr>
          <w:lang w:val="en-GB"/>
        </w:rPr>
        <w:t>.</w:t>
      </w:r>
      <w:proofErr w:type="gramEnd"/>
      <w:r w:rsidRPr="00450822">
        <w:rPr>
          <w:lang w:val="en-GB"/>
        </w:rPr>
        <w:t xml:space="preserve"> </w:t>
      </w:r>
      <w:r>
        <w:rPr>
          <w:rFonts w:ascii="Arial Narrow" w:hAnsi="Arial Narrow" w:cs="Arial"/>
          <w:lang w:val="en-GB"/>
        </w:rPr>
        <w:t>Immigrants’ over</w:t>
      </w:r>
      <w:r w:rsidRPr="00BD0B47">
        <w:rPr>
          <w:rFonts w:ascii="Arial Narrow" w:hAnsi="Arial Narrow" w:cs="Arial"/>
          <w:lang w:val="en-GB"/>
        </w:rPr>
        <w:t xml:space="preserve">representation in the tenure and a calculated index of </w:t>
      </w:r>
      <w:r>
        <w:rPr>
          <w:rFonts w:ascii="Arial Narrow" w:hAnsi="Arial Narrow" w:cs="Arial"/>
          <w:lang w:val="en-GB"/>
        </w:rPr>
        <w:t xml:space="preserve">tenure </w:t>
      </w:r>
      <w:r w:rsidRPr="00BD0B47">
        <w:rPr>
          <w:rFonts w:ascii="Arial Narrow" w:hAnsi="Arial Narrow" w:cs="Arial"/>
          <w:lang w:val="en-GB"/>
        </w:rPr>
        <w:t>segmentation</w:t>
      </w:r>
    </w:p>
    <w:tbl>
      <w:tblPr>
        <w:tblW w:w="5980" w:type="dxa"/>
        <w:tblInd w:w="70" w:type="dxa"/>
        <w:tblCellMar>
          <w:left w:w="70" w:type="dxa"/>
          <w:right w:w="70" w:type="dxa"/>
        </w:tblCellMar>
        <w:tblLook w:val="0000" w:firstRow="0" w:lastRow="0" w:firstColumn="0" w:lastColumn="0" w:noHBand="0" w:noVBand="0"/>
      </w:tblPr>
      <w:tblGrid>
        <w:gridCol w:w="2156"/>
        <w:gridCol w:w="958"/>
        <w:gridCol w:w="955"/>
        <w:gridCol w:w="955"/>
        <w:gridCol w:w="956"/>
      </w:tblGrid>
      <w:tr w:rsidR="002C5D9C" w:rsidRPr="00BD0B47" w:rsidTr="000A52C9">
        <w:trPr>
          <w:trHeight w:val="255"/>
        </w:trPr>
        <w:tc>
          <w:tcPr>
            <w:tcW w:w="2156" w:type="dxa"/>
            <w:tcBorders>
              <w:top w:val="single" w:sz="4" w:space="0" w:color="auto"/>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 </w:t>
            </w:r>
          </w:p>
        </w:tc>
        <w:tc>
          <w:tcPr>
            <w:tcW w:w="958" w:type="dxa"/>
            <w:tcBorders>
              <w:top w:val="single" w:sz="4" w:space="0" w:color="auto"/>
              <w:left w:val="nil"/>
              <w:bottom w:val="single" w:sz="4" w:space="0" w:color="auto"/>
              <w:right w:val="nil"/>
            </w:tcBorders>
            <w:shd w:val="clear" w:color="auto" w:fill="auto"/>
            <w:noWrap/>
          </w:tcPr>
          <w:p w:rsidR="002C5D9C" w:rsidRPr="00BD0B4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BD0B47">
                  <w:rPr>
                    <w:rFonts w:ascii="Arial Narrow" w:hAnsi="Arial Narrow" w:cs="Arial"/>
                    <w:sz w:val="18"/>
                    <w:szCs w:val="18"/>
                    <w:lang w:val="en-GB"/>
                  </w:rPr>
                  <w:t>Denmark</w:t>
                </w:r>
              </w:smartTag>
            </w:smartTag>
          </w:p>
        </w:tc>
        <w:tc>
          <w:tcPr>
            <w:tcW w:w="955" w:type="dxa"/>
            <w:tcBorders>
              <w:top w:val="single" w:sz="4" w:space="0" w:color="auto"/>
              <w:left w:val="nil"/>
              <w:bottom w:val="single" w:sz="4" w:space="0" w:color="auto"/>
              <w:right w:val="nil"/>
            </w:tcBorders>
            <w:shd w:val="clear" w:color="auto" w:fill="auto"/>
            <w:noWrap/>
          </w:tcPr>
          <w:p w:rsidR="002C5D9C" w:rsidRPr="00BD0B4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BD0B47">
                  <w:rPr>
                    <w:rFonts w:ascii="Arial Narrow" w:hAnsi="Arial Narrow" w:cs="Arial"/>
                    <w:sz w:val="18"/>
                    <w:szCs w:val="18"/>
                    <w:lang w:val="en-GB"/>
                  </w:rPr>
                  <w:t>Finland</w:t>
                </w:r>
              </w:smartTag>
            </w:smartTag>
          </w:p>
        </w:tc>
        <w:tc>
          <w:tcPr>
            <w:tcW w:w="955" w:type="dxa"/>
            <w:tcBorders>
              <w:top w:val="single" w:sz="4" w:space="0" w:color="auto"/>
              <w:left w:val="nil"/>
              <w:bottom w:val="single" w:sz="4" w:space="0" w:color="auto"/>
              <w:right w:val="nil"/>
            </w:tcBorders>
            <w:shd w:val="clear" w:color="auto" w:fill="auto"/>
            <w:noWrap/>
          </w:tcPr>
          <w:p w:rsidR="002C5D9C" w:rsidRPr="00BD0B4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BD0B47">
                  <w:rPr>
                    <w:rFonts w:ascii="Arial Narrow" w:hAnsi="Arial Narrow" w:cs="Arial"/>
                    <w:sz w:val="18"/>
                    <w:szCs w:val="18"/>
                    <w:lang w:val="en-GB"/>
                  </w:rPr>
                  <w:t>Norway</w:t>
                </w:r>
              </w:smartTag>
            </w:smartTag>
          </w:p>
        </w:tc>
        <w:tc>
          <w:tcPr>
            <w:tcW w:w="956" w:type="dxa"/>
            <w:tcBorders>
              <w:top w:val="single" w:sz="4" w:space="0" w:color="auto"/>
              <w:left w:val="nil"/>
              <w:bottom w:val="single" w:sz="4" w:space="0" w:color="auto"/>
              <w:right w:val="nil"/>
            </w:tcBorders>
            <w:shd w:val="clear" w:color="auto" w:fill="auto"/>
            <w:noWrap/>
          </w:tcPr>
          <w:p w:rsidR="002C5D9C" w:rsidRPr="00BD0B47"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BD0B47">
                  <w:rPr>
                    <w:rFonts w:ascii="Arial Narrow" w:hAnsi="Arial Narrow" w:cs="Arial"/>
                    <w:sz w:val="18"/>
                    <w:szCs w:val="18"/>
                    <w:lang w:val="en-GB"/>
                  </w:rPr>
                  <w:t>Sweden</w:t>
                </w:r>
              </w:smartTag>
            </w:smartTag>
          </w:p>
        </w:tc>
      </w:tr>
      <w:tr w:rsidR="002C5D9C" w:rsidRPr="00BD0B47" w:rsidTr="000A52C9">
        <w:trPr>
          <w:trHeight w:val="255"/>
        </w:trPr>
        <w:tc>
          <w:tcPr>
            <w:tcW w:w="2156" w:type="dxa"/>
            <w:tcBorders>
              <w:top w:val="nil"/>
              <w:left w:val="nil"/>
              <w:bottom w:val="nil"/>
              <w:right w:val="nil"/>
            </w:tcBorders>
            <w:shd w:val="clear" w:color="auto" w:fill="auto"/>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Owner-occupied</w:t>
            </w:r>
          </w:p>
        </w:tc>
        <w:tc>
          <w:tcPr>
            <w:tcW w:w="958"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-51</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-57</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-27</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-45</w:t>
            </w:r>
          </w:p>
        </w:tc>
      </w:tr>
      <w:tr w:rsidR="002C5D9C" w:rsidRPr="00BD0B47" w:rsidTr="000A52C9">
        <w:trPr>
          <w:trHeight w:val="255"/>
        </w:trPr>
        <w:tc>
          <w:tcPr>
            <w:tcW w:w="2156" w:type="dxa"/>
            <w:tcBorders>
              <w:top w:val="nil"/>
              <w:left w:val="nil"/>
              <w:bottom w:val="nil"/>
              <w:right w:val="nil"/>
            </w:tcBorders>
            <w:shd w:val="clear" w:color="auto" w:fill="auto"/>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Cooperatives</w:t>
            </w:r>
          </w:p>
        </w:tc>
        <w:tc>
          <w:tcPr>
            <w:tcW w:w="958" w:type="dxa"/>
            <w:tcBorders>
              <w:top w:val="nil"/>
              <w:left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w:t>
            </w:r>
          </w:p>
        </w:tc>
        <w:tc>
          <w:tcPr>
            <w:tcW w:w="955" w:type="dxa"/>
            <w:tcBorders>
              <w:top w:val="nil"/>
              <w:left w:val="nil"/>
              <w:bottom w:val="nil"/>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29</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37</w:t>
            </w:r>
          </w:p>
        </w:tc>
      </w:tr>
      <w:tr w:rsidR="002C5D9C" w:rsidRPr="00BD0B47" w:rsidTr="000A52C9">
        <w:trPr>
          <w:trHeight w:val="255"/>
        </w:trPr>
        <w:tc>
          <w:tcPr>
            <w:tcW w:w="2156" w:type="dxa"/>
            <w:tcBorders>
              <w:top w:val="nil"/>
              <w:left w:val="nil"/>
              <w:bottom w:val="nil"/>
              <w:right w:val="nil"/>
            </w:tcBorders>
            <w:shd w:val="clear" w:color="auto" w:fill="auto"/>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Private renting</w:t>
            </w:r>
          </w:p>
        </w:tc>
        <w:tc>
          <w:tcPr>
            <w:tcW w:w="958"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18</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91</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26</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89</w:t>
            </w:r>
          </w:p>
        </w:tc>
      </w:tr>
      <w:tr w:rsidR="002C5D9C" w:rsidRPr="00BD0B47" w:rsidTr="000A52C9">
        <w:trPr>
          <w:trHeight w:val="255"/>
        </w:trPr>
        <w:tc>
          <w:tcPr>
            <w:tcW w:w="2156" w:type="dxa"/>
            <w:tcBorders>
              <w:top w:val="nil"/>
              <w:left w:val="nil"/>
              <w:bottom w:val="nil"/>
              <w:right w:val="nil"/>
            </w:tcBorders>
            <w:shd w:val="clear" w:color="auto" w:fill="auto"/>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Social/public housing</w:t>
            </w:r>
          </w:p>
        </w:tc>
        <w:tc>
          <w:tcPr>
            <w:tcW w:w="958"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166</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222</w:t>
            </w:r>
          </w:p>
        </w:tc>
        <w:tc>
          <w:tcPr>
            <w:tcW w:w="955"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160</w:t>
            </w:r>
          </w:p>
        </w:tc>
        <w:tc>
          <w:tcPr>
            <w:tcW w:w="956" w:type="dxa"/>
            <w:tcBorders>
              <w:top w:val="nil"/>
              <w:left w:val="nil"/>
              <w:bottom w:val="nil"/>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45</w:t>
            </w:r>
          </w:p>
        </w:tc>
      </w:tr>
      <w:tr w:rsidR="002C5D9C" w:rsidRPr="00BD0B47" w:rsidTr="000A52C9">
        <w:trPr>
          <w:trHeight w:val="255"/>
        </w:trPr>
        <w:tc>
          <w:tcPr>
            <w:tcW w:w="2156" w:type="dxa"/>
            <w:tcBorders>
              <w:top w:val="nil"/>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Other</w:t>
            </w:r>
          </w:p>
        </w:tc>
        <w:tc>
          <w:tcPr>
            <w:tcW w:w="958"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113</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sz w:val="18"/>
                <w:szCs w:val="18"/>
                <w:lang w:val="en-GB"/>
              </w:rPr>
            </w:pPr>
            <w:r w:rsidRPr="00BD0B47">
              <w:rPr>
                <w:rFonts w:ascii="Arial Narrow" w:hAnsi="Arial Narrow" w:cs="Arial"/>
                <w:sz w:val="18"/>
                <w:szCs w:val="18"/>
                <w:lang w:val="en-GB"/>
              </w:rPr>
              <w:t>40</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 </w:t>
            </w:r>
          </w:p>
        </w:tc>
        <w:tc>
          <w:tcPr>
            <w:tcW w:w="956" w:type="dxa"/>
            <w:tcBorders>
              <w:top w:val="nil"/>
              <w:left w:val="nil"/>
              <w:bottom w:val="single" w:sz="4" w:space="0" w:color="auto"/>
              <w:right w:val="nil"/>
            </w:tcBorders>
            <w:shd w:val="clear" w:color="auto" w:fill="auto"/>
            <w:noWrap/>
            <w:vAlign w:val="bottom"/>
          </w:tcPr>
          <w:p w:rsidR="002C5D9C" w:rsidRPr="00BD0B47" w:rsidRDefault="002C5D9C" w:rsidP="000A52C9">
            <w:pPr>
              <w:rPr>
                <w:rFonts w:ascii="Arial Narrow" w:hAnsi="Arial Narrow" w:cs="Arial"/>
                <w:sz w:val="18"/>
                <w:szCs w:val="18"/>
                <w:lang w:val="en-GB"/>
              </w:rPr>
            </w:pPr>
            <w:r w:rsidRPr="00BD0B47">
              <w:rPr>
                <w:rFonts w:ascii="Arial Narrow" w:hAnsi="Arial Narrow" w:cs="Arial"/>
                <w:sz w:val="18"/>
                <w:szCs w:val="18"/>
                <w:lang w:val="en-GB"/>
              </w:rPr>
              <w:t> </w:t>
            </w:r>
          </w:p>
        </w:tc>
      </w:tr>
      <w:tr w:rsidR="002C5D9C" w:rsidRPr="00BD0B47" w:rsidTr="000A52C9">
        <w:trPr>
          <w:trHeight w:val="64"/>
        </w:trPr>
        <w:tc>
          <w:tcPr>
            <w:tcW w:w="2156" w:type="dxa"/>
            <w:tcBorders>
              <w:top w:val="nil"/>
              <w:left w:val="nil"/>
              <w:bottom w:val="single" w:sz="4" w:space="0" w:color="auto"/>
              <w:right w:val="nil"/>
            </w:tcBorders>
            <w:shd w:val="clear" w:color="auto" w:fill="auto"/>
          </w:tcPr>
          <w:p w:rsidR="002C5D9C" w:rsidRPr="00BD0B47" w:rsidRDefault="002C5D9C" w:rsidP="000A52C9">
            <w:pPr>
              <w:rPr>
                <w:rFonts w:ascii="Arial Narrow" w:hAnsi="Arial Narrow" w:cs="Arial"/>
                <w:b/>
                <w:bCs/>
                <w:sz w:val="18"/>
                <w:szCs w:val="18"/>
                <w:lang w:val="en-GB"/>
              </w:rPr>
            </w:pPr>
            <w:r w:rsidRPr="00BD0B47">
              <w:rPr>
                <w:rFonts w:ascii="Arial Narrow" w:hAnsi="Arial Narrow" w:cs="Arial"/>
                <w:b/>
                <w:bCs/>
                <w:sz w:val="18"/>
                <w:szCs w:val="18"/>
                <w:lang w:val="en-GB"/>
              </w:rPr>
              <w:t>Index of segmentation</w:t>
            </w:r>
          </w:p>
        </w:tc>
        <w:tc>
          <w:tcPr>
            <w:tcW w:w="958"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b/>
                <w:bCs/>
                <w:sz w:val="18"/>
                <w:szCs w:val="18"/>
                <w:lang w:val="en-GB"/>
              </w:rPr>
            </w:pPr>
            <w:r w:rsidRPr="00BD0B47">
              <w:rPr>
                <w:rFonts w:ascii="Arial Narrow" w:hAnsi="Arial Narrow" w:cs="Arial"/>
                <w:b/>
                <w:bCs/>
                <w:sz w:val="18"/>
                <w:szCs w:val="18"/>
                <w:lang w:val="en-GB"/>
              </w:rPr>
              <w:t>63</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b/>
                <w:bCs/>
                <w:sz w:val="18"/>
                <w:szCs w:val="18"/>
                <w:lang w:val="en-GB"/>
              </w:rPr>
            </w:pPr>
            <w:r w:rsidRPr="00BD0B47">
              <w:rPr>
                <w:rFonts w:ascii="Arial Narrow" w:hAnsi="Arial Narrow" w:cs="Arial"/>
                <w:b/>
                <w:bCs/>
                <w:sz w:val="18"/>
                <w:szCs w:val="18"/>
                <w:lang w:val="en-GB"/>
              </w:rPr>
              <w:t>81</w:t>
            </w:r>
          </w:p>
        </w:tc>
        <w:tc>
          <w:tcPr>
            <w:tcW w:w="955"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b/>
                <w:bCs/>
                <w:sz w:val="18"/>
                <w:szCs w:val="18"/>
                <w:lang w:val="en-GB"/>
              </w:rPr>
            </w:pPr>
            <w:r w:rsidRPr="00BD0B47">
              <w:rPr>
                <w:rFonts w:ascii="Arial Narrow" w:hAnsi="Arial Narrow" w:cs="Arial"/>
                <w:b/>
                <w:bCs/>
                <w:sz w:val="18"/>
                <w:szCs w:val="18"/>
                <w:lang w:val="en-GB"/>
              </w:rPr>
              <w:t>34</w:t>
            </w:r>
          </w:p>
        </w:tc>
        <w:tc>
          <w:tcPr>
            <w:tcW w:w="956" w:type="dxa"/>
            <w:tcBorders>
              <w:top w:val="nil"/>
              <w:left w:val="nil"/>
              <w:bottom w:val="single" w:sz="4" w:space="0" w:color="auto"/>
              <w:right w:val="nil"/>
            </w:tcBorders>
            <w:shd w:val="clear" w:color="auto" w:fill="auto"/>
            <w:noWrap/>
            <w:vAlign w:val="bottom"/>
          </w:tcPr>
          <w:p w:rsidR="002C5D9C" w:rsidRPr="00BD0B47" w:rsidRDefault="002C5D9C" w:rsidP="000A52C9">
            <w:pPr>
              <w:jc w:val="right"/>
              <w:rPr>
                <w:rFonts w:ascii="Arial Narrow" w:hAnsi="Arial Narrow" w:cs="Arial"/>
                <w:b/>
                <w:bCs/>
                <w:sz w:val="18"/>
                <w:szCs w:val="18"/>
                <w:lang w:val="en-GB"/>
              </w:rPr>
            </w:pPr>
            <w:r w:rsidRPr="00BD0B47">
              <w:rPr>
                <w:rFonts w:ascii="Arial Narrow" w:hAnsi="Arial Narrow" w:cs="Arial"/>
                <w:b/>
                <w:bCs/>
                <w:sz w:val="18"/>
                <w:szCs w:val="18"/>
                <w:lang w:val="en-GB"/>
              </w:rPr>
              <w:t>50</w:t>
            </w:r>
          </w:p>
        </w:tc>
      </w:tr>
    </w:tbl>
    <w:p w:rsidR="002C5D9C" w:rsidRDefault="002C5D9C" w:rsidP="002C5D9C">
      <w:pPr>
        <w:rPr>
          <w:rFonts w:ascii="Arial Narrow" w:hAnsi="Arial Narrow" w:cs="Arial"/>
          <w:sz w:val="18"/>
          <w:szCs w:val="18"/>
          <w:lang w:val="en-GB"/>
        </w:rPr>
      </w:pPr>
      <w:r>
        <w:rPr>
          <w:rFonts w:ascii="Arial Narrow" w:hAnsi="Arial Narrow" w:cs="Arial"/>
          <w:sz w:val="18"/>
          <w:szCs w:val="18"/>
          <w:lang w:val="en-GB"/>
        </w:rPr>
        <w:t xml:space="preserve">Over representation= </w:t>
      </w:r>
      <w:r w:rsidRPr="007E393E">
        <w:rPr>
          <w:rFonts w:ascii="Arial Narrow" w:hAnsi="Arial Narrow" w:cs="Arial"/>
          <w:sz w:val="18"/>
          <w:szCs w:val="18"/>
          <w:lang w:val="en-GB"/>
        </w:rPr>
        <w:t>(</w:t>
      </w:r>
      <w:r>
        <w:rPr>
          <w:rFonts w:ascii="Arial Narrow" w:hAnsi="Arial Narrow" w:cs="Arial"/>
          <w:sz w:val="18"/>
          <w:szCs w:val="18"/>
          <w:lang w:val="en-GB"/>
        </w:rPr>
        <w:t>%</w:t>
      </w:r>
      <w:r w:rsidRPr="007E393E">
        <w:rPr>
          <w:rFonts w:ascii="Arial Narrow" w:hAnsi="Arial Narrow" w:cs="Arial"/>
          <w:sz w:val="18"/>
          <w:szCs w:val="18"/>
          <w:lang w:val="en-GB"/>
        </w:rPr>
        <w:t xml:space="preserve"> of immigrants in tenure x – </w:t>
      </w:r>
      <w:r>
        <w:rPr>
          <w:rFonts w:ascii="Arial Narrow" w:hAnsi="Arial Narrow" w:cs="Arial"/>
          <w:sz w:val="18"/>
          <w:szCs w:val="18"/>
          <w:lang w:val="en-GB"/>
        </w:rPr>
        <w:t>%</w:t>
      </w:r>
      <w:r w:rsidRPr="007E393E">
        <w:rPr>
          <w:rFonts w:ascii="Arial Narrow" w:hAnsi="Arial Narrow" w:cs="Arial"/>
          <w:sz w:val="18"/>
          <w:szCs w:val="18"/>
          <w:lang w:val="en-GB"/>
        </w:rPr>
        <w:t xml:space="preserve"> of whole population in tenure x</w:t>
      </w:r>
      <w:r>
        <w:rPr>
          <w:rFonts w:ascii="Arial Narrow" w:hAnsi="Arial Narrow" w:cs="Arial"/>
          <w:sz w:val="18"/>
          <w:szCs w:val="18"/>
          <w:lang w:val="en-GB"/>
        </w:rPr>
        <w:t>)/</w:t>
      </w:r>
      <w:r w:rsidRPr="00D06849">
        <w:rPr>
          <w:rFonts w:ascii="Arial Narrow" w:hAnsi="Arial Narrow" w:cs="Arial"/>
          <w:sz w:val="18"/>
          <w:szCs w:val="18"/>
          <w:lang w:val="en-GB"/>
        </w:rPr>
        <w:t xml:space="preserve"> </w:t>
      </w:r>
      <w:r>
        <w:rPr>
          <w:rFonts w:ascii="Arial Narrow" w:hAnsi="Arial Narrow" w:cs="Arial"/>
          <w:sz w:val="18"/>
          <w:szCs w:val="18"/>
          <w:lang w:val="en-GB"/>
        </w:rPr>
        <w:t>%</w:t>
      </w:r>
      <w:r w:rsidRPr="007E393E">
        <w:rPr>
          <w:rFonts w:ascii="Arial Narrow" w:hAnsi="Arial Narrow" w:cs="Arial"/>
          <w:sz w:val="18"/>
          <w:szCs w:val="18"/>
          <w:lang w:val="en-GB"/>
        </w:rPr>
        <w:t xml:space="preserve"> of whole population in tenure x</w:t>
      </w:r>
    </w:p>
    <w:p w:rsidR="002C5D9C" w:rsidRDefault="002C5D9C" w:rsidP="002C5D9C">
      <w:pPr>
        <w:rPr>
          <w:rFonts w:ascii="Arial Narrow" w:hAnsi="Arial Narrow" w:cs="Arial"/>
          <w:sz w:val="18"/>
          <w:szCs w:val="18"/>
          <w:lang w:val="en-GB"/>
        </w:rPr>
      </w:pPr>
      <w:r w:rsidRPr="007E393E">
        <w:rPr>
          <w:rFonts w:ascii="Arial Narrow" w:hAnsi="Arial Narrow" w:cs="Arial"/>
          <w:sz w:val="18"/>
          <w:szCs w:val="18"/>
          <w:lang w:val="en-GB"/>
        </w:rPr>
        <w:t xml:space="preserve">Index of ethnic tenure segmentation = </w:t>
      </w:r>
      <w:proofErr w:type="spellStart"/>
      <w:r w:rsidRPr="007E393E">
        <w:rPr>
          <w:rFonts w:ascii="Arial Narrow" w:hAnsi="Arial Narrow" w:cs="Arial"/>
          <w:sz w:val="18"/>
          <w:szCs w:val="18"/>
          <w:lang w:val="en-GB"/>
        </w:rPr>
        <w:t>sum</w:t>
      </w:r>
      <w:r w:rsidRPr="007E393E">
        <w:rPr>
          <w:rFonts w:ascii="Arial Narrow" w:hAnsi="Arial Narrow" w:cs="Arial"/>
          <w:sz w:val="18"/>
          <w:szCs w:val="18"/>
          <w:vertAlign w:val="subscript"/>
          <w:lang w:val="en-GB"/>
        </w:rPr>
        <w:t>x</w:t>
      </w:r>
      <w:proofErr w:type="spellEnd"/>
      <w:r w:rsidRPr="007E393E">
        <w:rPr>
          <w:rFonts w:ascii="Arial Narrow" w:hAnsi="Arial Narrow" w:cs="Arial"/>
          <w:sz w:val="18"/>
          <w:szCs w:val="18"/>
          <w:vertAlign w:val="subscript"/>
          <w:lang w:val="en-GB"/>
        </w:rPr>
        <w:t>=1</w:t>
      </w:r>
      <w:proofErr w:type="gramStart"/>
      <w:r>
        <w:rPr>
          <w:rFonts w:ascii="Arial Narrow" w:hAnsi="Arial Narrow" w:cs="Arial"/>
          <w:sz w:val="18"/>
          <w:szCs w:val="18"/>
          <w:vertAlign w:val="subscript"/>
          <w:lang w:val="en-GB"/>
        </w:rPr>
        <w:t>,</w:t>
      </w:r>
      <w:r w:rsidRPr="007E393E">
        <w:rPr>
          <w:rFonts w:ascii="Arial Narrow" w:hAnsi="Arial Narrow" w:cs="Arial"/>
          <w:sz w:val="18"/>
          <w:szCs w:val="18"/>
          <w:vertAlign w:val="subscript"/>
          <w:lang w:val="en-GB"/>
        </w:rPr>
        <w:t>n</w:t>
      </w:r>
      <w:proofErr w:type="gramEnd"/>
      <w:r w:rsidRPr="007E393E">
        <w:rPr>
          <w:rFonts w:ascii="Arial Narrow" w:hAnsi="Arial Narrow" w:cs="Arial"/>
          <w:sz w:val="18"/>
          <w:szCs w:val="18"/>
          <w:vertAlign w:val="subscript"/>
          <w:lang w:val="en-GB"/>
        </w:rPr>
        <w:t xml:space="preserve"> </w:t>
      </w:r>
      <w:r>
        <w:rPr>
          <w:rFonts w:ascii="Arial Narrow" w:hAnsi="Arial Narrow" w:cs="Arial"/>
          <w:sz w:val="18"/>
          <w:szCs w:val="18"/>
          <w:lang w:val="en-GB"/>
        </w:rPr>
        <w:t>(Absolute</w:t>
      </w:r>
      <w:r w:rsidRPr="007E393E">
        <w:rPr>
          <w:rFonts w:ascii="Arial Narrow" w:hAnsi="Arial Narrow" w:cs="Arial"/>
          <w:sz w:val="18"/>
          <w:szCs w:val="18"/>
          <w:lang w:val="en-GB"/>
        </w:rPr>
        <w:t xml:space="preserve"> (</w:t>
      </w:r>
      <w:r>
        <w:rPr>
          <w:rFonts w:ascii="Arial Narrow" w:hAnsi="Arial Narrow" w:cs="Arial"/>
          <w:sz w:val="18"/>
          <w:szCs w:val="18"/>
          <w:lang w:val="en-GB"/>
        </w:rPr>
        <w:t>%</w:t>
      </w:r>
      <w:r w:rsidRPr="007E393E">
        <w:rPr>
          <w:rFonts w:ascii="Arial Narrow" w:hAnsi="Arial Narrow" w:cs="Arial"/>
          <w:sz w:val="18"/>
          <w:szCs w:val="18"/>
          <w:lang w:val="en-GB"/>
        </w:rPr>
        <w:t xml:space="preserve"> of immigrants in tenure x –whole population in tenure x)</w:t>
      </w:r>
      <w:r>
        <w:rPr>
          <w:rFonts w:ascii="Arial Narrow" w:hAnsi="Arial Narrow" w:cs="Arial"/>
          <w:sz w:val="18"/>
          <w:szCs w:val="18"/>
          <w:lang w:val="en-GB"/>
        </w:rPr>
        <w:t xml:space="preserve"> * proportion of population in tenure x)</w:t>
      </w:r>
    </w:p>
    <w:p w:rsidR="002C5D9C" w:rsidRDefault="002C5D9C" w:rsidP="002C5D9C">
      <w:pPr>
        <w:rPr>
          <w:lang w:val="en-GB"/>
        </w:rPr>
      </w:pPr>
    </w:p>
    <w:p w:rsidR="002C5D9C" w:rsidRPr="00E908DB" w:rsidRDefault="002C5D9C" w:rsidP="002C5D9C">
      <w:pPr>
        <w:pStyle w:val="Billedtekst"/>
        <w:rPr>
          <w:rFonts w:ascii="Arial Narrow" w:hAnsi="Arial Narrow" w:cs="Arial"/>
          <w:lang w:val="en-GB"/>
        </w:rPr>
      </w:pPr>
      <w:bookmarkStart w:id="11" w:name="_Ref293573011"/>
      <w:proofErr w:type="gramStart"/>
      <w:r w:rsidRPr="00E908DB">
        <w:rPr>
          <w:lang w:val="en-GB"/>
        </w:rPr>
        <w:t>Table</w:t>
      </w:r>
      <w:bookmarkEnd w:id="11"/>
      <w:r>
        <w:rPr>
          <w:lang w:val="en-GB"/>
        </w:rPr>
        <w:t xml:space="preserve"> 10.</w:t>
      </w:r>
      <w:proofErr w:type="gramEnd"/>
      <w:r w:rsidRPr="00E908DB">
        <w:rPr>
          <w:rFonts w:ascii="Arial Narrow" w:hAnsi="Arial Narrow"/>
          <w:lang w:val="en-GB"/>
        </w:rPr>
        <w:t xml:space="preserve"> Proportion of </w:t>
      </w:r>
      <w:r>
        <w:rPr>
          <w:rFonts w:ascii="Arial Narrow" w:hAnsi="Arial Narrow"/>
          <w:lang w:val="en-GB"/>
        </w:rPr>
        <w:t xml:space="preserve">immigrants and whole </w:t>
      </w:r>
      <w:r w:rsidRPr="00E908DB">
        <w:rPr>
          <w:rFonts w:ascii="Arial Narrow" w:hAnsi="Arial Narrow"/>
          <w:lang w:val="en-GB"/>
        </w:rPr>
        <w:t>population living in densely populated housing* in the Nordic countries (%)</w:t>
      </w:r>
    </w:p>
    <w:tbl>
      <w:tblPr>
        <w:tblW w:w="6220" w:type="dxa"/>
        <w:tblInd w:w="60" w:type="dxa"/>
        <w:tblCellMar>
          <w:left w:w="70" w:type="dxa"/>
          <w:right w:w="70" w:type="dxa"/>
        </w:tblCellMar>
        <w:tblLook w:val="0000" w:firstRow="0" w:lastRow="0" w:firstColumn="0" w:lastColumn="0" w:noHBand="0" w:noVBand="0"/>
      </w:tblPr>
      <w:tblGrid>
        <w:gridCol w:w="2380"/>
        <w:gridCol w:w="960"/>
        <w:gridCol w:w="960"/>
        <w:gridCol w:w="960"/>
        <w:gridCol w:w="960"/>
      </w:tblGrid>
      <w:tr w:rsidR="002C5D9C" w:rsidRPr="00E908DB" w:rsidTr="000A52C9">
        <w:trPr>
          <w:trHeight w:val="255"/>
        </w:trPr>
        <w:tc>
          <w:tcPr>
            <w:tcW w:w="2380" w:type="dxa"/>
            <w:tcBorders>
              <w:top w:val="single" w:sz="4" w:space="0" w:color="auto"/>
              <w:left w:val="nil"/>
              <w:bottom w:val="single" w:sz="4" w:space="0" w:color="auto"/>
              <w:right w:val="nil"/>
            </w:tcBorders>
            <w:shd w:val="clear" w:color="auto" w:fill="auto"/>
            <w:noWrap/>
            <w:vAlign w:val="bottom"/>
          </w:tcPr>
          <w:p w:rsidR="002C5D9C" w:rsidRPr="00E908DB" w:rsidRDefault="002C5D9C" w:rsidP="000A52C9">
            <w:pPr>
              <w:rPr>
                <w:rFonts w:ascii="Arial Narrow" w:hAnsi="Arial Narrow" w:cs="Arial"/>
                <w:sz w:val="18"/>
                <w:szCs w:val="18"/>
                <w:lang w:val="en-GB"/>
              </w:rPr>
            </w:pPr>
            <w:r w:rsidRPr="00E908DB">
              <w:rPr>
                <w:rFonts w:ascii="Arial Narrow" w:hAnsi="Arial Narrow" w:cs="Arial"/>
                <w:sz w:val="18"/>
                <w:szCs w:val="18"/>
                <w:lang w:val="en-GB"/>
              </w:rPr>
              <w:t> </w:t>
            </w:r>
          </w:p>
        </w:tc>
        <w:tc>
          <w:tcPr>
            <w:tcW w:w="960" w:type="dxa"/>
            <w:tcBorders>
              <w:top w:val="single" w:sz="4" w:space="0" w:color="auto"/>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E908DB">
                  <w:rPr>
                    <w:rFonts w:ascii="Arial Narrow" w:hAnsi="Arial Narrow" w:cs="Arial"/>
                    <w:sz w:val="18"/>
                    <w:szCs w:val="18"/>
                    <w:lang w:val="en-GB"/>
                  </w:rPr>
                  <w:t>Denmark</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E908DB">
                  <w:rPr>
                    <w:rFonts w:ascii="Arial Narrow" w:hAnsi="Arial Narrow" w:cs="Arial"/>
                    <w:sz w:val="18"/>
                    <w:szCs w:val="18"/>
                    <w:lang w:val="en-GB"/>
                  </w:rPr>
                  <w:t>Finland</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E908DB">
                  <w:rPr>
                    <w:rFonts w:ascii="Arial Narrow" w:hAnsi="Arial Narrow" w:cs="Arial"/>
                    <w:sz w:val="18"/>
                    <w:szCs w:val="18"/>
                    <w:lang w:val="en-GB"/>
                  </w:rPr>
                  <w:t>Norway</w:t>
                </w:r>
              </w:smartTag>
            </w:smartTag>
          </w:p>
        </w:tc>
        <w:tc>
          <w:tcPr>
            <w:tcW w:w="960" w:type="dxa"/>
            <w:tcBorders>
              <w:top w:val="single" w:sz="4" w:space="0" w:color="auto"/>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smartTag w:uri="urn:schemas-microsoft-com:office:smarttags" w:element="place">
              <w:smartTag w:uri="urn:schemas-microsoft-com:office:smarttags" w:element="country-region">
                <w:r w:rsidRPr="00E908DB">
                  <w:rPr>
                    <w:rFonts w:ascii="Arial Narrow" w:hAnsi="Arial Narrow" w:cs="Arial"/>
                    <w:sz w:val="18"/>
                    <w:szCs w:val="18"/>
                    <w:lang w:val="en-GB"/>
                  </w:rPr>
                  <w:t>Sweden</w:t>
                </w:r>
              </w:smartTag>
            </w:smartTag>
          </w:p>
        </w:tc>
      </w:tr>
      <w:tr w:rsidR="002C5D9C" w:rsidRPr="00E908DB" w:rsidTr="000A52C9">
        <w:trPr>
          <w:trHeight w:val="255"/>
        </w:trPr>
        <w:tc>
          <w:tcPr>
            <w:tcW w:w="2380" w:type="dxa"/>
            <w:tcBorders>
              <w:top w:val="nil"/>
              <w:left w:val="nil"/>
              <w:bottom w:val="nil"/>
              <w:right w:val="nil"/>
            </w:tcBorders>
            <w:shd w:val="clear" w:color="auto" w:fill="auto"/>
            <w:noWrap/>
            <w:vAlign w:val="bottom"/>
          </w:tcPr>
          <w:p w:rsidR="002C5D9C" w:rsidRPr="00E908DB" w:rsidRDefault="002C5D9C" w:rsidP="000A52C9">
            <w:pPr>
              <w:rPr>
                <w:rFonts w:ascii="Arial Narrow" w:hAnsi="Arial Narrow" w:cs="Arial"/>
                <w:sz w:val="18"/>
                <w:szCs w:val="18"/>
                <w:lang w:val="en-GB"/>
              </w:rPr>
            </w:pPr>
            <w:r w:rsidRPr="00E908DB">
              <w:rPr>
                <w:rFonts w:ascii="Arial Narrow" w:hAnsi="Arial Narrow" w:cs="Arial"/>
                <w:sz w:val="18"/>
                <w:szCs w:val="18"/>
                <w:lang w:val="en-GB"/>
              </w:rPr>
              <w:t>Whole population</w:t>
            </w:r>
          </w:p>
        </w:tc>
        <w:tc>
          <w:tcPr>
            <w:tcW w:w="960" w:type="dxa"/>
            <w:tcBorders>
              <w:top w:val="nil"/>
              <w:left w:val="nil"/>
              <w:bottom w:val="nil"/>
              <w:right w:val="nil"/>
            </w:tcBorders>
            <w:shd w:val="clear" w:color="auto" w:fill="auto"/>
            <w:noWrap/>
            <w:vAlign w:val="bottom"/>
          </w:tcPr>
          <w:p w:rsidR="002C5D9C" w:rsidRPr="004772DE" w:rsidRDefault="002C5D9C" w:rsidP="000A52C9">
            <w:pPr>
              <w:jc w:val="right"/>
              <w:rPr>
                <w:rFonts w:ascii="Arial Narrow" w:hAnsi="Arial Narrow" w:cs="Arial"/>
                <w:sz w:val="18"/>
                <w:szCs w:val="18"/>
                <w:lang w:val="en-GB"/>
              </w:rPr>
            </w:pPr>
            <w:r w:rsidRPr="004772DE">
              <w:rPr>
                <w:rFonts w:ascii="Arial Narrow" w:hAnsi="Arial Narrow" w:cs="Arial"/>
                <w:sz w:val="18"/>
                <w:szCs w:val="18"/>
                <w:lang w:val="en-GB"/>
              </w:rPr>
              <w:t>7</w:t>
            </w:r>
          </w:p>
        </w:tc>
        <w:tc>
          <w:tcPr>
            <w:tcW w:w="960" w:type="dxa"/>
            <w:tcBorders>
              <w:top w:val="nil"/>
              <w:left w:val="nil"/>
              <w:bottom w:val="nil"/>
              <w:right w:val="nil"/>
            </w:tcBorders>
            <w:shd w:val="clear" w:color="auto" w:fill="auto"/>
            <w:noWrap/>
            <w:vAlign w:val="bottom"/>
          </w:tcPr>
          <w:p w:rsidR="002C5D9C" w:rsidRPr="00A92FEE" w:rsidRDefault="002C5D9C" w:rsidP="000A52C9">
            <w:pPr>
              <w:jc w:val="right"/>
              <w:rPr>
                <w:rFonts w:ascii="Arial Narrow" w:hAnsi="Arial Narrow" w:cs="Arial"/>
                <w:sz w:val="18"/>
                <w:szCs w:val="18"/>
                <w:lang w:val="en-GB"/>
              </w:rPr>
            </w:pPr>
            <w:r w:rsidRPr="00A92FEE">
              <w:rPr>
                <w:rFonts w:ascii="Arial Narrow" w:hAnsi="Arial Narrow" w:cs="Arial"/>
                <w:sz w:val="18"/>
                <w:szCs w:val="18"/>
                <w:lang w:val="en-GB"/>
              </w:rPr>
              <w:t>18</w:t>
            </w:r>
          </w:p>
        </w:tc>
        <w:tc>
          <w:tcPr>
            <w:tcW w:w="960" w:type="dxa"/>
            <w:tcBorders>
              <w:top w:val="nil"/>
              <w:left w:val="nil"/>
              <w:bottom w:val="nil"/>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8</w:t>
            </w:r>
          </w:p>
        </w:tc>
        <w:tc>
          <w:tcPr>
            <w:tcW w:w="960" w:type="dxa"/>
            <w:tcBorders>
              <w:top w:val="nil"/>
              <w:left w:val="nil"/>
              <w:bottom w:val="nil"/>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16</w:t>
            </w:r>
          </w:p>
        </w:tc>
      </w:tr>
      <w:tr w:rsidR="002C5D9C" w:rsidRPr="00E908DB" w:rsidTr="000A52C9">
        <w:trPr>
          <w:trHeight w:val="255"/>
        </w:trPr>
        <w:tc>
          <w:tcPr>
            <w:tcW w:w="2380" w:type="dxa"/>
            <w:tcBorders>
              <w:top w:val="nil"/>
              <w:left w:val="nil"/>
              <w:bottom w:val="nil"/>
              <w:right w:val="nil"/>
            </w:tcBorders>
            <w:shd w:val="clear" w:color="auto" w:fill="auto"/>
            <w:noWrap/>
            <w:vAlign w:val="bottom"/>
          </w:tcPr>
          <w:p w:rsidR="002C5D9C" w:rsidRPr="00E908DB" w:rsidRDefault="002C5D9C" w:rsidP="000A52C9">
            <w:pPr>
              <w:rPr>
                <w:rFonts w:ascii="Arial Narrow" w:hAnsi="Arial Narrow" w:cs="Arial"/>
                <w:sz w:val="18"/>
                <w:szCs w:val="18"/>
                <w:lang w:val="en-GB"/>
              </w:rPr>
            </w:pPr>
            <w:r w:rsidRPr="00E908DB">
              <w:rPr>
                <w:rFonts w:ascii="Arial Narrow" w:hAnsi="Arial Narrow" w:cs="Arial"/>
                <w:sz w:val="18"/>
                <w:szCs w:val="18"/>
                <w:lang w:val="en-GB"/>
              </w:rPr>
              <w:t>Immigrants</w:t>
            </w:r>
          </w:p>
        </w:tc>
        <w:tc>
          <w:tcPr>
            <w:tcW w:w="960" w:type="dxa"/>
            <w:tcBorders>
              <w:top w:val="nil"/>
              <w:left w:val="nil"/>
              <w:bottom w:val="nil"/>
              <w:right w:val="nil"/>
            </w:tcBorders>
            <w:shd w:val="clear" w:color="auto" w:fill="auto"/>
            <w:noWrap/>
            <w:vAlign w:val="bottom"/>
          </w:tcPr>
          <w:p w:rsidR="002C5D9C" w:rsidRPr="004772DE" w:rsidRDefault="002C5D9C" w:rsidP="000A52C9">
            <w:pPr>
              <w:jc w:val="right"/>
              <w:rPr>
                <w:rFonts w:ascii="Arial Narrow" w:hAnsi="Arial Narrow" w:cs="Arial"/>
                <w:sz w:val="18"/>
                <w:szCs w:val="18"/>
                <w:lang w:val="en-GB"/>
              </w:rPr>
            </w:pPr>
            <w:r w:rsidRPr="004772DE">
              <w:rPr>
                <w:rFonts w:ascii="Arial Narrow" w:hAnsi="Arial Narrow" w:cs="Arial"/>
                <w:sz w:val="18"/>
                <w:szCs w:val="18"/>
                <w:lang w:val="en-GB"/>
              </w:rPr>
              <w:t>28</w:t>
            </w:r>
          </w:p>
        </w:tc>
        <w:tc>
          <w:tcPr>
            <w:tcW w:w="960" w:type="dxa"/>
            <w:tcBorders>
              <w:top w:val="nil"/>
              <w:left w:val="nil"/>
              <w:bottom w:val="nil"/>
              <w:right w:val="nil"/>
            </w:tcBorders>
            <w:shd w:val="clear" w:color="auto" w:fill="auto"/>
            <w:noWrap/>
            <w:vAlign w:val="bottom"/>
          </w:tcPr>
          <w:p w:rsidR="002C5D9C" w:rsidRPr="00A92FEE" w:rsidRDefault="002C5D9C" w:rsidP="000A52C9">
            <w:pPr>
              <w:jc w:val="right"/>
              <w:rPr>
                <w:rFonts w:ascii="Arial Narrow" w:hAnsi="Arial Narrow" w:cs="Arial"/>
                <w:sz w:val="18"/>
                <w:szCs w:val="18"/>
                <w:lang w:val="en-GB"/>
              </w:rPr>
            </w:pPr>
            <w:r w:rsidRPr="00A92FEE">
              <w:rPr>
                <w:rFonts w:ascii="Arial Narrow" w:hAnsi="Arial Narrow" w:cs="Arial"/>
                <w:sz w:val="18"/>
                <w:szCs w:val="18"/>
                <w:lang w:val="en-GB"/>
              </w:rPr>
              <w:t>41</w:t>
            </w:r>
          </w:p>
        </w:tc>
        <w:tc>
          <w:tcPr>
            <w:tcW w:w="960" w:type="dxa"/>
            <w:tcBorders>
              <w:top w:val="nil"/>
              <w:left w:val="nil"/>
              <w:bottom w:val="nil"/>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45</w:t>
            </w:r>
          </w:p>
        </w:tc>
        <w:tc>
          <w:tcPr>
            <w:tcW w:w="960" w:type="dxa"/>
            <w:tcBorders>
              <w:top w:val="nil"/>
              <w:left w:val="nil"/>
              <w:bottom w:val="nil"/>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26</w:t>
            </w:r>
          </w:p>
        </w:tc>
      </w:tr>
      <w:tr w:rsidR="002C5D9C" w:rsidRPr="00E908DB" w:rsidTr="000A52C9">
        <w:trPr>
          <w:trHeight w:val="255"/>
        </w:trPr>
        <w:tc>
          <w:tcPr>
            <w:tcW w:w="2380" w:type="dxa"/>
            <w:tcBorders>
              <w:top w:val="nil"/>
              <w:left w:val="nil"/>
              <w:bottom w:val="single" w:sz="4" w:space="0" w:color="auto"/>
              <w:right w:val="nil"/>
            </w:tcBorders>
            <w:shd w:val="clear" w:color="auto" w:fill="auto"/>
            <w:noWrap/>
            <w:vAlign w:val="bottom"/>
          </w:tcPr>
          <w:p w:rsidR="002C5D9C" w:rsidRPr="00E908DB" w:rsidRDefault="002C5D9C" w:rsidP="000A52C9">
            <w:pPr>
              <w:rPr>
                <w:rFonts w:ascii="Arial Narrow" w:hAnsi="Arial Narrow" w:cs="Arial"/>
                <w:sz w:val="18"/>
                <w:szCs w:val="18"/>
                <w:lang w:val="en-GB"/>
              </w:rPr>
            </w:pPr>
            <w:r w:rsidRPr="00E908DB">
              <w:rPr>
                <w:rFonts w:ascii="Arial Narrow" w:hAnsi="Arial Narrow" w:cs="Arial"/>
                <w:sz w:val="18"/>
                <w:szCs w:val="18"/>
                <w:lang w:val="en-GB"/>
              </w:rPr>
              <w:t>Relative difference %</w:t>
            </w:r>
          </w:p>
        </w:tc>
        <w:tc>
          <w:tcPr>
            <w:tcW w:w="960" w:type="dxa"/>
            <w:tcBorders>
              <w:top w:val="nil"/>
              <w:left w:val="nil"/>
              <w:bottom w:val="single" w:sz="4" w:space="0" w:color="auto"/>
              <w:right w:val="nil"/>
            </w:tcBorders>
            <w:shd w:val="clear" w:color="auto" w:fill="auto"/>
            <w:noWrap/>
            <w:vAlign w:val="bottom"/>
          </w:tcPr>
          <w:p w:rsidR="002C5D9C" w:rsidRPr="004772DE" w:rsidRDefault="002C5D9C" w:rsidP="000A52C9">
            <w:pPr>
              <w:jc w:val="right"/>
              <w:rPr>
                <w:rFonts w:ascii="Arial Narrow" w:hAnsi="Arial Narrow" w:cs="Arial"/>
                <w:sz w:val="18"/>
                <w:szCs w:val="18"/>
                <w:lang w:val="en-GB"/>
              </w:rPr>
            </w:pPr>
            <w:r w:rsidRPr="004772DE">
              <w:rPr>
                <w:rFonts w:ascii="Arial Narrow" w:hAnsi="Arial Narrow" w:cs="Arial"/>
                <w:sz w:val="18"/>
                <w:szCs w:val="18"/>
                <w:lang w:val="en-GB"/>
              </w:rPr>
              <w:t>289</w:t>
            </w:r>
          </w:p>
        </w:tc>
        <w:tc>
          <w:tcPr>
            <w:tcW w:w="960" w:type="dxa"/>
            <w:tcBorders>
              <w:top w:val="nil"/>
              <w:left w:val="nil"/>
              <w:bottom w:val="single" w:sz="4" w:space="0" w:color="auto"/>
              <w:right w:val="nil"/>
            </w:tcBorders>
            <w:shd w:val="clear" w:color="auto" w:fill="auto"/>
            <w:noWrap/>
            <w:vAlign w:val="bottom"/>
          </w:tcPr>
          <w:p w:rsidR="002C5D9C" w:rsidRPr="00A92FEE" w:rsidRDefault="002C5D9C" w:rsidP="000A52C9">
            <w:pPr>
              <w:jc w:val="right"/>
              <w:rPr>
                <w:rFonts w:ascii="Arial Narrow" w:hAnsi="Arial Narrow" w:cs="Arial"/>
                <w:sz w:val="18"/>
                <w:szCs w:val="18"/>
                <w:lang w:val="en-GB"/>
              </w:rPr>
            </w:pPr>
            <w:r w:rsidRPr="00A92FEE">
              <w:rPr>
                <w:rFonts w:ascii="Arial Narrow" w:hAnsi="Arial Narrow" w:cs="Arial"/>
                <w:sz w:val="18"/>
                <w:szCs w:val="18"/>
                <w:lang w:val="en-GB"/>
              </w:rPr>
              <w:t>128</w:t>
            </w:r>
          </w:p>
        </w:tc>
        <w:tc>
          <w:tcPr>
            <w:tcW w:w="960" w:type="dxa"/>
            <w:tcBorders>
              <w:top w:val="nil"/>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463</w:t>
            </w:r>
          </w:p>
        </w:tc>
        <w:tc>
          <w:tcPr>
            <w:tcW w:w="960" w:type="dxa"/>
            <w:tcBorders>
              <w:top w:val="nil"/>
              <w:left w:val="nil"/>
              <w:bottom w:val="single" w:sz="4" w:space="0" w:color="auto"/>
              <w:right w:val="nil"/>
            </w:tcBorders>
            <w:shd w:val="clear" w:color="auto" w:fill="auto"/>
            <w:noWrap/>
            <w:vAlign w:val="bottom"/>
          </w:tcPr>
          <w:p w:rsidR="002C5D9C" w:rsidRPr="00E908DB" w:rsidRDefault="002C5D9C" w:rsidP="000A52C9">
            <w:pPr>
              <w:jc w:val="right"/>
              <w:rPr>
                <w:rFonts w:ascii="Arial Narrow" w:hAnsi="Arial Narrow" w:cs="Arial"/>
                <w:sz w:val="18"/>
                <w:szCs w:val="18"/>
                <w:lang w:val="en-GB"/>
              </w:rPr>
            </w:pPr>
            <w:r w:rsidRPr="00E908DB">
              <w:rPr>
                <w:rFonts w:ascii="Arial Narrow" w:hAnsi="Arial Narrow" w:cs="Arial"/>
                <w:sz w:val="18"/>
                <w:szCs w:val="18"/>
                <w:lang w:val="en-GB"/>
              </w:rPr>
              <w:t>61</w:t>
            </w:r>
          </w:p>
        </w:tc>
      </w:tr>
    </w:tbl>
    <w:p w:rsidR="002C5D9C" w:rsidRPr="00E908DB" w:rsidRDefault="002C5D9C" w:rsidP="002C5D9C">
      <w:pPr>
        <w:rPr>
          <w:rFonts w:ascii="Arial Narrow" w:hAnsi="Arial Narrow"/>
          <w:color w:val="FF0000"/>
          <w:sz w:val="18"/>
          <w:szCs w:val="18"/>
          <w:lang w:val="en-GB"/>
        </w:rPr>
      </w:pPr>
      <w:r w:rsidRPr="00E908DB">
        <w:rPr>
          <w:rFonts w:ascii="Arial Narrow" w:hAnsi="Arial Narrow"/>
          <w:sz w:val="18"/>
          <w:szCs w:val="18"/>
          <w:lang w:val="en-GB"/>
        </w:rPr>
        <w:t xml:space="preserve">*More than one person per room (kitchen </w:t>
      </w:r>
      <w:r>
        <w:rPr>
          <w:rFonts w:ascii="Arial Narrow" w:hAnsi="Arial Narrow"/>
          <w:sz w:val="18"/>
          <w:szCs w:val="18"/>
          <w:lang w:val="en-GB"/>
        </w:rPr>
        <w:t xml:space="preserve">and bath </w:t>
      </w:r>
      <w:r w:rsidRPr="00E908DB">
        <w:rPr>
          <w:rFonts w:ascii="Arial Narrow" w:hAnsi="Arial Narrow"/>
          <w:sz w:val="18"/>
          <w:szCs w:val="18"/>
          <w:lang w:val="en-GB"/>
        </w:rPr>
        <w:t xml:space="preserve">excluded). </w:t>
      </w:r>
    </w:p>
    <w:p w:rsidR="002C5D9C" w:rsidRPr="00E908DB" w:rsidRDefault="002C5D9C" w:rsidP="002C5D9C">
      <w:pPr>
        <w:rPr>
          <w:rFonts w:ascii="Arial Narrow" w:hAnsi="Arial Narrow" w:cs="Arial"/>
          <w:sz w:val="18"/>
          <w:szCs w:val="18"/>
          <w:lang w:val="en-GB"/>
        </w:rPr>
      </w:pPr>
      <w:smartTag w:uri="urn:schemas-microsoft-com:office:smarttags" w:element="place">
        <w:smartTag w:uri="urn:schemas-microsoft-com:office:smarttags" w:element="country-region">
          <w:r w:rsidRPr="00E908DB">
            <w:rPr>
              <w:rFonts w:ascii="Arial Narrow" w:hAnsi="Arial Narrow"/>
              <w:sz w:val="18"/>
              <w:szCs w:val="18"/>
              <w:lang w:val="en-GB"/>
            </w:rPr>
            <w:t>Denmark</w:t>
          </w:r>
        </w:smartTag>
      </w:smartTag>
      <w:proofErr w:type="gramStart"/>
      <w:r w:rsidRPr="00E908DB">
        <w:rPr>
          <w:rFonts w:ascii="Arial Narrow" w:hAnsi="Arial Narrow"/>
          <w:sz w:val="18"/>
          <w:szCs w:val="18"/>
          <w:lang w:val="en-GB"/>
        </w:rPr>
        <w:t>:.</w:t>
      </w:r>
      <w:proofErr w:type="gramEnd"/>
      <w:r w:rsidRPr="00E908DB">
        <w:rPr>
          <w:rFonts w:ascii="Arial Narrow" w:hAnsi="Arial Narrow"/>
          <w:sz w:val="18"/>
          <w:szCs w:val="18"/>
          <w:lang w:val="en-GB"/>
        </w:rPr>
        <w:t xml:space="preserve"> </w:t>
      </w:r>
      <w:proofErr w:type="gramStart"/>
      <w:r w:rsidRPr="00E908DB">
        <w:rPr>
          <w:rFonts w:ascii="Arial Narrow" w:hAnsi="Arial Narrow"/>
          <w:sz w:val="18"/>
          <w:szCs w:val="18"/>
          <w:lang w:val="en-GB"/>
        </w:rPr>
        <w:t>Foreign</w:t>
      </w:r>
      <w:r>
        <w:rPr>
          <w:rFonts w:ascii="Arial Narrow" w:hAnsi="Arial Narrow"/>
          <w:sz w:val="18"/>
          <w:szCs w:val="18"/>
          <w:lang w:val="en-GB"/>
        </w:rPr>
        <w:t>-</w:t>
      </w:r>
      <w:r w:rsidRPr="00E908DB">
        <w:rPr>
          <w:rFonts w:ascii="Arial Narrow" w:hAnsi="Arial Narrow"/>
          <w:sz w:val="18"/>
          <w:szCs w:val="18"/>
          <w:lang w:val="en-GB"/>
        </w:rPr>
        <w:t xml:space="preserve">born </w:t>
      </w:r>
      <w:proofErr w:type="spellStart"/>
      <w:r>
        <w:rPr>
          <w:rFonts w:ascii="Arial Narrow" w:hAnsi="Arial Narrow"/>
          <w:sz w:val="18"/>
          <w:szCs w:val="18"/>
          <w:lang w:val="en-GB"/>
        </w:rPr>
        <w:t>persorns</w:t>
      </w:r>
      <w:proofErr w:type="spellEnd"/>
      <w:r>
        <w:rPr>
          <w:rFonts w:ascii="Arial Narrow" w:hAnsi="Arial Narrow"/>
          <w:sz w:val="18"/>
          <w:szCs w:val="18"/>
          <w:lang w:val="en-GB"/>
        </w:rPr>
        <w:t xml:space="preserve"> </w:t>
      </w:r>
      <w:r w:rsidRPr="00E908DB">
        <w:rPr>
          <w:rFonts w:ascii="Arial Narrow" w:hAnsi="Arial Narrow"/>
          <w:sz w:val="18"/>
          <w:szCs w:val="18"/>
          <w:lang w:val="en-GB"/>
        </w:rPr>
        <w:t>and their children 2008</w:t>
      </w:r>
      <w:r>
        <w:rPr>
          <w:rFonts w:ascii="Arial Narrow" w:hAnsi="Arial Narrow"/>
          <w:sz w:val="18"/>
          <w:szCs w:val="18"/>
          <w:lang w:val="en-GB"/>
        </w:rPr>
        <w:t xml:space="preserve"> 16+ years</w:t>
      </w:r>
      <w:r w:rsidRPr="00E908DB">
        <w:rPr>
          <w:rFonts w:ascii="Arial Narrow" w:hAnsi="Arial Narrow"/>
          <w:sz w:val="18"/>
          <w:szCs w:val="18"/>
          <w:lang w:val="en-GB"/>
        </w:rPr>
        <w:t>.</w:t>
      </w:r>
      <w:proofErr w:type="gramEnd"/>
      <w:r w:rsidRPr="00E908DB">
        <w:rPr>
          <w:rFonts w:ascii="Arial Narrow" w:hAnsi="Arial Narrow"/>
          <w:sz w:val="18"/>
          <w:szCs w:val="18"/>
          <w:lang w:val="en-GB"/>
        </w:rPr>
        <w:t xml:space="preserve"> </w:t>
      </w:r>
      <w:r w:rsidRPr="00E908DB">
        <w:rPr>
          <w:rFonts w:ascii="Arial Narrow" w:hAnsi="Arial Narrow" w:cs="Arial"/>
          <w:sz w:val="18"/>
          <w:szCs w:val="18"/>
          <w:lang w:val="en-GB"/>
        </w:rPr>
        <w:t xml:space="preserve">Database at </w:t>
      </w:r>
      <w:r>
        <w:rPr>
          <w:rFonts w:ascii="Arial Narrow" w:hAnsi="Arial Narrow" w:cs="Arial"/>
          <w:sz w:val="18"/>
          <w:szCs w:val="18"/>
          <w:lang w:val="en-GB"/>
        </w:rPr>
        <w:t xml:space="preserve">the </w:t>
      </w:r>
      <w:r w:rsidRPr="00E908DB">
        <w:rPr>
          <w:rFonts w:ascii="Arial Narrow" w:hAnsi="Arial Narrow" w:cs="Arial"/>
          <w:sz w:val="18"/>
          <w:szCs w:val="18"/>
          <w:lang w:val="en-GB"/>
        </w:rPr>
        <w:t>Danish Building Research Institute based on data from Statistics</w:t>
      </w:r>
      <w:r w:rsidRPr="00CC6247">
        <w:rPr>
          <w:rFonts w:ascii="Arial Narrow" w:hAnsi="Arial Narrow" w:cs="Arial"/>
          <w:sz w:val="18"/>
          <w:szCs w:val="18"/>
          <w:lang w:val="en-GB"/>
        </w:rPr>
        <w:t xml:space="preserve"> </w:t>
      </w:r>
      <w:r w:rsidRPr="00E908DB">
        <w:rPr>
          <w:rFonts w:ascii="Arial Narrow" w:hAnsi="Arial Narrow" w:cs="Arial"/>
          <w:sz w:val="18"/>
          <w:szCs w:val="18"/>
          <w:lang w:val="en-GB"/>
        </w:rPr>
        <w:t>Denmark</w:t>
      </w:r>
    </w:p>
    <w:p w:rsidR="002C5D9C" w:rsidRPr="000265CB" w:rsidRDefault="002C5D9C" w:rsidP="002C5D9C">
      <w:pPr>
        <w:rPr>
          <w:rFonts w:ascii="Arial Narrow" w:hAnsi="Arial Narrow"/>
          <w:sz w:val="18"/>
          <w:szCs w:val="18"/>
          <w:lang w:val="en-GB"/>
        </w:rPr>
      </w:pPr>
      <w:smartTag w:uri="urn:schemas-microsoft-com:office:smarttags" w:element="place">
        <w:smartTag w:uri="urn:schemas-microsoft-com:office:smarttags" w:element="country-region">
          <w:r w:rsidRPr="00E908DB">
            <w:rPr>
              <w:rFonts w:ascii="Arial Narrow" w:hAnsi="Arial Narrow"/>
              <w:sz w:val="18"/>
              <w:szCs w:val="18"/>
              <w:lang w:val="en-GB"/>
            </w:rPr>
            <w:t>Finland</w:t>
          </w:r>
        </w:smartTag>
      </w:smartTag>
      <w:r w:rsidRPr="00E908DB">
        <w:rPr>
          <w:rFonts w:ascii="Arial Narrow" w:hAnsi="Arial Narrow"/>
          <w:sz w:val="18"/>
          <w:szCs w:val="18"/>
          <w:lang w:val="en-GB"/>
        </w:rPr>
        <w:t>:</w:t>
      </w:r>
      <w:r>
        <w:rPr>
          <w:rFonts w:ascii="Arial Narrow" w:hAnsi="Arial Narrow"/>
          <w:sz w:val="18"/>
          <w:szCs w:val="18"/>
          <w:lang w:val="en-GB"/>
        </w:rPr>
        <w:t xml:space="preserve"> </w:t>
      </w:r>
      <w:r w:rsidRPr="000265CB">
        <w:rPr>
          <w:rFonts w:ascii="Arial Narrow" w:hAnsi="Arial Narrow"/>
          <w:sz w:val="18"/>
          <w:szCs w:val="18"/>
          <w:lang w:val="en-GB"/>
        </w:rPr>
        <w:t>Data on households 31.12.2008, immigrants = households headed by a foreign-speaking person, Source: Statistics Finland</w:t>
      </w:r>
    </w:p>
    <w:p w:rsidR="002C5D9C" w:rsidRPr="000265CB" w:rsidRDefault="002C5D9C" w:rsidP="002C5D9C">
      <w:pPr>
        <w:rPr>
          <w:rFonts w:ascii="Arial Narrow" w:hAnsi="Arial Narrow"/>
          <w:sz w:val="18"/>
          <w:szCs w:val="18"/>
          <w:lang w:val="en-GB"/>
        </w:rPr>
      </w:pPr>
      <w:smartTag w:uri="urn:schemas-microsoft-com:office:smarttags" w:element="place">
        <w:smartTag w:uri="urn:schemas-microsoft-com:office:smarttags" w:element="country-region">
          <w:r w:rsidRPr="000265CB">
            <w:rPr>
              <w:rFonts w:ascii="Arial Narrow" w:hAnsi="Arial Narrow"/>
              <w:sz w:val="18"/>
              <w:szCs w:val="18"/>
              <w:lang w:val="en-GB"/>
            </w:rPr>
            <w:t>Norway</w:t>
          </w:r>
        </w:smartTag>
      </w:smartTag>
      <w:r w:rsidRPr="000265CB">
        <w:rPr>
          <w:rFonts w:ascii="Arial Narrow" w:hAnsi="Arial Narrow"/>
          <w:sz w:val="18"/>
          <w:szCs w:val="18"/>
          <w:lang w:val="en-GB"/>
        </w:rPr>
        <w:t>: Source: Fo</w:t>
      </w:r>
      <w:r>
        <w:rPr>
          <w:rFonts w:ascii="Arial Narrow" w:hAnsi="Arial Narrow"/>
          <w:sz w:val="18"/>
          <w:szCs w:val="18"/>
          <w:lang w:val="en-GB"/>
        </w:rPr>
        <w:t>reign-born persons and their children</w:t>
      </w:r>
      <w:r w:rsidRPr="000265CB">
        <w:rPr>
          <w:rFonts w:ascii="Arial Narrow" w:hAnsi="Arial Narrow"/>
          <w:sz w:val="18"/>
          <w:szCs w:val="18"/>
          <w:lang w:val="en-GB"/>
        </w:rPr>
        <w:t xml:space="preserve">. Age 16-70 </w:t>
      </w:r>
      <w:proofErr w:type="gramStart"/>
      <w:r w:rsidRPr="000265CB">
        <w:rPr>
          <w:rFonts w:ascii="Arial Narrow" w:hAnsi="Arial Narrow"/>
          <w:sz w:val="18"/>
          <w:szCs w:val="18"/>
          <w:lang w:val="en-GB"/>
        </w:rPr>
        <w:t>years .</w:t>
      </w:r>
      <w:proofErr w:type="gramEnd"/>
      <w:r w:rsidRPr="000265CB">
        <w:rPr>
          <w:rFonts w:ascii="Arial Narrow" w:hAnsi="Arial Narrow"/>
          <w:sz w:val="18"/>
          <w:szCs w:val="18"/>
          <w:lang w:val="en-GB"/>
        </w:rPr>
        <w:t xml:space="preserve"> </w:t>
      </w:r>
      <w:proofErr w:type="gramStart"/>
      <w:r w:rsidRPr="000265CB">
        <w:rPr>
          <w:rFonts w:ascii="Arial Narrow" w:hAnsi="Arial Narrow"/>
          <w:sz w:val="18"/>
          <w:szCs w:val="18"/>
          <w:lang w:val="en-GB"/>
        </w:rPr>
        <w:t>Statistics Norway.</w:t>
      </w:r>
      <w:proofErr w:type="gramEnd"/>
      <w:r w:rsidRPr="000265CB">
        <w:rPr>
          <w:rFonts w:ascii="Arial Narrow" w:hAnsi="Arial Narrow"/>
          <w:sz w:val="18"/>
          <w:szCs w:val="18"/>
          <w:lang w:val="en-GB"/>
        </w:rPr>
        <w:t xml:space="preserve"> </w:t>
      </w:r>
      <w:proofErr w:type="gramStart"/>
      <w:r w:rsidRPr="000265CB">
        <w:rPr>
          <w:rFonts w:ascii="Arial Narrow" w:hAnsi="Arial Narrow"/>
          <w:sz w:val="18"/>
          <w:szCs w:val="18"/>
          <w:lang w:val="en-GB"/>
        </w:rPr>
        <w:t>Level of living among immigrants 2005/2006.</w:t>
      </w:r>
      <w:proofErr w:type="gramEnd"/>
      <w:r w:rsidRPr="000265CB">
        <w:rPr>
          <w:rFonts w:ascii="Arial Narrow" w:hAnsi="Arial Narrow"/>
          <w:sz w:val="18"/>
          <w:szCs w:val="18"/>
          <w:lang w:val="en-GB"/>
        </w:rPr>
        <w:t xml:space="preserve">  </w:t>
      </w:r>
      <w:proofErr w:type="gramStart"/>
      <w:r w:rsidRPr="000265CB">
        <w:rPr>
          <w:rFonts w:ascii="Arial Narrow" w:hAnsi="Arial Narrow"/>
          <w:sz w:val="18"/>
          <w:szCs w:val="18"/>
          <w:lang w:val="en-GB"/>
        </w:rPr>
        <w:t>Survey to a representative selection among 10 groups.</w:t>
      </w:r>
      <w:proofErr w:type="gramEnd"/>
      <w:r w:rsidRPr="000265CB">
        <w:rPr>
          <w:rFonts w:ascii="Arial Narrow" w:hAnsi="Arial Narrow"/>
          <w:sz w:val="18"/>
          <w:szCs w:val="18"/>
          <w:lang w:val="en-GB"/>
        </w:rPr>
        <w:t xml:space="preserve"> </w:t>
      </w:r>
      <w:proofErr w:type="gramStart"/>
      <w:r w:rsidRPr="000265CB">
        <w:rPr>
          <w:rFonts w:ascii="Arial Narrow" w:hAnsi="Arial Narrow"/>
          <w:sz w:val="18"/>
          <w:szCs w:val="18"/>
          <w:lang w:val="en-GB"/>
        </w:rPr>
        <w:t>Level of living in the whole population 2007.</w:t>
      </w:r>
      <w:proofErr w:type="gramEnd"/>
      <w:r w:rsidRPr="000265CB">
        <w:rPr>
          <w:rFonts w:ascii="Arial Narrow" w:hAnsi="Arial Narrow"/>
          <w:sz w:val="18"/>
          <w:szCs w:val="18"/>
          <w:lang w:val="en-GB"/>
        </w:rPr>
        <w:t xml:space="preserve"> Single adults </w:t>
      </w:r>
      <w:r>
        <w:rPr>
          <w:rFonts w:ascii="Arial Narrow" w:hAnsi="Arial Narrow"/>
          <w:sz w:val="18"/>
          <w:szCs w:val="18"/>
          <w:lang w:val="en-GB"/>
        </w:rPr>
        <w:t>in one-room dwellings excluded.</w:t>
      </w:r>
    </w:p>
    <w:p w:rsidR="002C5D9C" w:rsidRPr="000265CB" w:rsidRDefault="002C5D9C" w:rsidP="002C5D9C">
      <w:pPr>
        <w:rPr>
          <w:rFonts w:ascii="Arial Narrow" w:hAnsi="Arial Narrow"/>
          <w:sz w:val="18"/>
          <w:szCs w:val="18"/>
          <w:lang w:val="en-GB"/>
        </w:rPr>
      </w:pPr>
      <w:smartTag w:uri="urn:schemas-microsoft-com:office:smarttags" w:element="place">
        <w:smartTag w:uri="urn:schemas-microsoft-com:office:smarttags" w:element="country-region">
          <w:r w:rsidRPr="000265CB">
            <w:rPr>
              <w:rFonts w:ascii="Arial Narrow" w:hAnsi="Arial Narrow"/>
              <w:sz w:val="18"/>
              <w:szCs w:val="18"/>
              <w:lang w:val="en-GB"/>
            </w:rPr>
            <w:t>Sweden</w:t>
          </w:r>
        </w:smartTag>
      </w:smartTag>
      <w:r w:rsidRPr="000265CB">
        <w:rPr>
          <w:rFonts w:ascii="Arial Narrow" w:hAnsi="Arial Narrow"/>
          <w:sz w:val="18"/>
          <w:szCs w:val="18"/>
          <w:lang w:val="en-GB"/>
        </w:rPr>
        <w:t>: Foreign</w:t>
      </w:r>
      <w:r>
        <w:rPr>
          <w:rFonts w:ascii="Arial Narrow" w:hAnsi="Arial Narrow"/>
          <w:sz w:val="18"/>
          <w:szCs w:val="18"/>
          <w:lang w:val="en-GB"/>
        </w:rPr>
        <w:t>–</w:t>
      </w:r>
      <w:r w:rsidRPr="000265CB">
        <w:rPr>
          <w:rFonts w:ascii="Arial Narrow" w:hAnsi="Arial Narrow"/>
          <w:sz w:val="18"/>
          <w:szCs w:val="18"/>
          <w:lang w:val="en-GB"/>
        </w:rPr>
        <w:t>born</w:t>
      </w:r>
      <w:r>
        <w:rPr>
          <w:rFonts w:ascii="Arial Narrow" w:hAnsi="Arial Narrow"/>
          <w:sz w:val="18"/>
          <w:szCs w:val="18"/>
          <w:lang w:val="en-GB"/>
        </w:rPr>
        <w:t xml:space="preserve"> persons</w:t>
      </w:r>
      <w:r w:rsidRPr="000265CB">
        <w:rPr>
          <w:rFonts w:ascii="Arial Narrow" w:hAnsi="Arial Narrow"/>
          <w:sz w:val="18"/>
          <w:szCs w:val="18"/>
          <w:lang w:val="en-GB"/>
        </w:rPr>
        <w:t xml:space="preserve"> 16+ years. Statistic </w:t>
      </w:r>
      <w:smartTag w:uri="urn:schemas-microsoft-com:office:smarttags" w:element="place">
        <w:smartTag w:uri="urn:schemas-microsoft-com:office:smarttags" w:element="country-region">
          <w:r w:rsidRPr="000265CB">
            <w:rPr>
              <w:rFonts w:ascii="Arial Narrow" w:hAnsi="Arial Narrow"/>
              <w:sz w:val="18"/>
              <w:szCs w:val="18"/>
              <w:lang w:val="en-GB"/>
            </w:rPr>
            <w:t>Sweden</w:t>
          </w:r>
        </w:smartTag>
      </w:smartTag>
      <w:r w:rsidRPr="000265CB">
        <w:rPr>
          <w:rFonts w:ascii="Arial Narrow" w:hAnsi="Arial Narrow"/>
          <w:sz w:val="18"/>
          <w:szCs w:val="18"/>
          <w:lang w:val="en-GB"/>
        </w:rPr>
        <w:t>, Survey on living conditions 2007</w:t>
      </w:r>
    </w:p>
    <w:p w:rsidR="002C5D9C" w:rsidRPr="00CB365D" w:rsidRDefault="002C5D9C" w:rsidP="002C5D9C">
      <w:pPr>
        <w:rPr>
          <w:lang w:val="en-GB"/>
        </w:rPr>
      </w:pPr>
    </w:p>
    <w:p w:rsidR="00E67A3F" w:rsidRPr="00B3651E" w:rsidRDefault="00E67A3F" w:rsidP="00E67A3F">
      <w:pPr>
        <w:rPr>
          <w:rFonts w:cs="Arial"/>
          <w:sz w:val="24"/>
          <w:szCs w:val="24"/>
          <w:lang w:val="en-GB"/>
        </w:rPr>
      </w:pPr>
    </w:p>
    <w:sectPr w:rsidR="00E67A3F" w:rsidRPr="00B3651E" w:rsidSect="00AA0A75">
      <w:footerReference w:type="even"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09" w:rsidRDefault="008D5C09">
      <w:r>
        <w:separator/>
      </w:r>
    </w:p>
  </w:endnote>
  <w:endnote w:type="continuationSeparator" w:id="0">
    <w:p w:rsidR="008D5C09" w:rsidRDefault="008D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Plantin-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9A" w:rsidRDefault="0055489A" w:rsidP="00EF59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21</w:t>
    </w:r>
    <w:r>
      <w:rPr>
        <w:rStyle w:val="Sidetal"/>
      </w:rPr>
      <w:fldChar w:fldCharType="end"/>
    </w:r>
    <w:r>
      <w:rPr>
        <w:rStyle w:val="Sidetal"/>
      </w:rPr>
      <w:fldChar w:fldCharType="begin"/>
    </w:r>
    <w:r>
      <w:rPr>
        <w:rStyle w:val="Sidetal"/>
      </w:rPr>
      <w:instrText xml:space="preserve">PAGE  </w:instrText>
    </w:r>
    <w:r>
      <w:rPr>
        <w:rStyle w:val="Sidetal"/>
      </w:rPr>
      <w:fldChar w:fldCharType="separate"/>
    </w:r>
    <w:r>
      <w:rPr>
        <w:rStyle w:val="Sidetal"/>
        <w:noProof/>
      </w:rPr>
      <w:t>21</w:t>
    </w:r>
    <w:r>
      <w:rPr>
        <w:rStyle w:val="Sidetal"/>
      </w:rPr>
      <w:fldChar w:fldCharType="end"/>
    </w:r>
  </w:p>
  <w:p w:rsidR="0055489A" w:rsidRDefault="0055489A" w:rsidP="00AC5DDC">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9A" w:rsidRDefault="0055489A" w:rsidP="00EF597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97DBC">
      <w:rPr>
        <w:rStyle w:val="Sidetal"/>
        <w:noProof/>
      </w:rPr>
      <w:t>1</w:t>
    </w:r>
    <w:r>
      <w:rPr>
        <w:rStyle w:val="Sidetal"/>
      </w:rPr>
      <w:fldChar w:fldCharType="end"/>
    </w:r>
  </w:p>
  <w:p w:rsidR="0055489A" w:rsidRDefault="0055489A" w:rsidP="00AC5DDC">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09" w:rsidRDefault="008D5C09">
      <w:r>
        <w:separator/>
      </w:r>
    </w:p>
  </w:footnote>
  <w:footnote w:type="continuationSeparator" w:id="0">
    <w:p w:rsidR="008D5C09" w:rsidRDefault="008D5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D6079"/>
    <w:multiLevelType w:val="hybridMultilevel"/>
    <w:tmpl w:val="7FA6762A"/>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nsid w:val="71C31BB7"/>
    <w:multiLevelType w:val="hybridMultilevel"/>
    <w:tmpl w:val="FA82E1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7D"/>
    <w:rsid w:val="0000298B"/>
    <w:rsid w:val="0000425E"/>
    <w:rsid w:val="000160B2"/>
    <w:rsid w:val="00020F19"/>
    <w:rsid w:val="00024AA7"/>
    <w:rsid w:val="00025180"/>
    <w:rsid w:val="000265CB"/>
    <w:rsid w:val="00034246"/>
    <w:rsid w:val="000430AC"/>
    <w:rsid w:val="000456CB"/>
    <w:rsid w:val="00051388"/>
    <w:rsid w:val="0005455B"/>
    <w:rsid w:val="000569A1"/>
    <w:rsid w:val="00063AAB"/>
    <w:rsid w:val="00065FC0"/>
    <w:rsid w:val="00075D57"/>
    <w:rsid w:val="00077F9B"/>
    <w:rsid w:val="000811BB"/>
    <w:rsid w:val="00082A95"/>
    <w:rsid w:val="00084548"/>
    <w:rsid w:val="00085040"/>
    <w:rsid w:val="00091204"/>
    <w:rsid w:val="000919CD"/>
    <w:rsid w:val="00091B8B"/>
    <w:rsid w:val="00097071"/>
    <w:rsid w:val="000A0767"/>
    <w:rsid w:val="000A36CD"/>
    <w:rsid w:val="000A4695"/>
    <w:rsid w:val="000A5E8B"/>
    <w:rsid w:val="000A778F"/>
    <w:rsid w:val="000B0E73"/>
    <w:rsid w:val="000B52E8"/>
    <w:rsid w:val="000B5C00"/>
    <w:rsid w:val="000C03B4"/>
    <w:rsid w:val="000C6373"/>
    <w:rsid w:val="000C74B6"/>
    <w:rsid w:val="000D17A9"/>
    <w:rsid w:val="000D4338"/>
    <w:rsid w:val="000D5F02"/>
    <w:rsid w:val="000D755E"/>
    <w:rsid w:val="000D7B0F"/>
    <w:rsid w:val="000E04F1"/>
    <w:rsid w:val="000E211A"/>
    <w:rsid w:val="000E5852"/>
    <w:rsid w:val="000F2779"/>
    <w:rsid w:val="000F7269"/>
    <w:rsid w:val="0010142E"/>
    <w:rsid w:val="001045EA"/>
    <w:rsid w:val="00107B95"/>
    <w:rsid w:val="00107C84"/>
    <w:rsid w:val="00111899"/>
    <w:rsid w:val="0011480D"/>
    <w:rsid w:val="00114CAA"/>
    <w:rsid w:val="00116336"/>
    <w:rsid w:val="0011684E"/>
    <w:rsid w:val="001208E2"/>
    <w:rsid w:val="001212E4"/>
    <w:rsid w:val="00123F80"/>
    <w:rsid w:val="00124554"/>
    <w:rsid w:val="001302B8"/>
    <w:rsid w:val="00131479"/>
    <w:rsid w:val="001334F2"/>
    <w:rsid w:val="00143809"/>
    <w:rsid w:val="00143FD4"/>
    <w:rsid w:val="0015314D"/>
    <w:rsid w:val="001700DC"/>
    <w:rsid w:val="001758D0"/>
    <w:rsid w:val="0018079C"/>
    <w:rsid w:val="0018676A"/>
    <w:rsid w:val="0018732A"/>
    <w:rsid w:val="00193ACA"/>
    <w:rsid w:val="00195782"/>
    <w:rsid w:val="00195E2A"/>
    <w:rsid w:val="001A087D"/>
    <w:rsid w:val="001A2DFA"/>
    <w:rsid w:val="001A6B15"/>
    <w:rsid w:val="001A74DA"/>
    <w:rsid w:val="001A7EC2"/>
    <w:rsid w:val="001B166F"/>
    <w:rsid w:val="001B1D82"/>
    <w:rsid w:val="001B3696"/>
    <w:rsid w:val="001B721E"/>
    <w:rsid w:val="001C11EA"/>
    <w:rsid w:val="001C7C53"/>
    <w:rsid w:val="001D2EFB"/>
    <w:rsid w:val="001D5E3A"/>
    <w:rsid w:val="001D7103"/>
    <w:rsid w:val="001E0281"/>
    <w:rsid w:val="001E18D1"/>
    <w:rsid w:val="001E457F"/>
    <w:rsid w:val="001E5DA1"/>
    <w:rsid w:val="001F4083"/>
    <w:rsid w:val="001F6232"/>
    <w:rsid w:val="001F6E52"/>
    <w:rsid w:val="00210089"/>
    <w:rsid w:val="002141C4"/>
    <w:rsid w:val="0021475D"/>
    <w:rsid w:val="0021769C"/>
    <w:rsid w:val="0022040A"/>
    <w:rsid w:val="002207EA"/>
    <w:rsid w:val="002238F2"/>
    <w:rsid w:val="00224728"/>
    <w:rsid w:val="002349C7"/>
    <w:rsid w:val="00235C48"/>
    <w:rsid w:val="002371BD"/>
    <w:rsid w:val="002377D2"/>
    <w:rsid w:val="00246E35"/>
    <w:rsid w:val="00251429"/>
    <w:rsid w:val="00253A3D"/>
    <w:rsid w:val="00254393"/>
    <w:rsid w:val="00255356"/>
    <w:rsid w:val="00255A50"/>
    <w:rsid w:val="00263351"/>
    <w:rsid w:val="00266ED1"/>
    <w:rsid w:val="0028005F"/>
    <w:rsid w:val="002802A4"/>
    <w:rsid w:val="002808D9"/>
    <w:rsid w:val="002A4B14"/>
    <w:rsid w:val="002B273F"/>
    <w:rsid w:val="002B36F8"/>
    <w:rsid w:val="002B4A50"/>
    <w:rsid w:val="002B5DC3"/>
    <w:rsid w:val="002B6E7C"/>
    <w:rsid w:val="002C38E0"/>
    <w:rsid w:val="002C5D9C"/>
    <w:rsid w:val="002C7968"/>
    <w:rsid w:val="002D52FA"/>
    <w:rsid w:val="002E0C8F"/>
    <w:rsid w:val="002E69C0"/>
    <w:rsid w:val="002E6AB1"/>
    <w:rsid w:val="002F10C4"/>
    <w:rsid w:val="002F153F"/>
    <w:rsid w:val="002F2D6C"/>
    <w:rsid w:val="003053F0"/>
    <w:rsid w:val="0031292E"/>
    <w:rsid w:val="003129E0"/>
    <w:rsid w:val="00313F13"/>
    <w:rsid w:val="00320F03"/>
    <w:rsid w:val="0032427E"/>
    <w:rsid w:val="00334A90"/>
    <w:rsid w:val="00345F1A"/>
    <w:rsid w:val="00347D26"/>
    <w:rsid w:val="003503F7"/>
    <w:rsid w:val="00352043"/>
    <w:rsid w:val="00353975"/>
    <w:rsid w:val="00354B97"/>
    <w:rsid w:val="00355C63"/>
    <w:rsid w:val="00355FCD"/>
    <w:rsid w:val="003569FD"/>
    <w:rsid w:val="0036223D"/>
    <w:rsid w:val="00365676"/>
    <w:rsid w:val="003657B2"/>
    <w:rsid w:val="0036602F"/>
    <w:rsid w:val="0037180E"/>
    <w:rsid w:val="003833E5"/>
    <w:rsid w:val="00384AAB"/>
    <w:rsid w:val="00387A54"/>
    <w:rsid w:val="003937C3"/>
    <w:rsid w:val="00393C99"/>
    <w:rsid w:val="00393F9C"/>
    <w:rsid w:val="00397E8E"/>
    <w:rsid w:val="003A0934"/>
    <w:rsid w:val="003A4246"/>
    <w:rsid w:val="003B1C40"/>
    <w:rsid w:val="003B59D5"/>
    <w:rsid w:val="003B6E63"/>
    <w:rsid w:val="003C055D"/>
    <w:rsid w:val="003C5EB3"/>
    <w:rsid w:val="003C7A07"/>
    <w:rsid w:val="003E2B29"/>
    <w:rsid w:val="003E615A"/>
    <w:rsid w:val="003F116B"/>
    <w:rsid w:val="003F7E51"/>
    <w:rsid w:val="00401241"/>
    <w:rsid w:val="00401EC1"/>
    <w:rsid w:val="0041031F"/>
    <w:rsid w:val="00412E56"/>
    <w:rsid w:val="00415235"/>
    <w:rsid w:val="00433ACD"/>
    <w:rsid w:val="00433CF7"/>
    <w:rsid w:val="00436CCA"/>
    <w:rsid w:val="004371EC"/>
    <w:rsid w:val="00443981"/>
    <w:rsid w:val="004504D3"/>
    <w:rsid w:val="00450822"/>
    <w:rsid w:val="00461F39"/>
    <w:rsid w:val="00462F01"/>
    <w:rsid w:val="00471095"/>
    <w:rsid w:val="00482B0E"/>
    <w:rsid w:val="00491467"/>
    <w:rsid w:val="0049521B"/>
    <w:rsid w:val="00495CD9"/>
    <w:rsid w:val="00495D7A"/>
    <w:rsid w:val="00497FF8"/>
    <w:rsid w:val="004A382B"/>
    <w:rsid w:val="004A5D9A"/>
    <w:rsid w:val="004B6759"/>
    <w:rsid w:val="004B75DF"/>
    <w:rsid w:val="004C294A"/>
    <w:rsid w:val="004C740C"/>
    <w:rsid w:val="004D0626"/>
    <w:rsid w:val="004D4C26"/>
    <w:rsid w:val="004E0A27"/>
    <w:rsid w:val="004E0ED9"/>
    <w:rsid w:val="004E77B2"/>
    <w:rsid w:val="004F139F"/>
    <w:rsid w:val="00500242"/>
    <w:rsid w:val="00500E36"/>
    <w:rsid w:val="00501893"/>
    <w:rsid w:val="0050474F"/>
    <w:rsid w:val="0050726E"/>
    <w:rsid w:val="005111BF"/>
    <w:rsid w:val="0051493E"/>
    <w:rsid w:val="005151D7"/>
    <w:rsid w:val="005176FA"/>
    <w:rsid w:val="00517819"/>
    <w:rsid w:val="0052092F"/>
    <w:rsid w:val="0052166E"/>
    <w:rsid w:val="00525950"/>
    <w:rsid w:val="00530E68"/>
    <w:rsid w:val="00543741"/>
    <w:rsid w:val="00546538"/>
    <w:rsid w:val="00547A0C"/>
    <w:rsid w:val="005510F7"/>
    <w:rsid w:val="00551E59"/>
    <w:rsid w:val="0055489A"/>
    <w:rsid w:val="00555525"/>
    <w:rsid w:val="005556AE"/>
    <w:rsid w:val="00563ACC"/>
    <w:rsid w:val="0056434B"/>
    <w:rsid w:val="00564EFC"/>
    <w:rsid w:val="00566032"/>
    <w:rsid w:val="005660D3"/>
    <w:rsid w:val="0056623C"/>
    <w:rsid w:val="005862AE"/>
    <w:rsid w:val="0059328B"/>
    <w:rsid w:val="0059654A"/>
    <w:rsid w:val="00597DBC"/>
    <w:rsid w:val="005A14A0"/>
    <w:rsid w:val="005A1815"/>
    <w:rsid w:val="005A2438"/>
    <w:rsid w:val="005A2781"/>
    <w:rsid w:val="005A5859"/>
    <w:rsid w:val="005A5F9B"/>
    <w:rsid w:val="005B3BF3"/>
    <w:rsid w:val="005B659B"/>
    <w:rsid w:val="005C1E45"/>
    <w:rsid w:val="005D34B5"/>
    <w:rsid w:val="005D6301"/>
    <w:rsid w:val="005D757B"/>
    <w:rsid w:val="005E0265"/>
    <w:rsid w:val="005E0266"/>
    <w:rsid w:val="005E3223"/>
    <w:rsid w:val="005E3A52"/>
    <w:rsid w:val="005E7E6A"/>
    <w:rsid w:val="005F0D93"/>
    <w:rsid w:val="006008BA"/>
    <w:rsid w:val="00610DA3"/>
    <w:rsid w:val="0061433A"/>
    <w:rsid w:val="00615E78"/>
    <w:rsid w:val="006264E7"/>
    <w:rsid w:val="00627130"/>
    <w:rsid w:val="00627CFA"/>
    <w:rsid w:val="00627D9F"/>
    <w:rsid w:val="00631643"/>
    <w:rsid w:val="00632976"/>
    <w:rsid w:val="006348D0"/>
    <w:rsid w:val="006363A7"/>
    <w:rsid w:val="00643638"/>
    <w:rsid w:val="00645723"/>
    <w:rsid w:val="0065135D"/>
    <w:rsid w:val="006538E2"/>
    <w:rsid w:val="006542E6"/>
    <w:rsid w:val="00655BE2"/>
    <w:rsid w:val="006575EF"/>
    <w:rsid w:val="006612A9"/>
    <w:rsid w:val="00661B7C"/>
    <w:rsid w:val="00662C8E"/>
    <w:rsid w:val="00667058"/>
    <w:rsid w:val="00672BFD"/>
    <w:rsid w:val="00676B4E"/>
    <w:rsid w:val="00676EDE"/>
    <w:rsid w:val="00677E31"/>
    <w:rsid w:val="006819F6"/>
    <w:rsid w:val="00681BD7"/>
    <w:rsid w:val="00682D98"/>
    <w:rsid w:val="00685F5A"/>
    <w:rsid w:val="0068666B"/>
    <w:rsid w:val="00690D58"/>
    <w:rsid w:val="006943AC"/>
    <w:rsid w:val="006A0F86"/>
    <w:rsid w:val="006A339B"/>
    <w:rsid w:val="006A340E"/>
    <w:rsid w:val="006A652F"/>
    <w:rsid w:val="006B06D7"/>
    <w:rsid w:val="006B445A"/>
    <w:rsid w:val="006C3162"/>
    <w:rsid w:val="006C3C6F"/>
    <w:rsid w:val="006C769C"/>
    <w:rsid w:val="006D023F"/>
    <w:rsid w:val="006D5239"/>
    <w:rsid w:val="006D55EF"/>
    <w:rsid w:val="006D5ECC"/>
    <w:rsid w:val="006F3B90"/>
    <w:rsid w:val="006F52F0"/>
    <w:rsid w:val="007013A1"/>
    <w:rsid w:val="00704FF8"/>
    <w:rsid w:val="0071111F"/>
    <w:rsid w:val="00713951"/>
    <w:rsid w:val="00715438"/>
    <w:rsid w:val="00717DA7"/>
    <w:rsid w:val="00720D27"/>
    <w:rsid w:val="007237D2"/>
    <w:rsid w:val="0072553D"/>
    <w:rsid w:val="00727D29"/>
    <w:rsid w:val="00733539"/>
    <w:rsid w:val="0073788D"/>
    <w:rsid w:val="00740B86"/>
    <w:rsid w:val="00745FAF"/>
    <w:rsid w:val="007542E0"/>
    <w:rsid w:val="00755392"/>
    <w:rsid w:val="00755F93"/>
    <w:rsid w:val="00761D49"/>
    <w:rsid w:val="00762B7C"/>
    <w:rsid w:val="0076446D"/>
    <w:rsid w:val="007650A2"/>
    <w:rsid w:val="00775D1C"/>
    <w:rsid w:val="007760E8"/>
    <w:rsid w:val="00777DF6"/>
    <w:rsid w:val="00780735"/>
    <w:rsid w:val="0078082D"/>
    <w:rsid w:val="00781DE7"/>
    <w:rsid w:val="00785179"/>
    <w:rsid w:val="00791C89"/>
    <w:rsid w:val="00793B48"/>
    <w:rsid w:val="007966FE"/>
    <w:rsid w:val="00796AAC"/>
    <w:rsid w:val="007A46A7"/>
    <w:rsid w:val="007B0332"/>
    <w:rsid w:val="007B3B68"/>
    <w:rsid w:val="007B5842"/>
    <w:rsid w:val="007C4783"/>
    <w:rsid w:val="007D643F"/>
    <w:rsid w:val="007E393E"/>
    <w:rsid w:val="007E3D4E"/>
    <w:rsid w:val="00800E31"/>
    <w:rsid w:val="008048C3"/>
    <w:rsid w:val="00812EF1"/>
    <w:rsid w:val="00813A3C"/>
    <w:rsid w:val="008143DA"/>
    <w:rsid w:val="008175AC"/>
    <w:rsid w:val="008209D8"/>
    <w:rsid w:val="0082108E"/>
    <w:rsid w:val="00821BC0"/>
    <w:rsid w:val="00823BA8"/>
    <w:rsid w:val="0082692D"/>
    <w:rsid w:val="008364EB"/>
    <w:rsid w:val="00836F6C"/>
    <w:rsid w:val="0084097D"/>
    <w:rsid w:val="0084790C"/>
    <w:rsid w:val="008535B3"/>
    <w:rsid w:val="00855581"/>
    <w:rsid w:val="0085715C"/>
    <w:rsid w:val="00864F08"/>
    <w:rsid w:val="008650D1"/>
    <w:rsid w:val="00875986"/>
    <w:rsid w:val="00880D6C"/>
    <w:rsid w:val="008848D1"/>
    <w:rsid w:val="00890513"/>
    <w:rsid w:val="00891A32"/>
    <w:rsid w:val="00893CEE"/>
    <w:rsid w:val="00894A37"/>
    <w:rsid w:val="008A0689"/>
    <w:rsid w:val="008A0E52"/>
    <w:rsid w:val="008A3EBF"/>
    <w:rsid w:val="008A4F45"/>
    <w:rsid w:val="008A59AA"/>
    <w:rsid w:val="008A6601"/>
    <w:rsid w:val="008A6993"/>
    <w:rsid w:val="008A7807"/>
    <w:rsid w:val="008B6027"/>
    <w:rsid w:val="008C0D44"/>
    <w:rsid w:val="008C157E"/>
    <w:rsid w:val="008C1BC5"/>
    <w:rsid w:val="008D29D5"/>
    <w:rsid w:val="008D2C7D"/>
    <w:rsid w:val="008D3113"/>
    <w:rsid w:val="008D5C09"/>
    <w:rsid w:val="008E40C5"/>
    <w:rsid w:val="008F2534"/>
    <w:rsid w:val="008F37A2"/>
    <w:rsid w:val="008F6229"/>
    <w:rsid w:val="008F7525"/>
    <w:rsid w:val="008F7AD0"/>
    <w:rsid w:val="009009D5"/>
    <w:rsid w:val="00902032"/>
    <w:rsid w:val="0090367B"/>
    <w:rsid w:val="00914613"/>
    <w:rsid w:val="009151E9"/>
    <w:rsid w:val="00915920"/>
    <w:rsid w:val="00916E37"/>
    <w:rsid w:val="009335FD"/>
    <w:rsid w:val="00934006"/>
    <w:rsid w:val="00934FE2"/>
    <w:rsid w:val="0093503D"/>
    <w:rsid w:val="009356E6"/>
    <w:rsid w:val="00936807"/>
    <w:rsid w:val="00940B6C"/>
    <w:rsid w:val="00942218"/>
    <w:rsid w:val="00944A82"/>
    <w:rsid w:val="00945E77"/>
    <w:rsid w:val="00946AEE"/>
    <w:rsid w:val="0095019E"/>
    <w:rsid w:val="00951620"/>
    <w:rsid w:val="009542C4"/>
    <w:rsid w:val="00957895"/>
    <w:rsid w:val="009625A1"/>
    <w:rsid w:val="00967B55"/>
    <w:rsid w:val="00974776"/>
    <w:rsid w:val="00975875"/>
    <w:rsid w:val="0098031F"/>
    <w:rsid w:val="00981E62"/>
    <w:rsid w:val="00983187"/>
    <w:rsid w:val="009851DA"/>
    <w:rsid w:val="009940C4"/>
    <w:rsid w:val="00995ABB"/>
    <w:rsid w:val="009A0A03"/>
    <w:rsid w:val="009A382B"/>
    <w:rsid w:val="009A3A02"/>
    <w:rsid w:val="009A468E"/>
    <w:rsid w:val="009B116F"/>
    <w:rsid w:val="009B3419"/>
    <w:rsid w:val="009C3E05"/>
    <w:rsid w:val="009C47AE"/>
    <w:rsid w:val="009C71F9"/>
    <w:rsid w:val="009D172B"/>
    <w:rsid w:val="009D4091"/>
    <w:rsid w:val="009D71C3"/>
    <w:rsid w:val="009E3E1B"/>
    <w:rsid w:val="009E5AC7"/>
    <w:rsid w:val="009E7659"/>
    <w:rsid w:val="009F616C"/>
    <w:rsid w:val="009F714B"/>
    <w:rsid w:val="009F7C7B"/>
    <w:rsid w:val="00A005C6"/>
    <w:rsid w:val="00A00B10"/>
    <w:rsid w:val="00A06848"/>
    <w:rsid w:val="00A105FD"/>
    <w:rsid w:val="00A14D18"/>
    <w:rsid w:val="00A2053B"/>
    <w:rsid w:val="00A21E1F"/>
    <w:rsid w:val="00A22734"/>
    <w:rsid w:val="00A234AC"/>
    <w:rsid w:val="00A23F5E"/>
    <w:rsid w:val="00A2476C"/>
    <w:rsid w:val="00A248D2"/>
    <w:rsid w:val="00A26BA7"/>
    <w:rsid w:val="00A30137"/>
    <w:rsid w:val="00A303EF"/>
    <w:rsid w:val="00A32402"/>
    <w:rsid w:val="00A333B0"/>
    <w:rsid w:val="00A35848"/>
    <w:rsid w:val="00A36DB6"/>
    <w:rsid w:val="00A37021"/>
    <w:rsid w:val="00A4469C"/>
    <w:rsid w:val="00A50AE3"/>
    <w:rsid w:val="00A64BF3"/>
    <w:rsid w:val="00A71078"/>
    <w:rsid w:val="00A72131"/>
    <w:rsid w:val="00A73DD6"/>
    <w:rsid w:val="00A74433"/>
    <w:rsid w:val="00A8287B"/>
    <w:rsid w:val="00A85469"/>
    <w:rsid w:val="00A9079C"/>
    <w:rsid w:val="00A92FEE"/>
    <w:rsid w:val="00A94E78"/>
    <w:rsid w:val="00AA0A75"/>
    <w:rsid w:val="00AA0CB2"/>
    <w:rsid w:val="00AA420B"/>
    <w:rsid w:val="00AB10C3"/>
    <w:rsid w:val="00AB2997"/>
    <w:rsid w:val="00AB495F"/>
    <w:rsid w:val="00AB7347"/>
    <w:rsid w:val="00AB76F4"/>
    <w:rsid w:val="00AC5DDC"/>
    <w:rsid w:val="00AC730C"/>
    <w:rsid w:val="00AD41B5"/>
    <w:rsid w:val="00AD4270"/>
    <w:rsid w:val="00AD6F0D"/>
    <w:rsid w:val="00AD7C2C"/>
    <w:rsid w:val="00AF3B7B"/>
    <w:rsid w:val="00AF5CE6"/>
    <w:rsid w:val="00B07D55"/>
    <w:rsid w:val="00B1250A"/>
    <w:rsid w:val="00B15637"/>
    <w:rsid w:val="00B230E6"/>
    <w:rsid w:val="00B31D65"/>
    <w:rsid w:val="00B3651E"/>
    <w:rsid w:val="00B375BC"/>
    <w:rsid w:val="00B47064"/>
    <w:rsid w:val="00B47B4B"/>
    <w:rsid w:val="00B500A0"/>
    <w:rsid w:val="00B51A67"/>
    <w:rsid w:val="00B56E59"/>
    <w:rsid w:val="00B61952"/>
    <w:rsid w:val="00B629E3"/>
    <w:rsid w:val="00B71D4A"/>
    <w:rsid w:val="00B7500D"/>
    <w:rsid w:val="00B87F9B"/>
    <w:rsid w:val="00B954E8"/>
    <w:rsid w:val="00B97263"/>
    <w:rsid w:val="00BA1A1E"/>
    <w:rsid w:val="00BA21E0"/>
    <w:rsid w:val="00BA3F07"/>
    <w:rsid w:val="00BA46C0"/>
    <w:rsid w:val="00BA56FC"/>
    <w:rsid w:val="00BA5D73"/>
    <w:rsid w:val="00BA78E8"/>
    <w:rsid w:val="00BB0C88"/>
    <w:rsid w:val="00BB115E"/>
    <w:rsid w:val="00BB203D"/>
    <w:rsid w:val="00BC6FFB"/>
    <w:rsid w:val="00BD0B47"/>
    <w:rsid w:val="00BD2599"/>
    <w:rsid w:val="00BD3A0C"/>
    <w:rsid w:val="00BD709C"/>
    <w:rsid w:val="00BE2081"/>
    <w:rsid w:val="00BE3732"/>
    <w:rsid w:val="00BF06FF"/>
    <w:rsid w:val="00BF29E9"/>
    <w:rsid w:val="00BF2ED6"/>
    <w:rsid w:val="00BF46BA"/>
    <w:rsid w:val="00BF5478"/>
    <w:rsid w:val="00BF6052"/>
    <w:rsid w:val="00C014CC"/>
    <w:rsid w:val="00C1269A"/>
    <w:rsid w:val="00C138D4"/>
    <w:rsid w:val="00C13B73"/>
    <w:rsid w:val="00C154F5"/>
    <w:rsid w:val="00C246F4"/>
    <w:rsid w:val="00C26C02"/>
    <w:rsid w:val="00C30379"/>
    <w:rsid w:val="00C3340C"/>
    <w:rsid w:val="00C33E51"/>
    <w:rsid w:val="00C422EF"/>
    <w:rsid w:val="00C44231"/>
    <w:rsid w:val="00C466E9"/>
    <w:rsid w:val="00C506B2"/>
    <w:rsid w:val="00C5118C"/>
    <w:rsid w:val="00C53F9A"/>
    <w:rsid w:val="00C548BB"/>
    <w:rsid w:val="00C60794"/>
    <w:rsid w:val="00C63577"/>
    <w:rsid w:val="00C66220"/>
    <w:rsid w:val="00C76852"/>
    <w:rsid w:val="00C81166"/>
    <w:rsid w:val="00C8494E"/>
    <w:rsid w:val="00C866A3"/>
    <w:rsid w:val="00C87800"/>
    <w:rsid w:val="00C87936"/>
    <w:rsid w:val="00C91E21"/>
    <w:rsid w:val="00C95E48"/>
    <w:rsid w:val="00CB7AEB"/>
    <w:rsid w:val="00CC0B5C"/>
    <w:rsid w:val="00CC6749"/>
    <w:rsid w:val="00CD1CBB"/>
    <w:rsid w:val="00CD4F10"/>
    <w:rsid w:val="00CE23ED"/>
    <w:rsid w:val="00CE3D2D"/>
    <w:rsid w:val="00CE6983"/>
    <w:rsid w:val="00CF0CF0"/>
    <w:rsid w:val="00CF1363"/>
    <w:rsid w:val="00CF1DF7"/>
    <w:rsid w:val="00CF7BBC"/>
    <w:rsid w:val="00D04D07"/>
    <w:rsid w:val="00D06849"/>
    <w:rsid w:val="00D1125E"/>
    <w:rsid w:val="00D11A17"/>
    <w:rsid w:val="00D30C1F"/>
    <w:rsid w:val="00D31469"/>
    <w:rsid w:val="00D34849"/>
    <w:rsid w:val="00D348F4"/>
    <w:rsid w:val="00D45FE1"/>
    <w:rsid w:val="00D64779"/>
    <w:rsid w:val="00D6677A"/>
    <w:rsid w:val="00D70F7F"/>
    <w:rsid w:val="00D70FD6"/>
    <w:rsid w:val="00D711EC"/>
    <w:rsid w:val="00D71DE4"/>
    <w:rsid w:val="00D72ADC"/>
    <w:rsid w:val="00D77624"/>
    <w:rsid w:val="00D85689"/>
    <w:rsid w:val="00D8591C"/>
    <w:rsid w:val="00D92085"/>
    <w:rsid w:val="00D93812"/>
    <w:rsid w:val="00D95B32"/>
    <w:rsid w:val="00D95C4E"/>
    <w:rsid w:val="00D96A82"/>
    <w:rsid w:val="00DA52C7"/>
    <w:rsid w:val="00DB1C34"/>
    <w:rsid w:val="00DB4A24"/>
    <w:rsid w:val="00DB5A56"/>
    <w:rsid w:val="00DB6258"/>
    <w:rsid w:val="00DC683F"/>
    <w:rsid w:val="00DC78CD"/>
    <w:rsid w:val="00DD2271"/>
    <w:rsid w:val="00DD26BA"/>
    <w:rsid w:val="00DD708E"/>
    <w:rsid w:val="00DE7BD9"/>
    <w:rsid w:val="00DE7C8E"/>
    <w:rsid w:val="00DF39A0"/>
    <w:rsid w:val="00DF4E74"/>
    <w:rsid w:val="00DF5A91"/>
    <w:rsid w:val="00DF7A6B"/>
    <w:rsid w:val="00E01746"/>
    <w:rsid w:val="00E0342A"/>
    <w:rsid w:val="00E05657"/>
    <w:rsid w:val="00E112BF"/>
    <w:rsid w:val="00E14FE1"/>
    <w:rsid w:val="00E16186"/>
    <w:rsid w:val="00E2019A"/>
    <w:rsid w:val="00E21ABB"/>
    <w:rsid w:val="00E2279D"/>
    <w:rsid w:val="00E30313"/>
    <w:rsid w:val="00E45D2B"/>
    <w:rsid w:val="00E51DAB"/>
    <w:rsid w:val="00E52F85"/>
    <w:rsid w:val="00E53653"/>
    <w:rsid w:val="00E57431"/>
    <w:rsid w:val="00E60395"/>
    <w:rsid w:val="00E64D14"/>
    <w:rsid w:val="00E66FE1"/>
    <w:rsid w:val="00E67A3F"/>
    <w:rsid w:val="00E73B29"/>
    <w:rsid w:val="00E81E8D"/>
    <w:rsid w:val="00E84D68"/>
    <w:rsid w:val="00E84E14"/>
    <w:rsid w:val="00E85263"/>
    <w:rsid w:val="00E86CEA"/>
    <w:rsid w:val="00E908DB"/>
    <w:rsid w:val="00E90E6C"/>
    <w:rsid w:val="00E91528"/>
    <w:rsid w:val="00E976A8"/>
    <w:rsid w:val="00EA1C82"/>
    <w:rsid w:val="00EB3D7A"/>
    <w:rsid w:val="00EB525A"/>
    <w:rsid w:val="00EB7EB5"/>
    <w:rsid w:val="00EC5628"/>
    <w:rsid w:val="00ED2557"/>
    <w:rsid w:val="00ED7E9F"/>
    <w:rsid w:val="00EE0E57"/>
    <w:rsid w:val="00EE5DC0"/>
    <w:rsid w:val="00EE6472"/>
    <w:rsid w:val="00EE742E"/>
    <w:rsid w:val="00EE7A67"/>
    <w:rsid w:val="00EE7A7B"/>
    <w:rsid w:val="00EF2A0E"/>
    <w:rsid w:val="00EF39D8"/>
    <w:rsid w:val="00EF44D4"/>
    <w:rsid w:val="00EF53F9"/>
    <w:rsid w:val="00EF597B"/>
    <w:rsid w:val="00F05173"/>
    <w:rsid w:val="00F07812"/>
    <w:rsid w:val="00F10937"/>
    <w:rsid w:val="00F12F54"/>
    <w:rsid w:val="00F13477"/>
    <w:rsid w:val="00F14176"/>
    <w:rsid w:val="00F1422C"/>
    <w:rsid w:val="00F1489F"/>
    <w:rsid w:val="00F15F3D"/>
    <w:rsid w:val="00F16DFF"/>
    <w:rsid w:val="00F256E3"/>
    <w:rsid w:val="00F25BE3"/>
    <w:rsid w:val="00F25FCD"/>
    <w:rsid w:val="00F26000"/>
    <w:rsid w:val="00F317F4"/>
    <w:rsid w:val="00F44DD6"/>
    <w:rsid w:val="00F45F6E"/>
    <w:rsid w:val="00F5282B"/>
    <w:rsid w:val="00F55365"/>
    <w:rsid w:val="00F56966"/>
    <w:rsid w:val="00F63446"/>
    <w:rsid w:val="00F64292"/>
    <w:rsid w:val="00F64C61"/>
    <w:rsid w:val="00F677FB"/>
    <w:rsid w:val="00F7017B"/>
    <w:rsid w:val="00F7048B"/>
    <w:rsid w:val="00F72AF5"/>
    <w:rsid w:val="00F75935"/>
    <w:rsid w:val="00F75DA4"/>
    <w:rsid w:val="00F80707"/>
    <w:rsid w:val="00F82DAF"/>
    <w:rsid w:val="00F83188"/>
    <w:rsid w:val="00FA386C"/>
    <w:rsid w:val="00FA59FF"/>
    <w:rsid w:val="00FB4E7B"/>
    <w:rsid w:val="00FB6E61"/>
    <w:rsid w:val="00FC6AC7"/>
    <w:rsid w:val="00FC7586"/>
    <w:rsid w:val="00FD29BA"/>
    <w:rsid w:val="00FD3D7D"/>
    <w:rsid w:val="00FD53F3"/>
    <w:rsid w:val="00FD6B01"/>
    <w:rsid w:val="00FE3159"/>
    <w:rsid w:val="00FE6601"/>
    <w:rsid w:val="00FE6B17"/>
    <w:rsid w:val="00FE7721"/>
    <w:rsid w:val="00FF0234"/>
    <w:rsid w:val="00FF0D8B"/>
    <w:rsid w:val="00FF147D"/>
    <w:rsid w:val="00FF1988"/>
    <w:rsid w:val="00FF2E2E"/>
    <w:rsid w:val="00FF5413"/>
    <w:rsid w:val="00FF7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9A"/>
    <w:pPr>
      <w:spacing w:after="0" w:line="240" w:lineRule="auto"/>
    </w:pPr>
    <w:rPr>
      <w:rFonts w:ascii="Arial" w:hAnsi="Arial"/>
      <w:sz w:val="20"/>
      <w:szCs w:val="20"/>
    </w:rPr>
  </w:style>
  <w:style w:type="paragraph" w:styleId="Overskrift1">
    <w:name w:val="heading 1"/>
    <w:basedOn w:val="Normal"/>
    <w:next w:val="Normal"/>
    <w:link w:val="Overskrift1Tegn"/>
    <w:uiPriority w:val="99"/>
    <w:qFormat/>
    <w:rsid w:val="008D2C7D"/>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9"/>
    <w:qFormat/>
    <w:rsid w:val="00D95B32"/>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8D2C7D"/>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B47B4B"/>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B47B4B"/>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locked/>
    <w:rsid w:val="00B47B4B"/>
    <w:rPr>
      <w:rFonts w:ascii="Cambria" w:hAnsi="Cambria" w:cs="Times New Roman"/>
      <w:b/>
      <w:bCs/>
      <w:sz w:val="26"/>
      <w:szCs w:val="26"/>
    </w:rPr>
  </w:style>
  <w:style w:type="character" w:styleId="Fodnotehenvisning">
    <w:name w:val="footnote reference"/>
    <w:basedOn w:val="Standardskrifttypeiafsnit"/>
    <w:uiPriority w:val="99"/>
    <w:semiHidden/>
    <w:rsid w:val="008D2C7D"/>
    <w:rPr>
      <w:rFonts w:cs="Times New Roman"/>
      <w:vertAlign w:val="superscript"/>
    </w:rPr>
  </w:style>
  <w:style w:type="character" w:styleId="Hyperlink">
    <w:name w:val="Hyperlink"/>
    <w:basedOn w:val="Standardskrifttypeiafsnit"/>
    <w:uiPriority w:val="99"/>
    <w:rsid w:val="0073788D"/>
    <w:rPr>
      <w:rFonts w:cs="Times New Roman"/>
      <w:color w:val="0000FF"/>
      <w:u w:val="single"/>
    </w:rPr>
  </w:style>
  <w:style w:type="character" w:styleId="BesgtHyperlink">
    <w:name w:val="FollowedHyperlink"/>
    <w:basedOn w:val="Standardskrifttypeiafsnit"/>
    <w:uiPriority w:val="99"/>
    <w:rsid w:val="0073788D"/>
    <w:rPr>
      <w:rFonts w:cs="Times New Roman"/>
      <w:color w:val="800080"/>
      <w:u w:val="single"/>
    </w:rPr>
  </w:style>
  <w:style w:type="character" w:styleId="Kommentarhenvisning">
    <w:name w:val="annotation reference"/>
    <w:basedOn w:val="Standardskrifttypeiafsnit"/>
    <w:uiPriority w:val="99"/>
    <w:rsid w:val="00CF1DF7"/>
    <w:rPr>
      <w:rFonts w:cs="Times New Roman"/>
      <w:sz w:val="16"/>
    </w:rPr>
  </w:style>
  <w:style w:type="paragraph" w:styleId="Kommentartekst">
    <w:name w:val="annotation text"/>
    <w:basedOn w:val="Normal"/>
    <w:link w:val="KommentartekstTegn"/>
    <w:uiPriority w:val="99"/>
    <w:rsid w:val="00CF1DF7"/>
  </w:style>
  <w:style w:type="character" w:customStyle="1" w:styleId="KommentartekstTegn">
    <w:name w:val="Kommentartekst Tegn"/>
    <w:basedOn w:val="Standardskrifttypeiafsnit"/>
    <w:link w:val="Kommentartekst"/>
    <w:uiPriority w:val="99"/>
    <w:locked/>
    <w:rsid w:val="00CF1DF7"/>
    <w:rPr>
      <w:rFonts w:ascii="Arial" w:hAnsi="Arial" w:cs="Times New Roman"/>
      <w:lang w:val="da-DK" w:eastAsia="da-DK"/>
    </w:rPr>
  </w:style>
  <w:style w:type="paragraph" w:styleId="Markeringsbobletekst">
    <w:name w:val="Balloon Text"/>
    <w:basedOn w:val="Normal"/>
    <w:link w:val="MarkeringsbobletekstTegn"/>
    <w:uiPriority w:val="99"/>
    <w:semiHidden/>
    <w:rsid w:val="00CF1D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B47B4B"/>
    <w:rPr>
      <w:rFonts w:cs="Times New Roman"/>
      <w:sz w:val="2"/>
    </w:rPr>
  </w:style>
  <w:style w:type="paragraph" w:styleId="Billedtekst">
    <w:name w:val="caption"/>
    <w:basedOn w:val="Normal"/>
    <w:next w:val="Normal"/>
    <w:qFormat/>
    <w:rsid w:val="00450822"/>
    <w:rPr>
      <w:b/>
      <w:bCs/>
    </w:rPr>
  </w:style>
  <w:style w:type="paragraph" w:styleId="Fodnotetekst">
    <w:name w:val="footnote text"/>
    <w:basedOn w:val="Normal"/>
    <w:link w:val="FodnotetekstTegn"/>
    <w:uiPriority w:val="99"/>
    <w:semiHidden/>
    <w:rsid w:val="00610DA3"/>
  </w:style>
  <w:style w:type="character" w:customStyle="1" w:styleId="FodnotetekstTegn">
    <w:name w:val="Fodnotetekst Tegn"/>
    <w:basedOn w:val="Standardskrifttypeiafsnit"/>
    <w:link w:val="Fodnotetekst"/>
    <w:uiPriority w:val="99"/>
    <w:semiHidden/>
    <w:locked/>
    <w:rsid w:val="00B47B4B"/>
    <w:rPr>
      <w:rFonts w:ascii="Arial" w:hAnsi="Arial" w:cs="Times New Roman"/>
      <w:sz w:val="20"/>
      <w:szCs w:val="20"/>
    </w:rPr>
  </w:style>
  <w:style w:type="paragraph" w:customStyle="1" w:styleId="Default">
    <w:name w:val="Default"/>
    <w:uiPriority w:val="99"/>
    <w:rsid w:val="00F72AF5"/>
    <w:pPr>
      <w:autoSpaceDE w:val="0"/>
      <w:autoSpaceDN w:val="0"/>
      <w:adjustRightInd w:val="0"/>
      <w:spacing w:after="0" w:line="240" w:lineRule="auto"/>
    </w:pPr>
    <w:rPr>
      <w:rFonts w:ascii="Arial" w:hAnsi="Arial" w:cs="Arial"/>
      <w:color w:val="000000"/>
      <w:sz w:val="24"/>
      <w:szCs w:val="24"/>
    </w:rPr>
  </w:style>
  <w:style w:type="paragraph" w:styleId="Sidefod">
    <w:name w:val="footer"/>
    <w:basedOn w:val="Normal"/>
    <w:link w:val="SidefodTegn"/>
    <w:uiPriority w:val="99"/>
    <w:rsid w:val="00AC5DDC"/>
    <w:pPr>
      <w:tabs>
        <w:tab w:val="center" w:pos="4819"/>
        <w:tab w:val="right" w:pos="9638"/>
      </w:tabs>
    </w:pPr>
  </w:style>
  <w:style w:type="character" w:customStyle="1" w:styleId="SidefodTegn">
    <w:name w:val="Sidefod Tegn"/>
    <w:basedOn w:val="Standardskrifttypeiafsnit"/>
    <w:link w:val="Sidefod"/>
    <w:uiPriority w:val="99"/>
    <w:semiHidden/>
    <w:locked/>
    <w:rsid w:val="00B47B4B"/>
    <w:rPr>
      <w:rFonts w:ascii="Arial" w:hAnsi="Arial" w:cs="Times New Roman"/>
      <w:sz w:val="20"/>
      <w:szCs w:val="20"/>
    </w:rPr>
  </w:style>
  <w:style w:type="character" w:styleId="Sidetal">
    <w:name w:val="page number"/>
    <w:basedOn w:val="Standardskrifttypeiafsnit"/>
    <w:uiPriority w:val="99"/>
    <w:rsid w:val="00AC5DDC"/>
    <w:rPr>
      <w:rFonts w:cs="Times New Roman"/>
    </w:rPr>
  </w:style>
  <w:style w:type="character" w:customStyle="1" w:styleId="1linie">
    <w:name w:val="1½ linie"/>
    <w:basedOn w:val="Standardskrifttypeiafsnit"/>
    <w:uiPriority w:val="99"/>
    <w:rsid w:val="00D95B32"/>
    <w:rPr>
      <w:rFonts w:ascii="TmsRmn 11pt" w:hAnsi="TmsRmn 11pt" w:cs="Times New Roman"/>
      <w:sz w:val="22"/>
      <w:lang w:val="en-US" w:eastAsia="x-none"/>
    </w:rPr>
  </w:style>
  <w:style w:type="paragraph" w:styleId="Kommentaremne">
    <w:name w:val="annotation subject"/>
    <w:basedOn w:val="Kommentartekst"/>
    <w:next w:val="Kommentartekst"/>
    <w:link w:val="KommentaremneTegn"/>
    <w:uiPriority w:val="99"/>
    <w:semiHidden/>
    <w:rsid w:val="00A71078"/>
    <w:rPr>
      <w:b/>
      <w:bCs/>
    </w:rPr>
  </w:style>
  <w:style w:type="character" w:customStyle="1" w:styleId="KommentaremneTegn">
    <w:name w:val="Kommentaremne Tegn"/>
    <w:basedOn w:val="KommentartekstTegn"/>
    <w:link w:val="Kommentaremne"/>
    <w:uiPriority w:val="99"/>
    <w:semiHidden/>
    <w:locked/>
    <w:rsid w:val="00B47B4B"/>
    <w:rPr>
      <w:rFonts w:ascii="Arial" w:hAnsi="Arial" w:cs="Times New Roman"/>
      <w:b/>
      <w:bCs/>
      <w:sz w:val="20"/>
      <w:szCs w:val="20"/>
      <w:lang w:val="da-DK" w:eastAsia="da-DK"/>
    </w:rPr>
  </w:style>
  <w:style w:type="paragraph" w:styleId="Slutnotetekst">
    <w:name w:val="endnote text"/>
    <w:basedOn w:val="Normal"/>
    <w:link w:val="SlutnotetekstTegn"/>
    <w:uiPriority w:val="99"/>
    <w:semiHidden/>
    <w:rsid w:val="0061433A"/>
  </w:style>
  <w:style w:type="character" w:customStyle="1" w:styleId="SlutnotetekstTegn">
    <w:name w:val="Slutnotetekst Tegn"/>
    <w:basedOn w:val="Standardskrifttypeiafsnit"/>
    <w:link w:val="Slutnotetekst"/>
    <w:uiPriority w:val="99"/>
    <w:semiHidden/>
    <w:locked/>
    <w:rsid w:val="00B47B4B"/>
    <w:rPr>
      <w:rFonts w:ascii="Arial" w:hAnsi="Arial" w:cs="Times New Roman"/>
      <w:sz w:val="20"/>
      <w:szCs w:val="20"/>
    </w:rPr>
  </w:style>
  <w:style w:type="character" w:styleId="Slutnotehenvisning">
    <w:name w:val="endnote reference"/>
    <w:basedOn w:val="Standardskrifttypeiafsnit"/>
    <w:uiPriority w:val="99"/>
    <w:semiHidden/>
    <w:rsid w:val="0061433A"/>
    <w:rPr>
      <w:rFonts w:cs="Times New Roman"/>
      <w:vertAlign w:val="superscript"/>
    </w:rPr>
  </w:style>
  <w:style w:type="character" w:styleId="Fremhv">
    <w:name w:val="Emphasis"/>
    <w:basedOn w:val="Standardskrifttypeiafsnit"/>
    <w:uiPriority w:val="99"/>
    <w:qFormat/>
    <w:rsid w:val="00AA420B"/>
    <w:rPr>
      <w:rFonts w:cs="Times New Roman"/>
      <w:i/>
    </w:rPr>
  </w:style>
  <w:style w:type="paragraph" w:styleId="Sidehoved">
    <w:name w:val="header"/>
    <w:basedOn w:val="Normal"/>
    <w:link w:val="SidehovedTegn"/>
    <w:uiPriority w:val="99"/>
    <w:rsid w:val="00AA420B"/>
    <w:pPr>
      <w:tabs>
        <w:tab w:val="center" w:pos="4536"/>
        <w:tab w:val="right" w:pos="9072"/>
      </w:tabs>
    </w:pPr>
  </w:style>
  <w:style w:type="character" w:customStyle="1" w:styleId="SidehovedTegn">
    <w:name w:val="Sidehoved Tegn"/>
    <w:basedOn w:val="Standardskrifttypeiafsnit"/>
    <w:link w:val="Sidehoved"/>
    <w:uiPriority w:val="99"/>
    <w:locked/>
    <w:rsid w:val="00AA420B"/>
    <w:rPr>
      <w:rFonts w:ascii="Arial" w:hAnsi="Arial" w:cs="Times New Roman"/>
      <w:lang w:val="da-DK" w:eastAsia="da-DK"/>
    </w:rPr>
  </w:style>
  <w:style w:type="paragraph" w:styleId="Dokumentoversigt">
    <w:name w:val="Document Map"/>
    <w:basedOn w:val="Normal"/>
    <w:link w:val="DokumentoversigtTegn"/>
    <w:uiPriority w:val="99"/>
    <w:rsid w:val="003833E5"/>
    <w:rPr>
      <w:rFonts w:ascii="Tahoma" w:hAnsi="Tahoma" w:cs="Tahoma"/>
      <w:sz w:val="16"/>
      <w:szCs w:val="16"/>
    </w:rPr>
  </w:style>
  <w:style w:type="character" w:customStyle="1" w:styleId="DokumentoversigtTegn">
    <w:name w:val="Dokumentoversigt Tegn"/>
    <w:basedOn w:val="Standardskrifttypeiafsnit"/>
    <w:link w:val="Dokumentoversigt"/>
    <w:uiPriority w:val="99"/>
    <w:locked/>
    <w:rsid w:val="003833E5"/>
    <w:rPr>
      <w:rFonts w:ascii="Tahoma" w:hAnsi="Tahoma" w:cs="Tahoma"/>
      <w:sz w:val="16"/>
      <w:szCs w:val="16"/>
      <w:lang w:val="da-DK" w:eastAsia="da-DK"/>
    </w:rPr>
  </w:style>
  <w:style w:type="paragraph" w:styleId="Korrektur">
    <w:name w:val="Revision"/>
    <w:hidden/>
    <w:uiPriority w:val="99"/>
    <w:semiHidden/>
    <w:rsid w:val="00761D49"/>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9A"/>
    <w:pPr>
      <w:spacing w:after="0" w:line="240" w:lineRule="auto"/>
    </w:pPr>
    <w:rPr>
      <w:rFonts w:ascii="Arial" w:hAnsi="Arial"/>
      <w:sz w:val="20"/>
      <w:szCs w:val="20"/>
    </w:rPr>
  </w:style>
  <w:style w:type="paragraph" w:styleId="Overskrift1">
    <w:name w:val="heading 1"/>
    <w:basedOn w:val="Normal"/>
    <w:next w:val="Normal"/>
    <w:link w:val="Overskrift1Tegn"/>
    <w:uiPriority w:val="99"/>
    <w:qFormat/>
    <w:rsid w:val="008D2C7D"/>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9"/>
    <w:qFormat/>
    <w:rsid w:val="00D95B32"/>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8D2C7D"/>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B47B4B"/>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B47B4B"/>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locked/>
    <w:rsid w:val="00B47B4B"/>
    <w:rPr>
      <w:rFonts w:ascii="Cambria" w:hAnsi="Cambria" w:cs="Times New Roman"/>
      <w:b/>
      <w:bCs/>
      <w:sz w:val="26"/>
      <w:szCs w:val="26"/>
    </w:rPr>
  </w:style>
  <w:style w:type="character" w:styleId="Fodnotehenvisning">
    <w:name w:val="footnote reference"/>
    <w:basedOn w:val="Standardskrifttypeiafsnit"/>
    <w:uiPriority w:val="99"/>
    <w:semiHidden/>
    <w:rsid w:val="008D2C7D"/>
    <w:rPr>
      <w:rFonts w:cs="Times New Roman"/>
      <w:vertAlign w:val="superscript"/>
    </w:rPr>
  </w:style>
  <w:style w:type="character" w:styleId="Hyperlink">
    <w:name w:val="Hyperlink"/>
    <w:basedOn w:val="Standardskrifttypeiafsnit"/>
    <w:uiPriority w:val="99"/>
    <w:rsid w:val="0073788D"/>
    <w:rPr>
      <w:rFonts w:cs="Times New Roman"/>
      <w:color w:val="0000FF"/>
      <w:u w:val="single"/>
    </w:rPr>
  </w:style>
  <w:style w:type="character" w:styleId="BesgtHyperlink">
    <w:name w:val="FollowedHyperlink"/>
    <w:basedOn w:val="Standardskrifttypeiafsnit"/>
    <w:uiPriority w:val="99"/>
    <w:rsid w:val="0073788D"/>
    <w:rPr>
      <w:rFonts w:cs="Times New Roman"/>
      <w:color w:val="800080"/>
      <w:u w:val="single"/>
    </w:rPr>
  </w:style>
  <w:style w:type="character" w:styleId="Kommentarhenvisning">
    <w:name w:val="annotation reference"/>
    <w:basedOn w:val="Standardskrifttypeiafsnit"/>
    <w:uiPriority w:val="99"/>
    <w:rsid w:val="00CF1DF7"/>
    <w:rPr>
      <w:rFonts w:cs="Times New Roman"/>
      <w:sz w:val="16"/>
    </w:rPr>
  </w:style>
  <w:style w:type="paragraph" w:styleId="Kommentartekst">
    <w:name w:val="annotation text"/>
    <w:basedOn w:val="Normal"/>
    <w:link w:val="KommentartekstTegn"/>
    <w:uiPriority w:val="99"/>
    <w:rsid w:val="00CF1DF7"/>
  </w:style>
  <w:style w:type="character" w:customStyle="1" w:styleId="KommentartekstTegn">
    <w:name w:val="Kommentartekst Tegn"/>
    <w:basedOn w:val="Standardskrifttypeiafsnit"/>
    <w:link w:val="Kommentartekst"/>
    <w:uiPriority w:val="99"/>
    <w:locked/>
    <w:rsid w:val="00CF1DF7"/>
    <w:rPr>
      <w:rFonts w:ascii="Arial" w:hAnsi="Arial" w:cs="Times New Roman"/>
      <w:lang w:val="da-DK" w:eastAsia="da-DK"/>
    </w:rPr>
  </w:style>
  <w:style w:type="paragraph" w:styleId="Markeringsbobletekst">
    <w:name w:val="Balloon Text"/>
    <w:basedOn w:val="Normal"/>
    <w:link w:val="MarkeringsbobletekstTegn"/>
    <w:uiPriority w:val="99"/>
    <w:semiHidden/>
    <w:rsid w:val="00CF1DF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B47B4B"/>
    <w:rPr>
      <w:rFonts w:cs="Times New Roman"/>
      <w:sz w:val="2"/>
    </w:rPr>
  </w:style>
  <w:style w:type="paragraph" w:styleId="Billedtekst">
    <w:name w:val="caption"/>
    <w:basedOn w:val="Normal"/>
    <w:next w:val="Normal"/>
    <w:qFormat/>
    <w:rsid w:val="00450822"/>
    <w:rPr>
      <w:b/>
      <w:bCs/>
    </w:rPr>
  </w:style>
  <w:style w:type="paragraph" w:styleId="Fodnotetekst">
    <w:name w:val="footnote text"/>
    <w:basedOn w:val="Normal"/>
    <w:link w:val="FodnotetekstTegn"/>
    <w:uiPriority w:val="99"/>
    <w:semiHidden/>
    <w:rsid w:val="00610DA3"/>
  </w:style>
  <w:style w:type="character" w:customStyle="1" w:styleId="FodnotetekstTegn">
    <w:name w:val="Fodnotetekst Tegn"/>
    <w:basedOn w:val="Standardskrifttypeiafsnit"/>
    <w:link w:val="Fodnotetekst"/>
    <w:uiPriority w:val="99"/>
    <w:semiHidden/>
    <w:locked/>
    <w:rsid w:val="00B47B4B"/>
    <w:rPr>
      <w:rFonts w:ascii="Arial" w:hAnsi="Arial" w:cs="Times New Roman"/>
      <w:sz w:val="20"/>
      <w:szCs w:val="20"/>
    </w:rPr>
  </w:style>
  <w:style w:type="paragraph" w:customStyle="1" w:styleId="Default">
    <w:name w:val="Default"/>
    <w:uiPriority w:val="99"/>
    <w:rsid w:val="00F72AF5"/>
    <w:pPr>
      <w:autoSpaceDE w:val="0"/>
      <w:autoSpaceDN w:val="0"/>
      <w:adjustRightInd w:val="0"/>
      <w:spacing w:after="0" w:line="240" w:lineRule="auto"/>
    </w:pPr>
    <w:rPr>
      <w:rFonts w:ascii="Arial" w:hAnsi="Arial" w:cs="Arial"/>
      <w:color w:val="000000"/>
      <w:sz w:val="24"/>
      <w:szCs w:val="24"/>
    </w:rPr>
  </w:style>
  <w:style w:type="paragraph" w:styleId="Sidefod">
    <w:name w:val="footer"/>
    <w:basedOn w:val="Normal"/>
    <w:link w:val="SidefodTegn"/>
    <w:uiPriority w:val="99"/>
    <w:rsid w:val="00AC5DDC"/>
    <w:pPr>
      <w:tabs>
        <w:tab w:val="center" w:pos="4819"/>
        <w:tab w:val="right" w:pos="9638"/>
      </w:tabs>
    </w:pPr>
  </w:style>
  <w:style w:type="character" w:customStyle="1" w:styleId="SidefodTegn">
    <w:name w:val="Sidefod Tegn"/>
    <w:basedOn w:val="Standardskrifttypeiafsnit"/>
    <w:link w:val="Sidefod"/>
    <w:uiPriority w:val="99"/>
    <w:semiHidden/>
    <w:locked/>
    <w:rsid w:val="00B47B4B"/>
    <w:rPr>
      <w:rFonts w:ascii="Arial" w:hAnsi="Arial" w:cs="Times New Roman"/>
      <w:sz w:val="20"/>
      <w:szCs w:val="20"/>
    </w:rPr>
  </w:style>
  <w:style w:type="character" w:styleId="Sidetal">
    <w:name w:val="page number"/>
    <w:basedOn w:val="Standardskrifttypeiafsnit"/>
    <w:uiPriority w:val="99"/>
    <w:rsid w:val="00AC5DDC"/>
    <w:rPr>
      <w:rFonts w:cs="Times New Roman"/>
    </w:rPr>
  </w:style>
  <w:style w:type="character" w:customStyle="1" w:styleId="1linie">
    <w:name w:val="1½ linie"/>
    <w:basedOn w:val="Standardskrifttypeiafsnit"/>
    <w:uiPriority w:val="99"/>
    <w:rsid w:val="00D95B32"/>
    <w:rPr>
      <w:rFonts w:ascii="TmsRmn 11pt" w:hAnsi="TmsRmn 11pt" w:cs="Times New Roman"/>
      <w:sz w:val="22"/>
      <w:lang w:val="en-US" w:eastAsia="x-none"/>
    </w:rPr>
  </w:style>
  <w:style w:type="paragraph" w:styleId="Kommentaremne">
    <w:name w:val="annotation subject"/>
    <w:basedOn w:val="Kommentartekst"/>
    <w:next w:val="Kommentartekst"/>
    <w:link w:val="KommentaremneTegn"/>
    <w:uiPriority w:val="99"/>
    <w:semiHidden/>
    <w:rsid w:val="00A71078"/>
    <w:rPr>
      <w:b/>
      <w:bCs/>
    </w:rPr>
  </w:style>
  <w:style w:type="character" w:customStyle="1" w:styleId="KommentaremneTegn">
    <w:name w:val="Kommentaremne Tegn"/>
    <w:basedOn w:val="KommentartekstTegn"/>
    <w:link w:val="Kommentaremne"/>
    <w:uiPriority w:val="99"/>
    <w:semiHidden/>
    <w:locked/>
    <w:rsid w:val="00B47B4B"/>
    <w:rPr>
      <w:rFonts w:ascii="Arial" w:hAnsi="Arial" w:cs="Times New Roman"/>
      <w:b/>
      <w:bCs/>
      <w:sz w:val="20"/>
      <w:szCs w:val="20"/>
      <w:lang w:val="da-DK" w:eastAsia="da-DK"/>
    </w:rPr>
  </w:style>
  <w:style w:type="paragraph" w:styleId="Slutnotetekst">
    <w:name w:val="endnote text"/>
    <w:basedOn w:val="Normal"/>
    <w:link w:val="SlutnotetekstTegn"/>
    <w:uiPriority w:val="99"/>
    <w:semiHidden/>
    <w:rsid w:val="0061433A"/>
  </w:style>
  <w:style w:type="character" w:customStyle="1" w:styleId="SlutnotetekstTegn">
    <w:name w:val="Slutnotetekst Tegn"/>
    <w:basedOn w:val="Standardskrifttypeiafsnit"/>
    <w:link w:val="Slutnotetekst"/>
    <w:uiPriority w:val="99"/>
    <w:semiHidden/>
    <w:locked/>
    <w:rsid w:val="00B47B4B"/>
    <w:rPr>
      <w:rFonts w:ascii="Arial" w:hAnsi="Arial" w:cs="Times New Roman"/>
      <w:sz w:val="20"/>
      <w:szCs w:val="20"/>
    </w:rPr>
  </w:style>
  <w:style w:type="character" w:styleId="Slutnotehenvisning">
    <w:name w:val="endnote reference"/>
    <w:basedOn w:val="Standardskrifttypeiafsnit"/>
    <w:uiPriority w:val="99"/>
    <w:semiHidden/>
    <w:rsid w:val="0061433A"/>
    <w:rPr>
      <w:rFonts w:cs="Times New Roman"/>
      <w:vertAlign w:val="superscript"/>
    </w:rPr>
  </w:style>
  <w:style w:type="character" w:styleId="Fremhv">
    <w:name w:val="Emphasis"/>
    <w:basedOn w:val="Standardskrifttypeiafsnit"/>
    <w:uiPriority w:val="99"/>
    <w:qFormat/>
    <w:rsid w:val="00AA420B"/>
    <w:rPr>
      <w:rFonts w:cs="Times New Roman"/>
      <w:i/>
    </w:rPr>
  </w:style>
  <w:style w:type="paragraph" w:styleId="Sidehoved">
    <w:name w:val="header"/>
    <w:basedOn w:val="Normal"/>
    <w:link w:val="SidehovedTegn"/>
    <w:uiPriority w:val="99"/>
    <w:rsid w:val="00AA420B"/>
    <w:pPr>
      <w:tabs>
        <w:tab w:val="center" w:pos="4536"/>
        <w:tab w:val="right" w:pos="9072"/>
      </w:tabs>
    </w:pPr>
  </w:style>
  <w:style w:type="character" w:customStyle="1" w:styleId="SidehovedTegn">
    <w:name w:val="Sidehoved Tegn"/>
    <w:basedOn w:val="Standardskrifttypeiafsnit"/>
    <w:link w:val="Sidehoved"/>
    <w:uiPriority w:val="99"/>
    <w:locked/>
    <w:rsid w:val="00AA420B"/>
    <w:rPr>
      <w:rFonts w:ascii="Arial" w:hAnsi="Arial" w:cs="Times New Roman"/>
      <w:lang w:val="da-DK" w:eastAsia="da-DK"/>
    </w:rPr>
  </w:style>
  <w:style w:type="paragraph" w:styleId="Dokumentoversigt">
    <w:name w:val="Document Map"/>
    <w:basedOn w:val="Normal"/>
    <w:link w:val="DokumentoversigtTegn"/>
    <w:uiPriority w:val="99"/>
    <w:rsid w:val="003833E5"/>
    <w:rPr>
      <w:rFonts w:ascii="Tahoma" w:hAnsi="Tahoma" w:cs="Tahoma"/>
      <w:sz w:val="16"/>
      <w:szCs w:val="16"/>
    </w:rPr>
  </w:style>
  <w:style w:type="character" w:customStyle="1" w:styleId="DokumentoversigtTegn">
    <w:name w:val="Dokumentoversigt Tegn"/>
    <w:basedOn w:val="Standardskrifttypeiafsnit"/>
    <w:link w:val="Dokumentoversigt"/>
    <w:uiPriority w:val="99"/>
    <w:locked/>
    <w:rsid w:val="003833E5"/>
    <w:rPr>
      <w:rFonts w:ascii="Tahoma" w:hAnsi="Tahoma" w:cs="Tahoma"/>
      <w:sz w:val="16"/>
      <w:szCs w:val="16"/>
      <w:lang w:val="da-DK" w:eastAsia="da-DK"/>
    </w:rPr>
  </w:style>
  <w:style w:type="paragraph" w:styleId="Korrektur">
    <w:name w:val="Revision"/>
    <w:hidden/>
    <w:uiPriority w:val="99"/>
    <w:semiHidden/>
    <w:rsid w:val="00761D49"/>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61786">
      <w:marLeft w:val="0"/>
      <w:marRight w:val="0"/>
      <w:marTop w:val="0"/>
      <w:marBottom w:val="0"/>
      <w:divBdr>
        <w:top w:val="none" w:sz="0" w:space="0" w:color="auto"/>
        <w:left w:val="none" w:sz="0" w:space="0" w:color="auto"/>
        <w:bottom w:val="none" w:sz="0" w:space="0" w:color="auto"/>
        <w:right w:val="none" w:sz="0" w:space="0" w:color="auto"/>
      </w:divBdr>
    </w:div>
    <w:div w:id="1275361787">
      <w:marLeft w:val="0"/>
      <w:marRight w:val="0"/>
      <w:marTop w:val="0"/>
      <w:marBottom w:val="0"/>
      <w:divBdr>
        <w:top w:val="none" w:sz="0" w:space="0" w:color="auto"/>
        <w:left w:val="none" w:sz="0" w:space="0" w:color="auto"/>
        <w:bottom w:val="none" w:sz="0" w:space="0" w:color="auto"/>
        <w:right w:val="none" w:sz="0" w:space="0" w:color="auto"/>
      </w:divBdr>
    </w:div>
    <w:div w:id="1275361788">
      <w:marLeft w:val="0"/>
      <w:marRight w:val="0"/>
      <w:marTop w:val="0"/>
      <w:marBottom w:val="0"/>
      <w:divBdr>
        <w:top w:val="none" w:sz="0" w:space="0" w:color="auto"/>
        <w:left w:val="none" w:sz="0" w:space="0" w:color="auto"/>
        <w:bottom w:val="none" w:sz="0" w:space="0" w:color="auto"/>
        <w:right w:val="none" w:sz="0" w:space="0" w:color="auto"/>
      </w:divBdr>
    </w:div>
    <w:div w:id="1275361789">
      <w:marLeft w:val="0"/>
      <w:marRight w:val="0"/>
      <w:marTop w:val="0"/>
      <w:marBottom w:val="0"/>
      <w:divBdr>
        <w:top w:val="none" w:sz="0" w:space="0" w:color="auto"/>
        <w:left w:val="none" w:sz="0" w:space="0" w:color="auto"/>
        <w:bottom w:val="none" w:sz="0" w:space="0" w:color="auto"/>
        <w:right w:val="none" w:sz="0" w:space="0" w:color="auto"/>
      </w:divBdr>
    </w:div>
    <w:div w:id="1275361790">
      <w:marLeft w:val="0"/>
      <w:marRight w:val="0"/>
      <w:marTop w:val="0"/>
      <w:marBottom w:val="0"/>
      <w:divBdr>
        <w:top w:val="none" w:sz="0" w:space="0" w:color="auto"/>
        <w:left w:val="none" w:sz="0" w:space="0" w:color="auto"/>
        <w:bottom w:val="none" w:sz="0" w:space="0" w:color="auto"/>
        <w:right w:val="none" w:sz="0" w:space="0" w:color="auto"/>
      </w:divBdr>
    </w:div>
    <w:div w:id="1275361791">
      <w:marLeft w:val="0"/>
      <w:marRight w:val="0"/>
      <w:marTop w:val="0"/>
      <w:marBottom w:val="0"/>
      <w:divBdr>
        <w:top w:val="none" w:sz="0" w:space="0" w:color="auto"/>
        <w:left w:val="none" w:sz="0" w:space="0" w:color="auto"/>
        <w:bottom w:val="none" w:sz="0" w:space="0" w:color="auto"/>
        <w:right w:val="none" w:sz="0" w:space="0" w:color="auto"/>
      </w:divBdr>
    </w:div>
    <w:div w:id="1275361792">
      <w:marLeft w:val="0"/>
      <w:marRight w:val="0"/>
      <w:marTop w:val="0"/>
      <w:marBottom w:val="0"/>
      <w:divBdr>
        <w:top w:val="none" w:sz="0" w:space="0" w:color="auto"/>
        <w:left w:val="none" w:sz="0" w:space="0" w:color="auto"/>
        <w:bottom w:val="none" w:sz="0" w:space="0" w:color="auto"/>
        <w:right w:val="none" w:sz="0" w:space="0" w:color="auto"/>
      </w:divBdr>
    </w:div>
    <w:div w:id="1275361793">
      <w:marLeft w:val="0"/>
      <w:marRight w:val="0"/>
      <w:marTop w:val="0"/>
      <w:marBottom w:val="0"/>
      <w:divBdr>
        <w:top w:val="none" w:sz="0" w:space="0" w:color="auto"/>
        <w:left w:val="none" w:sz="0" w:space="0" w:color="auto"/>
        <w:bottom w:val="none" w:sz="0" w:space="0" w:color="auto"/>
        <w:right w:val="none" w:sz="0" w:space="0" w:color="auto"/>
      </w:divBdr>
    </w:div>
    <w:div w:id="1275361794">
      <w:marLeft w:val="0"/>
      <w:marRight w:val="0"/>
      <w:marTop w:val="0"/>
      <w:marBottom w:val="0"/>
      <w:divBdr>
        <w:top w:val="none" w:sz="0" w:space="0" w:color="auto"/>
        <w:left w:val="none" w:sz="0" w:space="0" w:color="auto"/>
        <w:bottom w:val="none" w:sz="0" w:space="0" w:color="auto"/>
        <w:right w:val="none" w:sz="0" w:space="0" w:color="auto"/>
      </w:divBdr>
    </w:div>
    <w:div w:id="1275361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library.wiley.com/doi/10.1002/psp.v15:1/issuet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iva.uniurb.it/eurex/syllabus/lecture7/Lecture7-VanKemp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111/imre.2010.44.issue-1/issuet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oligbygg.oslo.kommune.no/getfile.php/boligbygg%20oslo%20kf%20(BBY)/Internett%20(BBY)/Dokumenter/2010_04_gjengsleie.pdf" TargetMode="External"/><Relationship Id="rId4" Type="http://schemas.microsoft.com/office/2007/relationships/stylesWithEffects" Target="stylesWithEffects.xml"/><Relationship Id="rId9" Type="http://schemas.openxmlformats.org/officeDocument/2006/relationships/hyperlink" Target="http://blogs.helsinki.fi/nodesproject/" TargetMode="External"/><Relationship Id="rId14" Type="http://schemas.openxmlformats.org/officeDocument/2006/relationships/hyperlink" Target="http://www.eurofound.europa.eu/pubdocs/2005/94/en/1/ef0594en.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69AB-0166-4AAE-869A-3C9F82AF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10684</Words>
  <Characters>60902</Characters>
  <Application>Microsoft Office Word</Application>
  <DocSecurity>0</DocSecurity>
  <Lines>507</Lines>
  <Paragraphs>142</Paragraphs>
  <ScaleCrop>false</ScaleCrop>
  <HeadingPairs>
    <vt:vector size="2" baseType="variant">
      <vt:variant>
        <vt:lpstr>Titel</vt:lpstr>
      </vt:variant>
      <vt:variant>
        <vt:i4>1</vt:i4>
      </vt:variant>
    </vt:vector>
  </HeadingPairs>
  <TitlesOfParts>
    <vt:vector size="1" baseType="lpstr">
      <vt:lpstr>Article to International Journal of Housing Policy</vt:lpstr>
    </vt:vector>
  </TitlesOfParts>
  <Company>SBi</Company>
  <LinksUpToDate>false</LinksUpToDate>
  <CharactersWithSpaces>71444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to International Journal of Housing Policy</dc:title>
  <dc:subject/>
  <dc:creator>Hans Skifter Andersen</dc:creator>
  <cp:keywords/>
  <dc:description/>
  <cp:lastModifiedBy>Hans Skifter Andersen</cp:lastModifiedBy>
  <cp:revision>2</cp:revision>
  <cp:lastPrinted>2012-04-16T05:23:00Z</cp:lastPrinted>
  <dcterms:created xsi:type="dcterms:W3CDTF">2012-10-29T13:22:00Z</dcterms:created>
  <dcterms:modified xsi:type="dcterms:W3CDTF">2012-10-29T13:22:00Z</dcterms:modified>
</cp:coreProperties>
</file>